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2.xml" ContentType="application/vnd.openxmlformats-officedocument.wordprocessingml.header+xml"/>
  <Override PartName="/word/footer1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9.xml" ContentType="application/vnd.openxmlformats-officedocument.wordprocessingml.footer+xml"/>
  <Override PartName="/word/header5.xml" ContentType="application/vnd.openxmlformats-officedocument.wordprocessingml.header+xml"/>
  <Override PartName="/word/footer20.xml" ContentType="application/vnd.openxmlformats-officedocument.wordprocessingml.footer+xml"/>
  <Override PartName="/word/header6.xml" ContentType="application/vnd.openxmlformats-officedocument.wordprocessingml.header+xml"/>
  <Override PartName="/word/footer21.xml" ContentType="application/vnd.openxmlformats-officedocument.wordprocessingml.footer+xml"/>
  <Override PartName="/word/header7.xml" ContentType="application/vnd.openxmlformats-officedocument.wordprocessingml.head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header10.xml" ContentType="application/vnd.openxmlformats-officedocument.wordprocessingml.header+xml"/>
  <Override PartName="/word/footer25.xml" ContentType="application/vnd.openxmlformats-officedocument.wordprocessingml.footer+xml"/>
  <Override PartName="/word/header11.xml" ContentType="application/vnd.openxmlformats-officedocument.wordprocessingml.header+xml"/>
  <Override PartName="/word/footer26.xml" ContentType="application/vnd.openxmlformats-officedocument.wordprocessingml.footer+xml"/>
  <Override PartName="/word/header12.xml" ContentType="application/vnd.openxmlformats-officedocument.wordprocessingml.head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9.xml" ContentType="application/vnd.openxmlformats-officedocument.wordprocessingml.footer+xml"/>
  <Override PartName="/word/header16.xml" ContentType="application/vnd.openxmlformats-officedocument.wordprocessingml.header+xml"/>
  <Override PartName="/word/footer3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31.xml" ContentType="application/vnd.openxmlformats-officedocument.wordprocessingml.footer+xml"/>
  <Override PartName="/word/header2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22.xml" ContentType="application/vnd.openxmlformats-officedocument.wordprocessingml.header+xml"/>
  <Override PartName="/word/footer38.xml" ContentType="application/vnd.openxmlformats-officedocument.wordprocessingml.footer+xml"/>
  <Override PartName="/word/header23.xml" ContentType="application/vnd.openxmlformats-officedocument.wordprocessingml.header+xml"/>
  <Override PartName="/word/footer39.xml" ContentType="application/vnd.openxmlformats-officedocument.wordprocessingml.footer+xml"/>
  <Override PartName="/word/header24.xml" ContentType="application/vnd.openxmlformats-officedocument.wordprocessingml.header+xml"/>
  <Override PartName="/word/footer40.xml" ContentType="application/vnd.openxmlformats-officedocument.wordprocessingml.footer+xml"/>
  <Override PartName="/word/header25.xml" ContentType="application/vnd.openxmlformats-officedocument.wordprocessingml.header+xml"/>
  <Override PartName="/word/footer41.xml" ContentType="application/vnd.openxmlformats-officedocument.wordprocessingml.footer+xml"/>
  <Override PartName="/word/header26.xml" ContentType="application/vnd.openxmlformats-officedocument.wordprocessingml.header+xml"/>
  <Override PartName="/word/footer42.xml" ContentType="application/vnd.openxmlformats-officedocument.wordprocessingml.footer+xml"/>
  <Override PartName="/word/header2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8" w:after="21"/>
        <w:ind w:left="0" w:right="579" w:firstLine="0"/>
        <w:jc w:val="right"/>
        <w:rPr>
          <w:rFonts w:ascii="Tahoma" w:hAnsi="Tahoma"/>
          <w:i/>
          <w:sz w:val="19"/>
        </w:rPr>
      </w:pPr>
      <w:r>
        <w:rPr>
          <w:rFonts w:ascii="Tahoma" w:hAnsi="Tahoma"/>
          <w:i/>
          <w:color w:val="FF0000"/>
          <w:w w:val="95"/>
          <w:sz w:val="19"/>
        </w:rPr>
        <w:t>ΑΝΑΡΤΗΤΕΑ ΣΤΗ ΔΙΑΥΓΕΙΑ</w:t>
      </w:r>
    </w:p>
    <w:p>
      <w:pPr>
        <w:pStyle w:val="BodyText"/>
        <w:ind w:left="7013"/>
        <w:rPr>
          <w:rFonts w:ascii="Tahoma"/>
          <w:sz w:val="20"/>
        </w:rPr>
      </w:pPr>
      <w:r>
        <w:rPr>
          <w:rFonts w:ascii="Tahoma"/>
          <w:sz w:val="20"/>
        </w:rPr>
        <w:drawing>
          <wp:inline distT="0" distB="0" distL="0" distR="0">
            <wp:extent cx="844049" cy="585216"/>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844049" cy="585216"/>
                    </a:xfrm>
                    <a:prstGeom prst="rect">
                      <a:avLst/>
                    </a:prstGeom>
                  </pic:spPr>
                </pic:pic>
              </a:graphicData>
            </a:graphic>
          </wp:inline>
        </w:drawing>
      </w:r>
      <w:r>
        <w:rPr>
          <w:rFonts w:ascii="Tahoma"/>
          <w:sz w:val="20"/>
        </w:rPr>
      </w:r>
    </w:p>
    <w:p>
      <w:pPr>
        <w:spacing w:after="0"/>
        <w:rPr>
          <w:rFonts w:ascii="Tahoma"/>
          <w:sz w:val="20"/>
        </w:rPr>
        <w:sectPr>
          <w:footerReference w:type="default" r:id="rId5"/>
          <w:type w:val="continuous"/>
          <w:pgSz w:w="11910" w:h="16840"/>
          <w:pgMar w:footer="1382" w:top="800" w:bottom="1580" w:left="1140" w:right="1220"/>
          <w:pgNumType w:start="1"/>
        </w:sectPr>
      </w:pPr>
    </w:p>
    <w:p>
      <w:pPr>
        <w:spacing w:before="112"/>
        <w:ind w:left="511" w:right="420" w:hanging="19"/>
        <w:jc w:val="center"/>
        <w:rPr>
          <w:rFonts w:ascii="Tahoma" w:hAnsi="Tahoma"/>
          <w:b/>
          <w:sz w:val="20"/>
        </w:rPr>
      </w:pPr>
      <w:r>
        <w:rPr/>
        <w:drawing>
          <wp:anchor distT="0" distB="0" distL="0" distR="0" allowOverlap="1" layoutInCell="1" locked="0" behindDoc="1" simplePos="0" relativeHeight="268166735">
            <wp:simplePos x="0" y="0"/>
            <wp:positionH relativeFrom="page">
              <wp:posOffset>1711325</wp:posOffset>
            </wp:positionH>
            <wp:positionV relativeFrom="paragraph">
              <wp:posOffset>-585535</wp:posOffset>
            </wp:positionV>
            <wp:extent cx="657225" cy="657225"/>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57225" cy="657225"/>
                    </a:xfrm>
                    <a:prstGeom prst="rect">
                      <a:avLst/>
                    </a:prstGeom>
                  </pic:spPr>
                </pic:pic>
              </a:graphicData>
            </a:graphic>
          </wp:anchor>
        </w:drawing>
      </w:r>
      <w:r>
        <w:rPr>
          <w:rFonts w:ascii="Tahoma" w:hAnsi="Tahoma"/>
          <w:b/>
          <w:sz w:val="20"/>
        </w:rPr>
        <w:t>ΕΛΛΗΝΙΚΗ ΔΗΜΟΚΡΑΤΙΑ ΠΕΡΙΦΕΡΕΙΑ ΘΕΣΣΑΛΙΑΣ</w:t>
      </w:r>
    </w:p>
    <w:p>
      <w:pPr>
        <w:spacing w:before="1"/>
        <w:ind w:left="221" w:right="0" w:firstLine="0"/>
        <w:jc w:val="center"/>
        <w:rPr>
          <w:rFonts w:ascii="Tahoma" w:hAnsi="Tahoma"/>
          <w:b/>
          <w:sz w:val="20"/>
        </w:rPr>
      </w:pPr>
      <w:r>
        <w:rPr>
          <w:rFonts w:ascii="Tahoma" w:hAnsi="Tahoma"/>
          <w:b/>
          <w:sz w:val="20"/>
        </w:rPr>
        <w:t>ΕΙΔΙΚΗ ΥΠΗΡΕΣΙΑ</w:t>
      </w:r>
      <w:r>
        <w:rPr>
          <w:rFonts w:ascii="Tahoma" w:hAnsi="Tahoma"/>
          <w:b/>
          <w:spacing w:val="-9"/>
          <w:sz w:val="20"/>
        </w:rPr>
        <w:t> </w:t>
      </w:r>
      <w:r>
        <w:rPr>
          <w:rFonts w:ascii="Tahoma" w:hAnsi="Tahoma"/>
          <w:b/>
          <w:sz w:val="20"/>
        </w:rPr>
        <w:t>ΔΙΑΧΕΙΡΙΣΗΣ Ε.Π. ΠΕΡΙΦΕΡΕΙΑΣ</w:t>
      </w:r>
      <w:r>
        <w:rPr>
          <w:rFonts w:ascii="Tahoma" w:hAnsi="Tahoma"/>
          <w:b/>
          <w:spacing w:val="-6"/>
          <w:sz w:val="20"/>
        </w:rPr>
        <w:t> </w:t>
      </w:r>
      <w:r>
        <w:rPr>
          <w:rFonts w:ascii="Tahoma" w:hAnsi="Tahoma"/>
          <w:b/>
          <w:sz w:val="20"/>
        </w:rPr>
        <w:t>ΘΕΣΣΑΛΙΑΣ</w:t>
      </w:r>
    </w:p>
    <w:p>
      <w:pPr>
        <w:spacing w:before="4"/>
        <w:ind w:left="511" w:right="0" w:firstLine="0"/>
        <w:jc w:val="left"/>
        <w:rPr>
          <w:rFonts w:ascii="Tahoma" w:hAnsi="Tahoma"/>
          <w:b/>
          <w:sz w:val="20"/>
        </w:rPr>
      </w:pPr>
      <w:r>
        <w:rPr/>
        <w:br w:type="column"/>
      </w:r>
      <w:r>
        <w:rPr>
          <w:rFonts w:ascii="Tahoma" w:hAnsi="Tahoma"/>
          <w:b/>
          <w:sz w:val="20"/>
        </w:rPr>
        <w:t>ΕΥΡΩΠΑΪΚΗ ΕΝΩΣΗ</w:t>
      </w:r>
    </w:p>
    <w:p>
      <w:pPr>
        <w:spacing w:before="1"/>
        <w:ind w:left="221" w:right="492" w:firstLine="350"/>
        <w:jc w:val="left"/>
        <w:rPr>
          <w:rFonts w:ascii="Tahoma" w:hAnsi="Tahoma"/>
          <w:b/>
          <w:sz w:val="20"/>
        </w:rPr>
      </w:pPr>
      <w:r>
        <w:rPr>
          <w:rFonts w:ascii="Tahoma" w:hAnsi="Tahoma"/>
          <w:b/>
          <w:sz w:val="20"/>
        </w:rPr>
        <w:t>Ευρωπαϊκό Ταμείο Περιφερειακής Ανάπτυξης</w:t>
      </w:r>
    </w:p>
    <w:p>
      <w:pPr>
        <w:pStyle w:val="BodyText"/>
        <w:rPr>
          <w:rFonts w:ascii="Tahoma"/>
          <w:b/>
          <w:sz w:val="24"/>
        </w:rPr>
      </w:pPr>
    </w:p>
    <w:p>
      <w:pPr>
        <w:pStyle w:val="BodyText"/>
        <w:rPr>
          <w:rFonts w:ascii="Tahoma"/>
          <w:b/>
          <w:sz w:val="24"/>
        </w:rPr>
      </w:pPr>
    </w:p>
    <w:p>
      <w:pPr>
        <w:pStyle w:val="BodyText"/>
        <w:rPr>
          <w:rFonts w:ascii="Tahoma"/>
          <w:b/>
          <w:sz w:val="24"/>
        </w:rPr>
      </w:pPr>
    </w:p>
    <w:p>
      <w:pPr>
        <w:spacing w:before="155"/>
        <w:ind w:left="643" w:right="0" w:firstLine="0"/>
        <w:jc w:val="left"/>
        <w:rPr>
          <w:rFonts w:ascii="Tahoma" w:hAnsi="Tahoma"/>
          <w:sz w:val="18"/>
        </w:rPr>
      </w:pPr>
      <w:r>
        <w:rPr>
          <w:rFonts w:ascii="Tahoma" w:hAnsi="Tahoma"/>
          <w:sz w:val="18"/>
        </w:rPr>
        <w:t>Ημερομηνία: 24- 04 -2019</w:t>
      </w:r>
    </w:p>
    <w:p>
      <w:pPr>
        <w:spacing w:before="80"/>
        <w:ind w:left="643" w:right="0" w:firstLine="0"/>
        <w:jc w:val="left"/>
        <w:rPr>
          <w:rFonts w:ascii="Tahoma" w:hAnsi="Tahoma"/>
          <w:b/>
          <w:sz w:val="18"/>
        </w:rPr>
      </w:pPr>
      <w:r>
        <w:rPr>
          <w:rFonts w:ascii="Tahoma" w:hAnsi="Tahoma"/>
          <w:sz w:val="18"/>
        </w:rPr>
        <w:t>Α.Π.: </w:t>
      </w:r>
      <w:r>
        <w:rPr>
          <w:rFonts w:ascii="Tahoma" w:hAnsi="Tahoma"/>
          <w:b/>
          <w:sz w:val="18"/>
        </w:rPr>
        <w:t>1537</w:t>
      </w:r>
    </w:p>
    <w:p>
      <w:pPr>
        <w:spacing w:after="0"/>
        <w:jc w:val="left"/>
        <w:rPr>
          <w:rFonts w:ascii="Tahoma" w:hAnsi="Tahoma"/>
          <w:sz w:val="18"/>
        </w:rPr>
        <w:sectPr>
          <w:type w:val="continuous"/>
          <w:pgSz w:w="11910" w:h="16840"/>
          <w:pgMar w:top="800" w:bottom="1580" w:left="1140" w:right="1220"/>
          <w:cols w:num="2" w:equalWidth="0">
            <w:col w:w="3491" w:space="2716"/>
            <w:col w:w="3343"/>
          </w:cols>
        </w:sectPr>
      </w:pPr>
    </w:p>
    <w:p>
      <w:pPr>
        <w:pStyle w:val="BodyText"/>
        <w:rPr>
          <w:rFonts w:ascii="Tahoma"/>
          <w:b/>
          <w:sz w:val="20"/>
        </w:rPr>
      </w:pPr>
    </w:p>
    <w:p>
      <w:pPr>
        <w:pStyle w:val="BodyText"/>
        <w:spacing w:before="2"/>
        <w:rPr>
          <w:rFonts w:ascii="Tahoma"/>
          <w:b/>
          <w:sz w:val="19"/>
        </w:rPr>
      </w:pPr>
    </w:p>
    <w:p>
      <w:pPr>
        <w:spacing w:before="99"/>
        <w:ind w:left="2914" w:right="2837" w:firstLine="0"/>
        <w:jc w:val="center"/>
        <w:rPr>
          <w:rFonts w:ascii="Tahoma" w:hAnsi="Tahoma"/>
          <w:b/>
          <w:sz w:val="20"/>
        </w:rPr>
      </w:pPr>
      <w:r>
        <w:rPr>
          <w:rFonts w:ascii="Tahoma" w:hAnsi="Tahoma"/>
          <w:b/>
          <w:sz w:val="20"/>
        </w:rPr>
        <w:t>Α Π Ο Φ Α Σ Η</w:t>
      </w:r>
    </w:p>
    <w:p>
      <w:pPr>
        <w:pStyle w:val="BodyText"/>
        <w:spacing w:before="9"/>
        <w:rPr>
          <w:rFonts w:ascii="Tahoma"/>
          <w:b/>
          <w:sz w:val="19"/>
        </w:rPr>
      </w:pPr>
    </w:p>
    <w:p>
      <w:pPr>
        <w:spacing w:before="0"/>
        <w:ind w:left="929" w:right="138" w:hanging="708"/>
        <w:jc w:val="both"/>
        <w:rPr>
          <w:rFonts w:ascii="Tahoma" w:hAnsi="Tahoma"/>
          <w:b/>
          <w:sz w:val="20"/>
        </w:rPr>
      </w:pPr>
      <w:r>
        <w:rPr>
          <w:rFonts w:ascii="Tahoma" w:hAnsi="Tahoma"/>
          <w:b/>
          <w:sz w:val="20"/>
        </w:rPr>
        <w:t>Θέμα: Πρόσκληση υποβολής προτάσεων χρηματοδοτικής ενίσχυσης επενδυτικών σχεδίων στη δράση 3α.1.4.1.1: «Ενίσχυση υφιστάμενων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 “Επανεπενδύω στη Θεσσαλία”», του Περιφερειακού Επιχειρησιακού Προγράμματος Θεσσαλίας 2014-2020</w:t>
      </w:r>
    </w:p>
    <w:p>
      <w:pPr>
        <w:pStyle w:val="BodyText"/>
        <w:spacing w:before="1"/>
        <w:rPr>
          <w:rFonts w:ascii="Tahoma"/>
          <w:b/>
          <w:sz w:val="12"/>
        </w:rPr>
      </w:pPr>
    </w:p>
    <w:p>
      <w:pPr>
        <w:spacing w:before="100"/>
        <w:ind w:left="3185" w:right="0" w:firstLine="0"/>
        <w:jc w:val="left"/>
        <w:rPr>
          <w:rFonts w:ascii="Tahoma" w:hAnsi="Tahoma"/>
          <w:b/>
          <w:sz w:val="20"/>
        </w:rPr>
      </w:pPr>
      <w:r>
        <w:rPr>
          <w:rFonts w:ascii="Tahoma" w:hAnsi="Tahoma"/>
          <w:b/>
          <w:sz w:val="20"/>
        </w:rPr>
        <w:t>Ο ΠΕΡΙΦΕΡΕΙΑΡΧΗΣ ΘΕΣΣΑΛΙΑΣ</w:t>
      </w:r>
    </w:p>
    <w:p>
      <w:pPr>
        <w:spacing w:before="187"/>
        <w:ind w:left="221" w:right="0" w:firstLine="0"/>
        <w:jc w:val="left"/>
        <w:rPr>
          <w:rFonts w:ascii="Tahoma" w:hAnsi="Tahoma"/>
          <w:i/>
          <w:sz w:val="21"/>
        </w:rPr>
      </w:pPr>
      <w:r>
        <w:rPr>
          <w:rFonts w:ascii="Tahoma" w:hAnsi="Tahoma"/>
          <w:i/>
          <w:w w:val="95"/>
          <w:sz w:val="21"/>
        </w:rPr>
        <w:t>Έχοντας υπόψη:</w:t>
      </w:r>
    </w:p>
    <w:p>
      <w:pPr>
        <w:pStyle w:val="ListParagraph"/>
        <w:numPr>
          <w:ilvl w:val="0"/>
          <w:numId w:val="1"/>
        </w:numPr>
        <w:tabs>
          <w:tab w:pos="647" w:val="left" w:leader="none"/>
        </w:tabs>
        <w:spacing w:line="316" w:lineRule="auto" w:before="138" w:after="0"/>
        <w:ind w:left="646" w:right="108" w:hanging="360"/>
        <w:jc w:val="both"/>
        <w:rPr>
          <w:rFonts w:ascii="Tahoma" w:hAnsi="Tahoma"/>
          <w:sz w:val="20"/>
        </w:rPr>
      </w:pPr>
      <w:r>
        <w:rPr>
          <w:rFonts w:ascii="Tahoma" w:hAnsi="Tahoma"/>
          <w:sz w:val="20"/>
        </w:rPr>
        <w:t>Το άρθρο 90 του «Κώδικα Νομοθεσίας για την Κυβέρνηση και Κυβερνητικά Όργανα» που</w:t>
      </w:r>
      <w:r>
        <w:rPr>
          <w:rFonts w:ascii="Tahoma" w:hAnsi="Tahoma"/>
          <w:spacing w:val="-29"/>
          <w:sz w:val="20"/>
        </w:rPr>
        <w:t> </w:t>
      </w:r>
      <w:r>
        <w:rPr>
          <w:rFonts w:ascii="Tahoma" w:hAnsi="Tahoma"/>
          <w:sz w:val="20"/>
        </w:rPr>
        <w:t>κυρώθηκε με</w:t>
      </w:r>
      <w:r>
        <w:rPr>
          <w:rFonts w:ascii="Tahoma" w:hAnsi="Tahoma"/>
          <w:spacing w:val="-8"/>
          <w:sz w:val="20"/>
        </w:rPr>
        <w:t> </w:t>
      </w:r>
      <w:r>
        <w:rPr>
          <w:rFonts w:ascii="Tahoma" w:hAnsi="Tahoma"/>
          <w:sz w:val="20"/>
        </w:rPr>
        <w:t>το</w:t>
      </w:r>
      <w:r>
        <w:rPr>
          <w:rFonts w:ascii="Tahoma" w:hAnsi="Tahoma"/>
          <w:spacing w:val="-8"/>
          <w:sz w:val="20"/>
        </w:rPr>
        <w:t> </w:t>
      </w:r>
      <w:r>
        <w:rPr>
          <w:rFonts w:ascii="Tahoma" w:hAnsi="Tahoma"/>
          <w:sz w:val="20"/>
        </w:rPr>
        <w:t>άρθρο</w:t>
      </w:r>
      <w:r>
        <w:rPr>
          <w:rFonts w:ascii="Tahoma" w:hAnsi="Tahoma"/>
          <w:spacing w:val="-9"/>
          <w:sz w:val="20"/>
        </w:rPr>
        <w:t> </w:t>
      </w:r>
      <w:r>
        <w:rPr>
          <w:rFonts w:ascii="Tahoma" w:hAnsi="Tahoma"/>
          <w:sz w:val="20"/>
        </w:rPr>
        <w:t>πρώτο</w:t>
      </w:r>
      <w:r>
        <w:rPr>
          <w:rFonts w:ascii="Tahoma" w:hAnsi="Tahoma"/>
          <w:spacing w:val="-9"/>
          <w:sz w:val="20"/>
        </w:rPr>
        <w:t> </w:t>
      </w:r>
      <w:r>
        <w:rPr>
          <w:rFonts w:ascii="Tahoma" w:hAnsi="Tahoma"/>
          <w:sz w:val="20"/>
        </w:rPr>
        <w:t>του</w:t>
      </w:r>
      <w:r>
        <w:rPr>
          <w:rFonts w:ascii="Tahoma" w:hAnsi="Tahoma"/>
          <w:spacing w:val="-10"/>
          <w:sz w:val="20"/>
        </w:rPr>
        <w:t> </w:t>
      </w:r>
      <w:r>
        <w:rPr>
          <w:rFonts w:ascii="Tahoma" w:hAnsi="Tahoma"/>
          <w:sz w:val="20"/>
        </w:rPr>
        <w:t>Π.Δ.</w:t>
      </w:r>
      <w:r>
        <w:rPr>
          <w:rFonts w:ascii="Tahoma" w:hAnsi="Tahoma"/>
          <w:spacing w:val="-8"/>
          <w:sz w:val="20"/>
        </w:rPr>
        <w:t> </w:t>
      </w:r>
      <w:r>
        <w:rPr>
          <w:rFonts w:ascii="Tahoma" w:hAnsi="Tahoma"/>
          <w:sz w:val="20"/>
        </w:rPr>
        <w:t>63/2005</w:t>
      </w:r>
      <w:r>
        <w:rPr>
          <w:rFonts w:ascii="Tahoma" w:hAnsi="Tahoma"/>
          <w:spacing w:val="-10"/>
          <w:sz w:val="20"/>
        </w:rPr>
        <w:t> </w:t>
      </w:r>
      <w:r>
        <w:rPr>
          <w:rFonts w:ascii="Tahoma" w:hAnsi="Tahoma"/>
          <w:sz w:val="20"/>
        </w:rPr>
        <w:t>(ΦΕΚ</w:t>
      </w:r>
      <w:r>
        <w:rPr>
          <w:rFonts w:ascii="Tahoma" w:hAnsi="Tahoma"/>
          <w:spacing w:val="-8"/>
          <w:sz w:val="20"/>
        </w:rPr>
        <w:t> </w:t>
      </w:r>
      <w:r>
        <w:rPr>
          <w:rFonts w:ascii="Tahoma" w:hAnsi="Tahoma"/>
          <w:sz w:val="20"/>
        </w:rPr>
        <w:t>98/Α/22-4-2005).</w:t>
      </w:r>
    </w:p>
    <w:p>
      <w:pPr>
        <w:pStyle w:val="ListParagraph"/>
        <w:numPr>
          <w:ilvl w:val="0"/>
          <w:numId w:val="1"/>
        </w:numPr>
        <w:tabs>
          <w:tab w:pos="647" w:val="left" w:leader="none"/>
        </w:tabs>
        <w:spacing w:line="319" w:lineRule="auto" w:before="0" w:after="0"/>
        <w:ind w:left="646" w:right="111" w:hanging="360"/>
        <w:jc w:val="both"/>
        <w:rPr>
          <w:rFonts w:ascii="Tahoma" w:hAnsi="Tahoma"/>
          <w:sz w:val="20"/>
        </w:rPr>
      </w:pPr>
      <w:r>
        <w:rPr>
          <w:rFonts w:ascii="Tahoma" w:hAnsi="Tahoma"/>
          <w:sz w:val="20"/>
        </w:rPr>
        <w:t>Τον Ν.4314/2014 - Μέρος Ι «Για τη Διαχείριση, τον έλεγχο και την εφαρμογή αναπτυξιακών παρεμβάσεων</w:t>
      </w:r>
      <w:r>
        <w:rPr>
          <w:rFonts w:ascii="Tahoma" w:hAnsi="Tahoma"/>
          <w:spacing w:val="-13"/>
          <w:sz w:val="20"/>
        </w:rPr>
        <w:t> </w:t>
      </w:r>
      <w:r>
        <w:rPr>
          <w:rFonts w:ascii="Tahoma" w:hAnsi="Tahoma"/>
          <w:sz w:val="20"/>
        </w:rPr>
        <w:t>για</w:t>
      </w:r>
      <w:r>
        <w:rPr>
          <w:rFonts w:ascii="Tahoma" w:hAnsi="Tahoma"/>
          <w:spacing w:val="-12"/>
          <w:sz w:val="20"/>
        </w:rPr>
        <w:t> </w:t>
      </w:r>
      <w:r>
        <w:rPr>
          <w:rFonts w:ascii="Tahoma" w:hAnsi="Tahoma"/>
          <w:sz w:val="20"/>
        </w:rPr>
        <w:t>την</w:t>
      </w:r>
      <w:r>
        <w:rPr>
          <w:rFonts w:ascii="Tahoma" w:hAnsi="Tahoma"/>
          <w:spacing w:val="-13"/>
          <w:sz w:val="20"/>
        </w:rPr>
        <w:t> </w:t>
      </w:r>
      <w:r>
        <w:rPr>
          <w:rFonts w:ascii="Tahoma" w:hAnsi="Tahoma"/>
          <w:sz w:val="20"/>
        </w:rPr>
        <w:t>προγραμματική</w:t>
      </w:r>
      <w:r>
        <w:rPr>
          <w:rFonts w:ascii="Tahoma" w:hAnsi="Tahoma"/>
          <w:spacing w:val="-13"/>
          <w:sz w:val="20"/>
        </w:rPr>
        <w:t> </w:t>
      </w:r>
      <w:r>
        <w:rPr>
          <w:rFonts w:ascii="Tahoma" w:hAnsi="Tahoma"/>
          <w:sz w:val="20"/>
        </w:rPr>
        <w:t>περίοδο</w:t>
      </w:r>
      <w:r>
        <w:rPr>
          <w:rFonts w:ascii="Tahoma" w:hAnsi="Tahoma"/>
          <w:spacing w:val="-13"/>
          <w:sz w:val="20"/>
        </w:rPr>
        <w:t> </w:t>
      </w:r>
      <w:r>
        <w:rPr>
          <w:rFonts w:ascii="Tahoma" w:hAnsi="Tahoma"/>
          <w:sz w:val="20"/>
        </w:rPr>
        <w:t>2014-2020»</w:t>
      </w:r>
      <w:r>
        <w:rPr>
          <w:rFonts w:ascii="Tahoma" w:hAnsi="Tahoma"/>
          <w:spacing w:val="-10"/>
          <w:sz w:val="20"/>
        </w:rPr>
        <w:t> </w:t>
      </w:r>
      <w:r>
        <w:rPr>
          <w:rFonts w:ascii="Tahoma" w:hAnsi="Tahoma"/>
          <w:sz w:val="20"/>
        </w:rPr>
        <w:t>(ΦΕΚ</w:t>
      </w:r>
      <w:r>
        <w:rPr>
          <w:rFonts w:ascii="Tahoma" w:hAnsi="Tahoma"/>
          <w:spacing w:val="-12"/>
          <w:sz w:val="20"/>
        </w:rPr>
        <w:t> </w:t>
      </w:r>
      <w:r>
        <w:rPr>
          <w:rFonts w:ascii="Tahoma" w:hAnsi="Tahoma"/>
          <w:sz w:val="20"/>
        </w:rPr>
        <w:t>265/Α/23-12-2014),</w:t>
      </w:r>
      <w:r>
        <w:rPr>
          <w:rFonts w:ascii="Tahoma" w:hAnsi="Tahoma"/>
          <w:spacing w:val="-11"/>
          <w:sz w:val="20"/>
        </w:rPr>
        <w:t> </w:t>
      </w:r>
      <w:r>
        <w:rPr>
          <w:rFonts w:ascii="Tahoma" w:hAnsi="Tahoma"/>
          <w:sz w:val="20"/>
        </w:rPr>
        <w:t>όπως</w:t>
      </w:r>
      <w:r>
        <w:rPr>
          <w:rFonts w:ascii="Tahoma" w:hAnsi="Tahoma"/>
          <w:spacing w:val="-12"/>
          <w:sz w:val="20"/>
        </w:rPr>
        <w:t> </w:t>
      </w:r>
      <w:r>
        <w:rPr>
          <w:rFonts w:ascii="Tahoma" w:hAnsi="Tahoma"/>
          <w:sz w:val="20"/>
        </w:rPr>
        <w:t>ισχύει.</w:t>
      </w:r>
    </w:p>
    <w:p>
      <w:pPr>
        <w:pStyle w:val="ListParagraph"/>
        <w:numPr>
          <w:ilvl w:val="0"/>
          <w:numId w:val="1"/>
        </w:numPr>
        <w:tabs>
          <w:tab w:pos="647" w:val="left" w:leader="none"/>
        </w:tabs>
        <w:spacing w:line="316" w:lineRule="auto" w:before="0" w:after="0"/>
        <w:ind w:left="646" w:right="107" w:hanging="360"/>
        <w:jc w:val="both"/>
        <w:rPr>
          <w:rFonts w:ascii="Tahoma" w:hAnsi="Tahoma"/>
          <w:sz w:val="20"/>
        </w:rPr>
      </w:pPr>
      <w:r>
        <w:rPr>
          <w:rFonts w:ascii="Tahoma" w:hAnsi="Tahoma"/>
          <w:sz w:val="20"/>
        </w:rPr>
        <w:t>Τον Ν. 3852/2010 «Νέα Αρχιτεκτονική της Αυτοδιοίκησης και της Αποκεντρωμένης Διοίκησης – Πρόγραμμα</w:t>
      </w:r>
      <w:r>
        <w:rPr>
          <w:rFonts w:ascii="Tahoma" w:hAnsi="Tahoma"/>
          <w:spacing w:val="-12"/>
          <w:sz w:val="20"/>
        </w:rPr>
        <w:t> </w:t>
      </w:r>
      <w:r>
        <w:rPr>
          <w:rFonts w:ascii="Tahoma" w:hAnsi="Tahoma"/>
          <w:sz w:val="20"/>
        </w:rPr>
        <w:t>Καλλικράτης»</w:t>
      </w:r>
      <w:r>
        <w:rPr>
          <w:rFonts w:ascii="Tahoma" w:hAnsi="Tahoma"/>
          <w:spacing w:val="-13"/>
          <w:sz w:val="20"/>
        </w:rPr>
        <w:t> </w:t>
      </w:r>
      <w:r>
        <w:rPr>
          <w:rFonts w:ascii="Tahoma" w:hAnsi="Tahoma"/>
          <w:sz w:val="20"/>
        </w:rPr>
        <w:t>(ΦΕΚ</w:t>
      </w:r>
      <w:r>
        <w:rPr>
          <w:rFonts w:ascii="Tahoma" w:hAnsi="Tahoma"/>
          <w:spacing w:val="-12"/>
          <w:sz w:val="20"/>
        </w:rPr>
        <w:t> </w:t>
      </w:r>
      <w:r>
        <w:rPr>
          <w:rFonts w:ascii="Tahoma" w:hAnsi="Tahoma"/>
          <w:sz w:val="20"/>
        </w:rPr>
        <w:t>87/Α/7-7-2010),</w:t>
      </w:r>
      <w:r>
        <w:rPr>
          <w:rFonts w:ascii="Tahoma" w:hAnsi="Tahoma"/>
          <w:spacing w:val="-14"/>
          <w:sz w:val="20"/>
        </w:rPr>
        <w:t> </w:t>
      </w:r>
      <w:r>
        <w:rPr>
          <w:rFonts w:ascii="Tahoma" w:hAnsi="Tahoma"/>
          <w:sz w:val="20"/>
        </w:rPr>
        <w:t>όπως</w:t>
      </w:r>
      <w:r>
        <w:rPr>
          <w:rFonts w:ascii="Tahoma" w:hAnsi="Tahoma"/>
          <w:spacing w:val="-13"/>
          <w:sz w:val="20"/>
        </w:rPr>
        <w:t> </w:t>
      </w:r>
      <w:r>
        <w:rPr>
          <w:rFonts w:ascii="Tahoma" w:hAnsi="Tahoma"/>
          <w:sz w:val="20"/>
        </w:rPr>
        <w:t>ισχύει.</w:t>
      </w:r>
    </w:p>
    <w:p>
      <w:pPr>
        <w:pStyle w:val="ListParagraph"/>
        <w:numPr>
          <w:ilvl w:val="0"/>
          <w:numId w:val="1"/>
        </w:numPr>
        <w:tabs>
          <w:tab w:pos="647" w:val="left" w:leader="none"/>
        </w:tabs>
        <w:spacing w:line="319" w:lineRule="auto" w:before="3" w:after="0"/>
        <w:ind w:left="646" w:right="110" w:hanging="360"/>
        <w:jc w:val="both"/>
        <w:rPr>
          <w:rFonts w:ascii="Tahoma" w:hAnsi="Tahoma"/>
          <w:sz w:val="20"/>
        </w:rPr>
      </w:pPr>
      <w:r>
        <w:rPr>
          <w:rFonts w:ascii="Tahoma" w:hAnsi="Tahoma"/>
          <w:sz w:val="20"/>
        </w:rPr>
        <w:t>Τη με αρ. 56/2014 και την με αρ. 68/2014 διορθωτική αυτής Απόφαση του Πολυμελούς Πρωτοδικείου Λάρισας με την οποία ανακηρύχτηκαν ο Περιφερειάρχης, οι Αντιπεριφερειάρχες Περιφερειακών Ενοτήτων και οι Περιφερειακοί Σύμβουλοι της Περιφέρειας Θεσσαλίας, για την περίοδο</w:t>
      </w:r>
      <w:r>
        <w:rPr>
          <w:rFonts w:ascii="Tahoma" w:hAnsi="Tahoma"/>
          <w:spacing w:val="-14"/>
          <w:sz w:val="20"/>
        </w:rPr>
        <w:t> </w:t>
      </w:r>
      <w:r>
        <w:rPr>
          <w:rFonts w:ascii="Tahoma" w:hAnsi="Tahoma"/>
          <w:sz w:val="20"/>
        </w:rPr>
        <w:t>01-09-2014</w:t>
      </w:r>
      <w:r>
        <w:rPr>
          <w:rFonts w:ascii="Tahoma" w:hAnsi="Tahoma"/>
          <w:spacing w:val="-12"/>
          <w:sz w:val="20"/>
        </w:rPr>
        <w:t> </w:t>
      </w:r>
      <w:r>
        <w:rPr>
          <w:rFonts w:ascii="Tahoma" w:hAnsi="Tahoma"/>
          <w:sz w:val="20"/>
        </w:rPr>
        <w:t>έως</w:t>
      </w:r>
      <w:r>
        <w:rPr>
          <w:rFonts w:ascii="Tahoma" w:hAnsi="Tahoma"/>
          <w:spacing w:val="-11"/>
          <w:sz w:val="20"/>
        </w:rPr>
        <w:t> </w:t>
      </w:r>
      <w:r>
        <w:rPr>
          <w:rFonts w:ascii="Tahoma" w:hAnsi="Tahoma"/>
          <w:sz w:val="20"/>
        </w:rPr>
        <w:t>και</w:t>
      </w:r>
      <w:r>
        <w:rPr>
          <w:rFonts w:ascii="Tahoma" w:hAnsi="Tahoma"/>
          <w:spacing w:val="-14"/>
          <w:sz w:val="20"/>
        </w:rPr>
        <w:t> </w:t>
      </w:r>
      <w:r>
        <w:rPr>
          <w:rFonts w:ascii="Tahoma" w:hAnsi="Tahoma"/>
          <w:sz w:val="20"/>
        </w:rPr>
        <w:t>31-08-2019.</w:t>
      </w:r>
    </w:p>
    <w:p>
      <w:pPr>
        <w:tabs>
          <w:tab w:pos="1183" w:val="left" w:leader="none"/>
          <w:tab w:pos="2303" w:val="left" w:leader="none"/>
          <w:tab w:pos="3330" w:val="left" w:leader="none"/>
          <w:tab w:pos="3747" w:val="left" w:leader="none"/>
          <w:tab w:pos="4395" w:val="left" w:leader="none"/>
          <w:tab w:pos="7089" w:val="left" w:leader="none"/>
          <w:tab w:pos="7753" w:val="left" w:leader="none"/>
        </w:tabs>
        <w:spacing w:line="240" w:lineRule="exact" w:before="0"/>
        <w:ind w:left="286" w:right="0" w:firstLine="0"/>
        <w:jc w:val="left"/>
        <w:rPr>
          <w:rFonts w:ascii="Tahoma" w:hAnsi="Tahoma"/>
          <w:sz w:val="20"/>
        </w:rPr>
      </w:pPr>
      <w:r>
        <w:rPr>
          <w:rFonts w:ascii="Tahoma" w:hAnsi="Tahoma"/>
          <w:sz w:val="20"/>
        </w:rPr>
        <w:t>5.   Την</w:t>
        <w:tab/>
        <w:t>Υπουργική</w:t>
        <w:tab/>
        <w:t>Απόφαση</w:t>
        <w:tab/>
        <w:t>με</w:t>
        <w:tab/>
        <w:t>αριθ.</w:t>
        <w:tab/>
        <w:t>32675/ΕΥΘΥ331/23.03.2015</w:t>
        <w:tab/>
        <w:t>(ΦΕΚ</w:t>
        <w:tab/>
        <w:t>713/Β΄/24-4-2015)</w:t>
      </w:r>
    </w:p>
    <w:p>
      <w:pPr>
        <w:spacing w:line="319" w:lineRule="auto" w:before="78"/>
        <w:ind w:left="646" w:right="112" w:firstLine="0"/>
        <w:jc w:val="both"/>
        <w:rPr>
          <w:rFonts w:ascii="Tahoma" w:hAnsi="Tahoma"/>
          <w:sz w:val="20"/>
        </w:rPr>
      </w:pPr>
      <w:r>
        <w:rPr>
          <w:rFonts w:ascii="Tahoma" w:hAnsi="Tahoma"/>
          <w:sz w:val="20"/>
        </w:rPr>
        <w:t>«Αναδιάρθρωση της Ειδικής Υπηρεσίας Διαχείρισης του ΕΠ Περιφέρειας Θεσσαλίας, σύμφωνα με το άρθρο 7 του Ν. 4314/2014 και αντικατάσταση της αριθμ. 41545/ Γ΄ΚΠΣ/280ΚΥΑ/08.12.2000 (ΦΕΚ 1501/Β΄) ΚΥΑ, όπως έχει τροποποιηθεί και ισχύει».</w:t>
      </w:r>
    </w:p>
    <w:p>
      <w:pPr>
        <w:pStyle w:val="ListParagraph"/>
        <w:numPr>
          <w:ilvl w:val="0"/>
          <w:numId w:val="2"/>
        </w:numPr>
        <w:tabs>
          <w:tab w:pos="647" w:val="left" w:leader="none"/>
        </w:tabs>
        <w:spacing w:line="319" w:lineRule="auto" w:before="0" w:after="0"/>
        <w:ind w:left="646" w:right="111" w:hanging="360"/>
        <w:jc w:val="both"/>
        <w:rPr>
          <w:rFonts w:ascii="Tahoma" w:hAnsi="Tahoma"/>
          <w:sz w:val="20"/>
        </w:rPr>
      </w:pPr>
      <w:r>
        <w:rPr>
          <w:rFonts w:ascii="Tahoma" w:hAnsi="Tahoma"/>
          <w:sz w:val="20"/>
        </w:rPr>
        <w:t>Τον Κανονισμό (ΕΕ) 1303/2013 του Ευρωπαϊκού Κοινοβουλίου και του Συμβουλίου της 17ης Δεκεμβρίου 2013 περί καθορισμού κοινών διατάξεων για το Ευρωπαϊκό Ταμείο Περιφερειακής Ανάπτυξης, το Ευρωπαϊκό Κοινωνικό Ταμείο, το Ταμείο Συνοχής, το Ευρωπαϊκό Ταμείο Αγροτικής Ανάπτυξης και το Ευρωπαϊκό Ταμείο Θάλασσας και Αλιείας και την κατάργηση του κανονισμού (ΕΚ) αριθ.</w:t>
      </w:r>
      <w:r>
        <w:rPr>
          <w:rFonts w:ascii="Tahoma" w:hAnsi="Tahoma"/>
          <w:spacing w:val="-8"/>
          <w:sz w:val="20"/>
        </w:rPr>
        <w:t> </w:t>
      </w:r>
      <w:r>
        <w:rPr>
          <w:rFonts w:ascii="Tahoma" w:hAnsi="Tahoma"/>
          <w:sz w:val="20"/>
        </w:rPr>
        <w:t>1083/2006</w:t>
      </w:r>
      <w:r>
        <w:rPr>
          <w:rFonts w:ascii="Tahoma" w:hAnsi="Tahoma"/>
          <w:spacing w:val="-6"/>
          <w:sz w:val="20"/>
        </w:rPr>
        <w:t> </w:t>
      </w:r>
      <w:r>
        <w:rPr>
          <w:rFonts w:ascii="Tahoma" w:hAnsi="Tahoma"/>
          <w:sz w:val="20"/>
        </w:rPr>
        <w:t>και</w:t>
      </w:r>
      <w:r>
        <w:rPr>
          <w:rFonts w:ascii="Tahoma" w:hAnsi="Tahoma"/>
          <w:spacing w:val="-6"/>
          <w:sz w:val="20"/>
        </w:rPr>
        <w:t> </w:t>
      </w:r>
      <w:r>
        <w:rPr>
          <w:rFonts w:ascii="Tahoma" w:hAnsi="Tahoma"/>
          <w:sz w:val="20"/>
        </w:rPr>
        <w:t>ειδικότερα</w:t>
      </w:r>
      <w:r>
        <w:rPr>
          <w:rFonts w:ascii="Tahoma" w:hAnsi="Tahoma"/>
          <w:spacing w:val="-8"/>
          <w:sz w:val="20"/>
        </w:rPr>
        <w:t> </w:t>
      </w:r>
      <w:r>
        <w:rPr>
          <w:rFonts w:ascii="Tahoma" w:hAnsi="Tahoma"/>
          <w:sz w:val="20"/>
        </w:rPr>
        <w:t>το</w:t>
      </w:r>
      <w:r>
        <w:rPr>
          <w:rFonts w:ascii="Tahoma" w:hAnsi="Tahoma"/>
          <w:spacing w:val="-8"/>
          <w:sz w:val="20"/>
        </w:rPr>
        <w:t> </w:t>
      </w:r>
      <w:r>
        <w:rPr>
          <w:rFonts w:ascii="Tahoma" w:hAnsi="Tahoma"/>
          <w:sz w:val="20"/>
        </w:rPr>
        <w:t>άρθρο</w:t>
      </w:r>
      <w:r>
        <w:rPr>
          <w:rFonts w:ascii="Tahoma" w:hAnsi="Tahoma"/>
          <w:spacing w:val="-6"/>
          <w:sz w:val="20"/>
        </w:rPr>
        <w:t> </w:t>
      </w:r>
      <w:r>
        <w:rPr>
          <w:rFonts w:ascii="Tahoma" w:hAnsi="Tahoma"/>
          <w:sz w:val="20"/>
        </w:rPr>
        <w:t>72</w:t>
      </w:r>
      <w:r>
        <w:rPr>
          <w:rFonts w:ascii="Tahoma" w:hAnsi="Tahoma"/>
          <w:spacing w:val="-8"/>
          <w:sz w:val="20"/>
        </w:rPr>
        <w:t> </w:t>
      </w:r>
      <w:r>
        <w:rPr>
          <w:rFonts w:ascii="Tahoma" w:hAnsi="Tahoma"/>
          <w:sz w:val="20"/>
        </w:rPr>
        <w:t>(β)</w:t>
      </w:r>
      <w:r>
        <w:rPr>
          <w:rFonts w:ascii="Tahoma" w:hAnsi="Tahoma"/>
          <w:spacing w:val="-4"/>
          <w:sz w:val="20"/>
        </w:rPr>
        <w:t> </w:t>
      </w:r>
      <w:r>
        <w:rPr>
          <w:rFonts w:ascii="Tahoma" w:hAnsi="Tahoma"/>
          <w:sz w:val="20"/>
        </w:rPr>
        <w:t>και</w:t>
      </w:r>
      <w:r>
        <w:rPr>
          <w:rFonts w:ascii="Tahoma" w:hAnsi="Tahoma"/>
          <w:spacing w:val="-6"/>
          <w:sz w:val="20"/>
        </w:rPr>
        <w:t> </w:t>
      </w:r>
      <w:r>
        <w:rPr>
          <w:rFonts w:ascii="Tahoma" w:hAnsi="Tahoma"/>
          <w:sz w:val="20"/>
        </w:rPr>
        <w:t>το</w:t>
      </w:r>
      <w:r>
        <w:rPr>
          <w:rFonts w:ascii="Tahoma" w:hAnsi="Tahoma"/>
          <w:spacing w:val="-8"/>
          <w:sz w:val="20"/>
        </w:rPr>
        <w:t> </w:t>
      </w:r>
      <w:r>
        <w:rPr>
          <w:rFonts w:ascii="Tahoma" w:hAnsi="Tahoma"/>
          <w:sz w:val="20"/>
        </w:rPr>
        <w:t>άρθρο</w:t>
      </w:r>
      <w:r>
        <w:rPr>
          <w:rFonts w:ascii="Tahoma" w:hAnsi="Tahoma"/>
          <w:spacing w:val="-8"/>
          <w:sz w:val="20"/>
        </w:rPr>
        <w:t> </w:t>
      </w:r>
      <w:r>
        <w:rPr>
          <w:rFonts w:ascii="Tahoma" w:hAnsi="Tahoma"/>
          <w:sz w:val="20"/>
        </w:rPr>
        <w:t>123,</w:t>
      </w:r>
      <w:r>
        <w:rPr>
          <w:rFonts w:ascii="Tahoma" w:hAnsi="Tahoma"/>
          <w:spacing w:val="-8"/>
          <w:sz w:val="20"/>
        </w:rPr>
        <w:t> </w:t>
      </w:r>
      <w:r>
        <w:rPr>
          <w:rFonts w:ascii="Tahoma" w:hAnsi="Tahoma"/>
          <w:sz w:val="20"/>
        </w:rPr>
        <w:t>παρ.</w:t>
      </w:r>
      <w:r>
        <w:rPr>
          <w:rFonts w:ascii="Tahoma" w:hAnsi="Tahoma"/>
          <w:spacing w:val="-8"/>
          <w:sz w:val="20"/>
        </w:rPr>
        <w:t> </w:t>
      </w:r>
      <w:r>
        <w:rPr>
          <w:rFonts w:ascii="Tahoma" w:hAnsi="Tahoma"/>
          <w:sz w:val="20"/>
        </w:rPr>
        <w:t>6</w:t>
      </w:r>
      <w:r>
        <w:rPr>
          <w:rFonts w:ascii="Tahoma" w:hAnsi="Tahoma"/>
          <w:spacing w:val="-6"/>
          <w:sz w:val="20"/>
        </w:rPr>
        <w:t> </w:t>
      </w:r>
      <w:r>
        <w:rPr>
          <w:rFonts w:ascii="Tahoma" w:hAnsi="Tahoma"/>
          <w:sz w:val="20"/>
        </w:rPr>
        <w:t>και</w:t>
      </w:r>
      <w:r>
        <w:rPr>
          <w:rFonts w:ascii="Tahoma" w:hAnsi="Tahoma"/>
          <w:spacing w:val="-6"/>
          <w:sz w:val="20"/>
        </w:rPr>
        <w:t> </w:t>
      </w:r>
      <w:r>
        <w:rPr>
          <w:rFonts w:ascii="Tahoma" w:hAnsi="Tahoma"/>
          <w:sz w:val="20"/>
        </w:rPr>
        <w:t>7,</w:t>
      </w:r>
      <w:r>
        <w:rPr>
          <w:rFonts w:ascii="Tahoma" w:hAnsi="Tahoma"/>
          <w:spacing w:val="-8"/>
          <w:sz w:val="20"/>
        </w:rPr>
        <w:t> </w:t>
      </w:r>
      <w:r>
        <w:rPr>
          <w:rFonts w:ascii="Tahoma" w:hAnsi="Tahoma"/>
          <w:sz w:val="20"/>
        </w:rPr>
        <w:t>όπως</w:t>
      </w:r>
      <w:r>
        <w:rPr>
          <w:rFonts w:ascii="Tahoma" w:hAnsi="Tahoma"/>
          <w:spacing w:val="-6"/>
          <w:sz w:val="20"/>
        </w:rPr>
        <w:t> </w:t>
      </w:r>
      <w:r>
        <w:rPr>
          <w:rFonts w:ascii="Tahoma" w:hAnsi="Tahoma"/>
          <w:sz w:val="20"/>
        </w:rPr>
        <w:t>ισχύει.</w:t>
      </w:r>
    </w:p>
    <w:p>
      <w:pPr>
        <w:pStyle w:val="ListParagraph"/>
        <w:numPr>
          <w:ilvl w:val="0"/>
          <w:numId w:val="2"/>
        </w:numPr>
        <w:tabs>
          <w:tab w:pos="647" w:val="left" w:leader="none"/>
        </w:tabs>
        <w:spacing w:line="319" w:lineRule="auto" w:before="0" w:after="0"/>
        <w:ind w:left="646" w:right="107" w:hanging="360"/>
        <w:jc w:val="both"/>
        <w:rPr>
          <w:rFonts w:ascii="Tahoma" w:hAnsi="Tahoma"/>
          <w:sz w:val="20"/>
        </w:rPr>
      </w:pPr>
      <w:r>
        <w:rPr>
          <w:rFonts w:ascii="Tahoma" w:hAnsi="Tahoma"/>
          <w:sz w:val="20"/>
        </w:rPr>
        <w:t>Τον Κανονισμό (ΕΚ) αριθ. 1301/2013 του Ευρωπαϊκού Κοινοβουλίου και του Συμβουλίου της 17ης Δεκεμβρίου 2013, σχετικά με το Ευρωπαϊκό Ταμείο Περιφερειακής Ανάπτυξης και για τη θέσπιση ειδικών διατάξεων σχετικά με τον στόχο «Επενδύσεις στην ανάπτυξη και την απασχόληση» και για την</w:t>
      </w:r>
      <w:r>
        <w:rPr>
          <w:rFonts w:ascii="Tahoma" w:hAnsi="Tahoma"/>
          <w:spacing w:val="-10"/>
          <w:sz w:val="20"/>
        </w:rPr>
        <w:t> </w:t>
      </w:r>
      <w:r>
        <w:rPr>
          <w:rFonts w:ascii="Tahoma" w:hAnsi="Tahoma"/>
          <w:sz w:val="20"/>
        </w:rPr>
        <w:t>κατάργηση</w:t>
      </w:r>
      <w:r>
        <w:rPr>
          <w:rFonts w:ascii="Tahoma" w:hAnsi="Tahoma"/>
          <w:spacing w:val="-11"/>
          <w:sz w:val="20"/>
        </w:rPr>
        <w:t> </w:t>
      </w:r>
      <w:r>
        <w:rPr>
          <w:rFonts w:ascii="Tahoma" w:hAnsi="Tahoma"/>
          <w:sz w:val="20"/>
        </w:rPr>
        <w:t>του</w:t>
      </w:r>
      <w:r>
        <w:rPr>
          <w:rFonts w:ascii="Tahoma" w:hAnsi="Tahoma"/>
          <w:spacing w:val="-9"/>
          <w:sz w:val="20"/>
        </w:rPr>
        <w:t> </w:t>
      </w:r>
      <w:r>
        <w:rPr>
          <w:rFonts w:ascii="Tahoma" w:hAnsi="Tahoma"/>
          <w:sz w:val="20"/>
        </w:rPr>
        <w:t>κανονισμού</w:t>
      </w:r>
      <w:r>
        <w:rPr>
          <w:rFonts w:ascii="Tahoma" w:hAnsi="Tahoma"/>
          <w:spacing w:val="-10"/>
          <w:sz w:val="20"/>
        </w:rPr>
        <w:t> </w:t>
      </w:r>
      <w:r>
        <w:rPr>
          <w:rFonts w:ascii="Tahoma" w:hAnsi="Tahoma"/>
          <w:sz w:val="20"/>
        </w:rPr>
        <w:t>(ΕΚ)</w:t>
      </w:r>
      <w:r>
        <w:rPr>
          <w:rFonts w:ascii="Tahoma" w:hAnsi="Tahoma"/>
          <w:spacing w:val="-9"/>
          <w:sz w:val="20"/>
        </w:rPr>
        <w:t> </w:t>
      </w:r>
      <w:r>
        <w:rPr>
          <w:rFonts w:ascii="Tahoma" w:hAnsi="Tahoma"/>
          <w:sz w:val="20"/>
        </w:rPr>
        <w:t>αριθ.</w:t>
      </w:r>
      <w:r>
        <w:rPr>
          <w:rFonts w:ascii="Tahoma" w:hAnsi="Tahoma"/>
          <w:spacing w:val="-8"/>
          <w:sz w:val="20"/>
        </w:rPr>
        <w:t> </w:t>
      </w:r>
      <w:r>
        <w:rPr>
          <w:rFonts w:ascii="Tahoma" w:hAnsi="Tahoma"/>
          <w:sz w:val="20"/>
        </w:rPr>
        <w:t>1080/2006,</w:t>
      </w:r>
      <w:r>
        <w:rPr>
          <w:rFonts w:ascii="Tahoma" w:hAnsi="Tahoma"/>
          <w:spacing w:val="-10"/>
          <w:sz w:val="20"/>
        </w:rPr>
        <w:t> </w:t>
      </w:r>
      <w:r>
        <w:rPr>
          <w:rFonts w:ascii="Tahoma" w:hAnsi="Tahoma"/>
          <w:sz w:val="20"/>
        </w:rPr>
        <w:t>όπως</w:t>
      </w:r>
      <w:r>
        <w:rPr>
          <w:rFonts w:ascii="Tahoma" w:hAnsi="Tahoma"/>
          <w:spacing w:val="-10"/>
          <w:sz w:val="20"/>
        </w:rPr>
        <w:t> </w:t>
      </w:r>
      <w:r>
        <w:rPr>
          <w:rFonts w:ascii="Tahoma" w:hAnsi="Tahoma"/>
          <w:sz w:val="20"/>
        </w:rPr>
        <w:t>ισχύει.</w:t>
      </w:r>
    </w:p>
    <w:p>
      <w:pPr>
        <w:spacing w:after="0" w:line="319" w:lineRule="auto"/>
        <w:jc w:val="both"/>
        <w:rPr>
          <w:rFonts w:ascii="Tahoma" w:hAnsi="Tahoma"/>
          <w:sz w:val="20"/>
        </w:rPr>
        <w:sectPr>
          <w:type w:val="continuous"/>
          <w:pgSz w:w="11910" w:h="16840"/>
          <w:pgMar w:top="800" w:bottom="1580" w:left="1140" w:right="1220"/>
        </w:sectPr>
      </w:pPr>
    </w:p>
    <w:p>
      <w:pPr>
        <w:pStyle w:val="ListParagraph"/>
        <w:numPr>
          <w:ilvl w:val="0"/>
          <w:numId w:val="2"/>
        </w:numPr>
        <w:tabs>
          <w:tab w:pos="647" w:val="left" w:leader="none"/>
        </w:tabs>
        <w:spacing w:line="319" w:lineRule="auto" w:before="87" w:after="0"/>
        <w:ind w:left="646" w:right="110" w:hanging="360"/>
        <w:jc w:val="both"/>
        <w:rPr>
          <w:rFonts w:ascii="Tahoma" w:hAnsi="Tahoma"/>
          <w:sz w:val="20"/>
        </w:rPr>
      </w:pPr>
      <w:r>
        <w:rPr>
          <w:rFonts w:ascii="Tahoma" w:hAnsi="Tahoma"/>
          <w:sz w:val="20"/>
        </w:rPr>
        <w:t>Τον Κανονισμό (ΕΕ) αριθ. 821/2014 της Επιτροπής της 28ης Ιουλίου 2014, περί καθορισμού κανόνων εφαρμογής του κανονισμού (ΕΕ) αριθ.1303/2013 του Ευρωπαϊκού Κοινοβουλίου και του Συμβουλίου όσον αφορά τις λεπτομέρειες για την μεταβίβαση και διαχείριση των συνεισφορών των προγραμμάτων, την υποβολή εκθέσεων σχετικά με τα μέσα χρηματοοικονομικής τεχνικής, τα τεχνικά χαρακτηριστικά των μέτρων πληροφόρησης και επικοινωνίας για τις πράξεις και το σύστημα καταγραφής και αποθήκευσης των δεδομένων, όπως τροποποιείται και</w:t>
      </w:r>
      <w:r>
        <w:rPr>
          <w:rFonts w:ascii="Tahoma" w:hAnsi="Tahoma"/>
          <w:spacing w:val="-22"/>
          <w:sz w:val="20"/>
        </w:rPr>
        <w:t> </w:t>
      </w:r>
      <w:r>
        <w:rPr>
          <w:rFonts w:ascii="Tahoma" w:hAnsi="Tahoma"/>
          <w:sz w:val="20"/>
        </w:rPr>
        <w:t>ισχύει.</w:t>
      </w:r>
    </w:p>
    <w:p>
      <w:pPr>
        <w:pStyle w:val="ListParagraph"/>
        <w:numPr>
          <w:ilvl w:val="0"/>
          <w:numId w:val="2"/>
        </w:numPr>
        <w:tabs>
          <w:tab w:pos="647" w:val="left" w:leader="none"/>
        </w:tabs>
        <w:spacing w:line="319" w:lineRule="auto" w:before="0" w:after="0"/>
        <w:ind w:left="646" w:right="111" w:hanging="360"/>
        <w:jc w:val="both"/>
        <w:rPr>
          <w:rFonts w:ascii="Tahoma" w:hAnsi="Tahoma"/>
          <w:sz w:val="20"/>
        </w:rPr>
      </w:pPr>
      <w:r>
        <w:rPr>
          <w:rFonts w:ascii="Tahoma" w:hAnsi="Tahoma"/>
          <w:sz w:val="20"/>
        </w:rPr>
        <w:t>Την Ανακοίνωση της Ευρωπαϊκής Επιτροπής σχετικά με την έννοια της κρατικής ενίσχυσης όπως αναφέρεται στο άρθρο 107 παράγραφος 1 της Συνθήκης για τη λειτουργία της Ευρωπαϊκής Ένωσης (2016/C</w:t>
      </w:r>
      <w:r>
        <w:rPr>
          <w:rFonts w:ascii="Tahoma" w:hAnsi="Tahoma"/>
          <w:spacing w:val="-9"/>
          <w:sz w:val="20"/>
        </w:rPr>
        <w:t> </w:t>
      </w:r>
      <w:r>
        <w:rPr>
          <w:rFonts w:ascii="Tahoma" w:hAnsi="Tahoma"/>
          <w:sz w:val="20"/>
        </w:rPr>
        <w:t>262/01).</w:t>
      </w:r>
    </w:p>
    <w:p>
      <w:pPr>
        <w:pStyle w:val="ListParagraph"/>
        <w:numPr>
          <w:ilvl w:val="0"/>
          <w:numId w:val="2"/>
        </w:numPr>
        <w:tabs>
          <w:tab w:pos="647" w:val="left" w:leader="none"/>
        </w:tabs>
        <w:spacing w:line="319" w:lineRule="auto" w:before="0" w:after="0"/>
        <w:ind w:left="646" w:right="120" w:hanging="360"/>
        <w:jc w:val="both"/>
        <w:rPr>
          <w:rFonts w:ascii="Tahoma" w:hAnsi="Tahoma"/>
          <w:sz w:val="20"/>
        </w:rPr>
      </w:pPr>
      <w:r>
        <w:rPr>
          <w:rFonts w:ascii="Tahoma" w:hAnsi="Tahoma"/>
          <w:sz w:val="20"/>
        </w:rPr>
        <w:t>Τον Κανονισμό (ΕΕ) αριθ. 1407/2013 της Επιτροπής της 18ης Δεκεμβρίου 2013 σχετικά με την εφαρμογή των άρθρων 107 και 108 της Συνθήκης για τη λειτουργία της Ευρωπαϊκής Ένωσης στις ενισχύσεις ήσσονος σημασίας, όπως τροποποιείται και ισχύει (O.J ΕΕ L 352/1 της</w:t>
      </w:r>
      <w:r>
        <w:rPr>
          <w:rFonts w:ascii="Tahoma" w:hAnsi="Tahoma"/>
          <w:spacing w:val="-24"/>
          <w:sz w:val="20"/>
        </w:rPr>
        <w:t> </w:t>
      </w:r>
      <w:r>
        <w:rPr>
          <w:rFonts w:ascii="Tahoma" w:hAnsi="Tahoma"/>
          <w:sz w:val="20"/>
        </w:rPr>
        <w:t>24.12.2013).</w:t>
      </w:r>
    </w:p>
    <w:p>
      <w:pPr>
        <w:pStyle w:val="ListParagraph"/>
        <w:numPr>
          <w:ilvl w:val="0"/>
          <w:numId w:val="2"/>
        </w:numPr>
        <w:tabs>
          <w:tab w:pos="647" w:val="left" w:leader="none"/>
        </w:tabs>
        <w:spacing w:line="319" w:lineRule="auto" w:before="0" w:after="0"/>
        <w:ind w:left="646" w:right="118" w:hanging="360"/>
        <w:jc w:val="both"/>
        <w:rPr>
          <w:rFonts w:ascii="Tahoma" w:hAnsi="Tahoma"/>
          <w:sz w:val="20"/>
        </w:rPr>
      </w:pPr>
      <w:r>
        <w:rPr>
          <w:rFonts w:ascii="Tahoma" w:hAnsi="Tahoma"/>
          <w:sz w:val="20"/>
        </w:rPr>
        <w:t>Τον Κανονισμό (ΕΕ) αριθ.651/2014 της Επιτροπής της 17ης Ιουνίου για την κήρυξη ορισμένων κατηγοριών ενισχύσεων ως συμβατών με την εσωτερική αγορά κατ’ εφαρμογή των Άρθρων 107  και 108 της Συνθήκης (O.J ΕΕ L 187/1 της</w:t>
      </w:r>
      <w:r>
        <w:rPr>
          <w:rFonts w:ascii="Tahoma" w:hAnsi="Tahoma"/>
          <w:spacing w:val="-17"/>
          <w:sz w:val="20"/>
        </w:rPr>
        <w:t> </w:t>
      </w:r>
      <w:r>
        <w:rPr>
          <w:rFonts w:ascii="Tahoma" w:hAnsi="Tahoma"/>
          <w:sz w:val="20"/>
        </w:rPr>
        <w:t>26.6.2014).</w:t>
      </w:r>
    </w:p>
    <w:p>
      <w:pPr>
        <w:pStyle w:val="ListParagraph"/>
        <w:numPr>
          <w:ilvl w:val="0"/>
          <w:numId w:val="2"/>
        </w:numPr>
        <w:tabs>
          <w:tab w:pos="647" w:val="left" w:leader="none"/>
        </w:tabs>
        <w:spacing w:line="319" w:lineRule="auto" w:before="0" w:after="0"/>
        <w:ind w:left="646" w:right="119" w:hanging="360"/>
        <w:jc w:val="both"/>
        <w:rPr>
          <w:rFonts w:ascii="Tahoma" w:hAnsi="Tahoma"/>
          <w:sz w:val="20"/>
        </w:rPr>
      </w:pPr>
      <w:r>
        <w:rPr>
          <w:rFonts w:ascii="Tahoma" w:hAnsi="Tahoma"/>
          <w:sz w:val="20"/>
        </w:rPr>
        <w:t>Την Ανακοίνωση της Επιτροπής 2007/C/272/05 για την αποτελεσματική εφαρμογή των αποφάσεων της Επιτροπής με τις οποίες τα κράτη μέλη διατάσσονται να ανακτήσουν παράνομες και ασυμβίβαστες κρατικές</w:t>
      </w:r>
      <w:r>
        <w:rPr>
          <w:rFonts w:ascii="Tahoma" w:hAnsi="Tahoma"/>
          <w:spacing w:val="-12"/>
          <w:sz w:val="20"/>
        </w:rPr>
        <w:t> </w:t>
      </w:r>
      <w:r>
        <w:rPr>
          <w:rFonts w:ascii="Tahoma" w:hAnsi="Tahoma"/>
          <w:sz w:val="20"/>
        </w:rPr>
        <w:t>ενισχύσεις.</w:t>
      </w:r>
    </w:p>
    <w:p>
      <w:pPr>
        <w:spacing w:line="319" w:lineRule="auto" w:before="0"/>
        <w:ind w:left="646" w:right="107" w:hanging="360"/>
        <w:jc w:val="both"/>
        <w:rPr>
          <w:rFonts w:ascii="Tahoma" w:hAnsi="Tahoma"/>
          <w:sz w:val="20"/>
        </w:rPr>
      </w:pPr>
      <w:r>
        <w:rPr>
          <w:rFonts w:ascii="Tahoma" w:hAnsi="Tahoma"/>
          <w:sz w:val="20"/>
        </w:rPr>
        <w:t>13. Τη με αρ. πρωτ. 137675/EΥΘΥ1016/19.12.2018 (ΦΕΚ 5968/Β/31.12.2018) Υπουργική Απόφαση Αντικατάστασης της υπ’ αριθμ. 110427/EΥΘΥ/1020/20.10.2016 (ΦΕΚ Β΄ 3521) υπουργικής απόφασης με τίτλο «Τροποποίηση και αντικατάσταση της υπ’ αριθμ. 81986/ΕΥΘΥ712/31.7.2015 (ΦΕΚ Β΄ 1822) υπουργικής απόφασης “Εθνικοί κανόνες επιλεξιμότητας δαπανών για τα προγράμματα του ΕΣΠΑ 2014 - 2020 - Έλεγχοι νομιμότητας δημοσίων συμβάσεων συγχρηματοδοτούμενων πράξεων ΕΣΠΑ 2014-2020 από Αρχές Διαχείρισης και Ενδιάμεσους Φορείς</w:t>
      </w:r>
      <w:r>
        <w:rPr>
          <w:rFonts w:ascii="Tahoma" w:hAnsi="Tahoma"/>
          <w:spacing w:val="-33"/>
          <w:sz w:val="20"/>
        </w:rPr>
        <w:t> </w:t>
      </w:r>
      <w:r>
        <w:rPr>
          <w:rFonts w:ascii="Tahoma" w:hAnsi="Tahoma"/>
          <w:sz w:val="20"/>
        </w:rPr>
        <w:t>- Διαδικασία</w:t>
      </w:r>
      <w:r>
        <w:rPr>
          <w:rFonts w:ascii="Tahoma" w:hAnsi="Tahoma"/>
          <w:spacing w:val="-11"/>
          <w:sz w:val="20"/>
        </w:rPr>
        <w:t> </w:t>
      </w:r>
      <w:r>
        <w:rPr>
          <w:rFonts w:ascii="Tahoma" w:hAnsi="Tahoma"/>
          <w:sz w:val="20"/>
        </w:rPr>
        <w:t>ενστάσεων</w:t>
      </w:r>
      <w:r>
        <w:rPr>
          <w:rFonts w:ascii="Tahoma" w:hAnsi="Tahoma"/>
          <w:spacing w:val="-13"/>
          <w:sz w:val="20"/>
        </w:rPr>
        <w:t> </w:t>
      </w:r>
      <w:r>
        <w:rPr>
          <w:rFonts w:ascii="Tahoma" w:hAnsi="Tahoma"/>
          <w:sz w:val="20"/>
        </w:rPr>
        <w:t>επί</w:t>
      </w:r>
      <w:r>
        <w:rPr>
          <w:rFonts w:ascii="Tahoma" w:hAnsi="Tahoma"/>
          <w:spacing w:val="-12"/>
          <w:sz w:val="20"/>
        </w:rPr>
        <w:t> </w:t>
      </w:r>
      <w:r>
        <w:rPr>
          <w:rFonts w:ascii="Tahoma" w:hAnsi="Tahoma"/>
          <w:sz w:val="20"/>
        </w:rPr>
        <w:t>των</w:t>
      </w:r>
      <w:r>
        <w:rPr>
          <w:rFonts w:ascii="Tahoma" w:hAnsi="Tahoma"/>
          <w:spacing w:val="-12"/>
          <w:sz w:val="20"/>
        </w:rPr>
        <w:t> </w:t>
      </w:r>
      <w:r>
        <w:rPr>
          <w:rFonts w:ascii="Tahoma" w:hAnsi="Tahoma"/>
          <w:sz w:val="20"/>
        </w:rPr>
        <w:t>αποτελεσμάτων</w:t>
      </w:r>
      <w:r>
        <w:rPr>
          <w:rFonts w:ascii="Tahoma" w:hAnsi="Tahoma"/>
          <w:spacing w:val="-13"/>
          <w:sz w:val="20"/>
        </w:rPr>
        <w:t> </w:t>
      </w:r>
      <w:r>
        <w:rPr>
          <w:rFonts w:ascii="Tahoma" w:hAnsi="Tahoma"/>
          <w:sz w:val="20"/>
        </w:rPr>
        <w:t>αξιολόγησης</w:t>
      </w:r>
      <w:r>
        <w:rPr>
          <w:rFonts w:ascii="Tahoma" w:hAnsi="Tahoma"/>
          <w:spacing w:val="-10"/>
          <w:sz w:val="20"/>
        </w:rPr>
        <w:t> </w:t>
      </w:r>
      <w:r>
        <w:rPr>
          <w:rFonts w:ascii="Tahoma" w:hAnsi="Tahoma"/>
          <w:sz w:val="20"/>
        </w:rPr>
        <w:t>πράξεων”»,</w:t>
      </w:r>
      <w:r>
        <w:rPr>
          <w:rFonts w:ascii="Tahoma" w:hAnsi="Tahoma"/>
          <w:spacing w:val="-12"/>
          <w:sz w:val="20"/>
        </w:rPr>
        <w:t> </w:t>
      </w:r>
      <w:r>
        <w:rPr>
          <w:rFonts w:ascii="Tahoma" w:hAnsi="Tahoma"/>
          <w:sz w:val="20"/>
        </w:rPr>
        <w:t>όπως</w:t>
      </w:r>
      <w:r>
        <w:rPr>
          <w:rFonts w:ascii="Tahoma" w:hAnsi="Tahoma"/>
          <w:spacing w:val="-12"/>
          <w:sz w:val="20"/>
        </w:rPr>
        <w:t> </w:t>
      </w:r>
      <w:r>
        <w:rPr>
          <w:rFonts w:ascii="Tahoma" w:hAnsi="Tahoma"/>
          <w:sz w:val="20"/>
        </w:rPr>
        <w:t>ισχύει.</w:t>
      </w:r>
    </w:p>
    <w:p>
      <w:pPr>
        <w:pStyle w:val="ListParagraph"/>
        <w:numPr>
          <w:ilvl w:val="0"/>
          <w:numId w:val="3"/>
        </w:numPr>
        <w:tabs>
          <w:tab w:pos="647" w:val="left" w:leader="none"/>
        </w:tabs>
        <w:spacing w:line="319" w:lineRule="auto" w:before="0" w:after="0"/>
        <w:ind w:left="646" w:right="112" w:hanging="360"/>
        <w:jc w:val="both"/>
        <w:rPr>
          <w:rFonts w:ascii="Tahoma" w:hAnsi="Tahoma"/>
          <w:sz w:val="20"/>
        </w:rPr>
      </w:pPr>
      <w:r>
        <w:rPr>
          <w:rFonts w:ascii="Tahoma" w:hAnsi="Tahoma"/>
          <w:sz w:val="20"/>
        </w:rPr>
        <w:t>Τη με αριθμ. 126829 ΕΥΘΥ 1217(1) ΚΥΑ (ΦΕΚ 2784 Β’, 21-12-2015) Σύστημα δημοσιονομικών διορθώσεων και διαδικασίες ανάκτησης αχρεωστήτως ή παρανόμως καταβληθέντων ποσών από πόρους του κρατικού προϋπολογισμού για την υλοποίηση προγραμμάτων συγχρηματοδοτούμενων στο πλαίσιο του ΕΣΠΑ 2014-2020 σύμφωνα με το αρ. 22 του Ν.4314/2014, όπως</w:t>
      </w:r>
      <w:r>
        <w:rPr>
          <w:rFonts w:ascii="Tahoma" w:hAnsi="Tahoma"/>
          <w:spacing w:val="-27"/>
          <w:sz w:val="20"/>
        </w:rPr>
        <w:t> </w:t>
      </w:r>
      <w:r>
        <w:rPr>
          <w:rFonts w:ascii="Tahoma" w:hAnsi="Tahoma"/>
          <w:sz w:val="20"/>
        </w:rPr>
        <w:t>ισχύει.</w:t>
      </w:r>
    </w:p>
    <w:p>
      <w:pPr>
        <w:pStyle w:val="ListParagraph"/>
        <w:numPr>
          <w:ilvl w:val="0"/>
          <w:numId w:val="3"/>
        </w:numPr>
        <w:tabs>
          <w:tab w:pos="647" w:val="left" w:leader="none"/>
        </w:tabs>
        <w:spacing w:line="316" w:lineRule="auto" w:before="0" w:after="0"/>
        <w:ind w:left="646" w:right="111" w:hanging="360"/>
        <w:jc w:val="both"/>
        <w:rPr>
          <w:rFonts w:ascii="Tahoma" w:hAnsi="Tahoma"/>
          <w:sz w:val="20"/>
        </w:rPr>
      </w:pPr>
      <w:r>
        <w:rPr>
          <w:rFonts w:ascii="Tahoma" w:hAnsi="Tahoma"/>
          <w:sz w:val="20"/>
        </w:rPr>
        <w:t>Την Υ.Α. με Α.Π. 3357/ΕΥΣ/1338/27.01.2011 «Στοιχεία συστήματος για τον έλεγχο σώρευσης κρατικών ενισχύσεων», όπως</w:t>
      </w:r>
      <w:r>
        <w:rPr>
          <w:rFonts w:ascii="Tahoma" w:hAnsi="Tahoma"/>
          <w:spacing w:val="-14"/>
          <w:sz w:val="20"/>
        </w:rPr>
        <w:t> </w:t>
      </w:r>
      <w:r>
        <w:rPr>
          <w:rFonts w:ascii="Tahoma" w:hAnsi="Tahoma"/>
          <w:sz w:val="20"/>
        </w:rPr>
        <w:t>ισχύει.</w:t>
      </w:r>
    </w:p>
    <w:p>
      <w:pPr>
        <w:pStyle w:val="ListParagraph"/>
        <w:numPr>
          <w:ilvl w:val="0"/>
          <w:numId w:val="3"/>
        </w:numPr>
        <w:tabs>
          <w:tab w:pos="647" w:val="left" w:leader="none"/>
        </w:tabs>
        <w:spacing w:line="319" w:lineRule="auto" w:before="0" w:after="0"/>
        <w:ind w:left="646" w:right="118" w:hanging="360"/>
        <w:jc w:val="both"/>
        <w:rPr>
          <w:rFonts w:ascii="Tahoma" w:hAnsi="Tahoma"/>
          <w:sz w:val="20"/>
        </w:rPr>
      </w:pPr>
      <w:r>
        <w:rPr>
          <w:rFonts w:ascii="Tahoma" w:hAnsi="Tahoma"/>
          <w:sz w:val="20"/>
        </w:rPr>
        <w:t>Το με αριθμό C (2014) 3542 final/23.5.2014 εγκεκριμένο από την Ευρωπαϊκή Επιτροπή «Σύμφωνο Εταιρικής Σχέσης 2014-2020 (Εταιρικό Σύμφωνο για το Πλαίσιο</w:t>
      </w:r>
      <w:r>
        <w:rPr>
          <w:rFonts w:ascii="Tahoma" w:hAnsi="Tahoma"/>
          <w:spacing w:val="-22"/>
          <w:sz w:val="20"/>
        </w:rPr>
        <w:t> </w:t>
      </w:r>
      <w:r>
        <w:rPr>
          <w:rFonts w:ascii="Tahoma" w:hAnsi="Tahoma"/>
          <w:sz w:val="20"/>
        </w:rPr>
        <w:t>Ανάπτυξης).</w:t>
      </w:r>
    </w:p>
    <w:p>
      <w:pPr>
        <w:pStyle w:val="ListParagraph"/>
        <w:numPr>
          <w:ilvl w:val="0"/>
          <w:numId w:val="3"/>
        </w:numPr>
        <w:tabs>
          <w:tab w:pos="647" w:val="left" w:leader="none"/>
        </w:tabs>
        <w:spacing w:line="316" w:lineRule="auto" w:before="0" w:after="0"/>
        <w:ind w:left="646" w:right="111" w:hanging="360"/>
        <w:jc w:val="both"/>
        <w:rPr>
          <w:rFonts w:ascii="Tahoma" w:hAnsi="Tahoma"/>
          <w:sz w:val="20"/>
        </w:rPr>
      </w:pPr>
      <w:r>
        <w:rPr>
          <w:rFonts w:ascii="Tahoma" w:hAnsi="Tahoma"/>
          <w:sz w:val="20"/>
        </w:rPr>
        <w:t>Τη με αρ. C(2014)10183 final/18-12-2014 Εκτελεστική Απόφαση της Ευρωπαϊκής Επιτροπής για την έγκριση ορισμένων στοιχείων του επιχειρησιακού προγράμματος «Περιφερειακό Επιχειρησιακό Πρόγραμμα</w:t>
      </w:r>
      <w:r>
        <w:rPr>
          <w:rFonts w:ascii="Tahoma" w:hAnsi="Tahoma"/>
          <w:spacing w:val="-6"/>
          <w:sz w:val="20"/>
        </w:rPr>
        <w:t> </w:t>
      </w:r>
      <w:r>
        <w:rPr>
          <w:rFonts w:ascii="Tahoma" w:hAnsi="Tahoma"/>
          <w:sz w:val="20"/>
        </w:rPr>
        <w:t>Θεσσαλίας</w:t>
      </w:r>
      <w:r>
        <w:rPr>
          <w:rFonts w:ascii="Tahoma" w:hAnsi="Tahoma"/>
          <w:spacing w:val="-5"/>
          <w:sz w:val="20"/>
        </w:rPr>
        <w:t> </w:t>
      </w:r>
      <w:r>
        <w:rPr>
          <w:rFonts w:ascii="Tahoma" w:hAnsi="Tahoma"/>
          <w:sz w:val="20"/>
        </w:rPr>
        <w:t>2014-2020»</w:t>
      </w:r>
      <w:r>
        <w:rPr>
          <w:rFonts w:ascii="Tahoma" w:hAnsi="Tahoma"/>
          <w:spacing w:val="-5"/>
          <w:sz w:val="20"/>
        </w:rPr>
        <w:t> </w:t>
      </w:r>
      <w:r>
        <w:rPr>
          <w:rFonts w:ascii="Tahoma" w:hAnsi="Tahoma"/>
          <w:sz w:val="20"/>
        </w:rPr>
        <w:t>για</w:t>
      </w:r>
      <w:r>
        <w:rPr>
          <w:rFonts w:ascii="Tahoma" w:hAnsi="Tahoma"/>
          <w:spacing w:val="-6"/>
          <w:sz w:val="20"/>
        </w:rPr>
        <w:t> </w:t>
      </w:r>
      <w:r>
        <w:rPr>
          <w:rFonts w:ascii="Tahoma" w:hAnsi="Tahoma"/>
          <w:sz w:val="20"/>
        </w:rPr>
        <w:t>στήριξη</w:t>
      </w:r>
      <w:r>
        <w:rPr>
          <w:rFonts w:ascii="Tahoma" w:hAnsi="Tahoma"/>
          <w:spacing w:val="-7"/>
          <w:sz w:val="20"/>
        </w:rPr>
        <w:t> </w:t>
      </w:r>
      <w:r>
        <w:rPr>
          <w:rFonts w:ascii="Tahoma" w:hAnsi="Tahoma"/>
          <w:sz w:val="20"/>
        </w:rPr>
        <w:t>από</w:t>
      </w:r>
      <w:r>
        <w:rPr>
          <w:rFonts w:ascii="Tahoma" w:hAnsi="Tahoma"/>
          <w:spacing w:val="-8"/>
          <w:sz w:val="20"/>
        </w:rPr>
        <w:t> </w:t>
      </w:r>
      <w:r>
        <w:rPr>
          <w:rFonts w:ascii="Tahoma" w:hAnsi="Tahoma"/>
          <w:sz w:val="20"/>
        </w:rPr>
        <w:t>το</w:t>
      </w:r>
      <w:r>
        <w:rPr>
          <w:rFonts w:ascii="Tahoma" w:hAnsi="Tahoma"/>
          <w:spacing w:val="-7"/>
          <w:sz w:val="20"/>
        </w:rPr>
        <w:t> </w:t>
      </w:r>
      <w:r>
        <w:rPr>
          <w:rFonts w:ascii="Tahoma" w:hAnsi="Tahoma"/>
          <w:sz w:val="20"/>
        </w:rPr>
        <w:t>Ευρωπαϊκό</w:t>
      </w:r>
      <w:r>
        <w:rPr>
          <w:rFonts w:ascii="Tahoma" w:hAnsi="Tahoma"/>
          <w:spacing w:val="-6"/>
          <w:sz w:val="20"/>
        </w:rPr>
        <w:t> </w:t>
      </w:r>
      <w:r>
        <w:rPr>
          <w:rFonts w:ascii="Tahoma" w:hAnsi="Tahoma"/>
          <w:sz w:val="20"/>
        </w:rPr>
        <w:t>Ταμείο</w:t>
      </w:r>
      <w:r>
        <w:rPr>
          <w:rFonts w:ascii="Tahoma" w:hAnsi="Tahoma"/>
          <w:spacing w:val="-6"/>
          <w:sz w:val="20"/>
        </w:rPr>
        <w:t> </w:t>
      </w:r>
      <w:r>
        <w:rPr>
          <w:rFonts w:ascii="Tahoma" w:hAnsi="Tahoma"/>
          <w:sz w:val="20"/>
        </w:rPr>
        <w:t>Περιφερειακής</w:t>
      </w:r>
      <w:r>
        <w:rPr>
          <w:rFonts w:ascii="Tahoma" w:hAnsi="Tahoma"/>
          <w:spacing w:val="-7"/>
          <w:sz w:val="20"/>
        </w:rPr>
        <w:t> </w:t>
      </w:r>
      <w:r>
        <w:rPr>
          <w:rFonts w:ascii="Tahoma" w:hAnsi="Tahoma"/>
          <w:sz w:val="20"/>
        </w:rPr>
        <w:t>Ανάπτυξης και το Ευρωπαϊκό Κοινωνικό Ταμείο στο πλαίσιο του στόχου «Επενδύσεις στην ανάπτυξη και την απασχόληση»</w:t>
      </w:r>
      <w:r>
        <w:rPr>
          <w:rFonts w:ascii="Tahoma" w:hAnsi="Tahoma"/>
          <w:spacing w:val="-11"/>
          <w:sz w:val="20"/>
        </w:rPr>
        <w:t> </w:t>
      </w:r>
      <w:r>
        <w:rPr>
          <w:rFonts w:ascii="Tahoma" w:hAnsi="Tahoma"/>
          <w:sz w:val="20"/>
        </w:rPr>
        <w:t>στην</w:t>
      </w:r>
      <w:r>
        <w:rPr>
          <w:rFonts w:ascii="Tahoma" w:hAnsi="Tahoma"/>
          <w:spacing w:val="-13"/>
          <w:sz w:val="20"/>
        </w:rPr>
        <w:t> </w:t>
      </w:r>
      <w:r>
        <w:rPr>
          <w:rFonts w:ascii="Tahoma" w:hAnsi="Tahoma"/>
          <w:sz w:val="20"/>
        </w:rPr>
        <w:t>Ελλάδα</w:t>
      </w:r>
      <w:r>
        <w:rPr>
          <w:rFonts w:ascii="Tahoma" w:hAnsi="Tahoma"/>
          <w:spacing w:val="-15"/>
          <w:sz w:val="20"/>
        </w:rPr>
        <w:t> </w:t>
      </w:r>
      <w:r>
        <w:rPr>
          <w:rFonts w:ascii="Tahoma" w:hAnsi="Tahoma"/>
          <w:sz w:val="20"/>
        </w:rPr>
        <w:t>(CCI</w:t>
      </w:r>
      <w:r>
        <w:rPr>
          <w:rFonts w:ascii="Tahoma" w:hAnsi="Tahoma"/>
          <w:spacing w:val="-10"/>
          <w:sz w:val="20"/>
        </w:rPr>
        <w:t> </w:t>
      </w:r>
      <w:r>
        <w:rPr>
          <w:rFonts w:ascii="Tahoma" w:hAnsi="Tahoma"/>
          <w:sz w:val="20"/>
        </w:rPr>
        <w:t>2014GR16M2OP003),</w:t>
      </w:r>
      <w:r>
        <w:rPr>
          <w:rFonts w:ascii="Tahoma" w:hAnsi="Tahoma"/>
          <w:spacing w:val="-14"/>
          <w:sz w:val="20"/>
        </w:rPr>
        <w:t> </w:t>
      </w:r>
      <w:r>
        <w:rPr>
          <w:rFonts w:ascii="Tahoma" w:hAnsi="Tahoma"/>
          <w:sz w:val="20"/>
        </w:rPr>
        <w:t>όπως</w:t>
      </w:r>
      <w:r>
        <w:rPr>
          <w:rFonts w:ascii="Tahoma" w:hAnsi="Tahoma"/>
          <w:spacing w:val="-11"/>
          <w:sz w:val="20"/>
        </w:rPr>
        <w:t> </w:t>
      </w:r>
      <w:r>
        <w:rPr>
          <w:rFonts w:ascii="Tahoma" w:hAnsi="Tahoma"/>
          <w:sz w:val="20"/>
        </w:rPr>
        <w:t>τροποποιήθηκε</w:t>
      </w:r>
      <w:r>
        <w:rPr>
          <w:rFonts w:ascii="Tahoma" w:hAnsi="Tahoma"/>
          <w:spacing w:val="-7"/>
          <w:sz w:val="20"/>
        </w:rPr>
        <w:t> </w:t>
      </w:r>
      <w:r>
        <w:rPr>
          <w:rFonts w:ascii="Tahoma" w:hAnsi="Tahoma"/>
          <w:sz w:val="20"/>
        </w:rPr>
        <w:t>και</w:t>
      </w:r>
      <w:r>
        <w:rPr>
          <w:rFonts w:ascii="Tahoma" w:hAnsi="Tahoma"/>
          <w:spacing w:val="-10"/>
          <w:sz w:val="20"/>
        </w:rPr>
        <w:t> </w:t>
      </w:r>
      <w:r>
        <w:rPr>
          <w:rFonts w:ascii="Tahoma" w:hAnsi="Tahoma"/>
          <w:sz w:val="20"/>
        </w:rPr>
        <w:t>ισχύει.</w:t>
      </w:r>
    </w:p>
    <w:p>
      <w:pPr>
        <w:pStyle w:val="ListParagraph"/>
        <w:numPr>
          <w:ilvl w:val="0"/>
          <w:numId w:val="3"/>
        </w:numPr>
        <w:tabs>
          <w:tab w:pos="647" w:val="left" w:leader="none"/>
        </w:tabs>
        <w:spacing w:line="319" w:lineRule="auto" w:before="3" w:after="0"/>
        <w:ind w:left="646" w:right="107" w:hanging="360"/>
        <w:jc w:val="both"/>
        <w:rPr>
          <w:rFonts w:ascii="Tahoma" w:hAnsi="Tahoma"/>
          <w:sz w:val="20"/>
        </w:rPr>
      </w:pPr>
      <w:r>
        <w:rPr>
          <w:rFonts w:ascii="Tahoma" w:hAnsi="Tahoma"/>
          <w:sz w:val="20"/>
        </w:rPr>
        <w:t>Την από 24-06-2015 απόφαση της 1ης Επιτροπής Παρακολούθησης του Ε.Π.</w:t>
      </w:r>
      <w:r>
        <w:rPr>
          <w:rFonts w:ascii="Tahoma" w:hAnsi="Tahoma"/>
          <w:spacing w:val="-34"/>
          <w:sz w:val="20"/>
        </w:rPr>
        <w:t> </w:t>
      </w:r>
      <w:r>
        <w:rPr>
          <w:rFonts w:ascii="Tahoma" w:hAnsi="Tahoma"/>
          <w:sz w:val="20"/>
        </w:rPr>
        <w:t>Θεσσαλίας 2014-2020, με την οποία εγκρίθηκαν η μεθοδολογία, η διαδικασία και το περιεχόμενο του εντύπου εξειδίκευσης του Περιφερειακού Επιχειρησιακού Προγράμματος Θεσσαλίας 2014-2020, και ειδικότερα ως προς ορισμένες Δράσεις του Άξονα</w:t>
      </w:r>
      <w:r>
        <w:rPr>
          <w:rFonts w:ascii="Tahoma" w:hAnsi="Tahoma"/>
          <w:spacing w:val="-32"/>
          <w:sz w:val="20"/>
        </w:rPr>
        <w:t> </w:t>
      </w:r>
      <w:r>
        <w:rPr>
          <w:rFonts w:ascii="Tahoma" w:hAnsi="Tahoma"/>
          <w:sz w:val="20"/>
        </w:rPr>
        <w:t>1.</w:t>
      </w:r>
    </w:p>
    <w:p>
      <w:pPr>
        <w:pStyle w:val="ListParagraph"/>
        <w:numPr>
          <w:ilvl w:val="0"/>
          <w:numId w:val="3"/>
        </w:numPr>
        <w:tabs>
          <w:tab w:pos="647" w:val="left" w:leader="none"/>
        </w:tabs>
        <w:spacing w:line="240" w:lineRule="exact" w:before="0" w:after="0"/>
        <w:ind w:left="646" w:right="0" w:hanging="360"/>
        <w:jc w:val="left"/>
        <w:rPr>
          <w:rFonts w:ascii="Tahoma" w:hAnsi="Tahoma"/>
          <w:sz w:val="20"/>
        </w:rPr>
      </w:pPr>
      <w:r>
        <w:rPr>
          <w:rFonts w:ascii="Tahoma" w:hAnsi="Tahoma"/>
          <w:sz w:val="20"/>
        </w:rPr>
        <w:t>Τη με αρ. πρωτ. 3282/14-11-2018 Απόφαση της Επιτροπής Παρακολούθησης του Ε.Π.  </w:t>
      </w:r>
      <w:r>
        <w:rPr>
          <w:rFonts w:ascii="Tahoma" w:hAnsi="Tahoma"/>
          <w:spacing w:val="48"/>
          <w:sz w:val="20"/>
        </w:rPr>
        <w:t> </w:t>
      </w:r>
      <w:r>
        <w:rPr>
          <w:rFonts w:ascii="Tahoma" w:hAnsi="Tahoma"/>
          <w:sz w:val="20"/>
        </w:rPr>
        <w:t>Θεσσαλίας</w:t>
      </w:r>
    </w:p>
    <w:p>
      <w:pPr>
        <w:spacing w:before="58"/>
        <w:ind w:left="646" w:right="0" w:firstLine="0"/>
        <w:jc w:val="left"/>
        <w:rPr>
          <w:rFonts w:ascii="Tahoma" w:hAnsi="Tahoma"/>
          <w:sz w:val="20"/>
        </w:rPr>
      </w:pPr>
      <w:r>
        <w:rPr>
          <w:rFonts w:ascii="Tahoma" w:hAnsi="Tahoma"/>
          <w:sz w:val="20"/>
        </w:rPr>
        <w:t>2014-2020  περί   Έγκρισης  της   15</w:t>
      </w:r>
      <w:r>
        <w:rPr>
          <w:rFonts w:ascii="Tahoma" w:hAnsi="Tahoma"/>
          <w:position w:val="9"/>
          <w:sz w:val="13"/>
        </w:rPr>
        <w:t>ης    </w:t>
      </w:r>
      <w:r>
        <w:rPr>
          <w:rFonts w:ascii="Tahoma" w:hAnsi="Tahoma"/>
          <w:sz w:val="20"/>
        </w:rPr>
        <w:t>Γραπτής   Διαδικασίας   για  την  έγκριση   Επικαιροποίησης</w:t>
      </w:r>
    </w:p>
    <w:p>
      <w:pPr>
        <w:spacing w:after="0"/>
        <w:jc w:val="left"/>
        <w:rPr>
          <w:rFonts w:ascii="Tahoma" w:hAnsi="Tahoma"/>
          <w:sz w:val="20"/>
        </w:rPr>
        <w:sectPr>
          <w:pgSz w:w="11910" w:h="16840"/>
          <w:pgMar w:header="0" w:footer="1382" w:top="880" w:bottom="1580" w:left="1140" w:right="1220"/>
        </w:sectPr>
      </w:pPr>
    </w:p>
    <w:p>
      <w:pPr>
        <w:spacing w:line="316" w:lineRule="auto" w:before="87"/>
        <w:ind w:left="646" w:right="0" w:firstLine="0"/>
        <w:jc w:val="left"/>
        <w:rPr>
          <w:rFonts w:ascii="Tahoma" w:hAnsi="Tahoma"/>
          <w:sz w:val="20"/>
        </w:rPr>
      </w:pPr>
      <w:r>
        <w:rPr>
          <w:rFonts w:ascii="Tahoma" w:hAnsi="Tahoma"/>
          <w:sz w:val="20"/>
        </w:rPr>
        <w:t>Εξειδίκευσης Δράσεων του ΠΕΠ Θεσσαλίας 2014-2020, και ειδικότερα δράσεων του Άξονα Προτεραιότητας 1.</w:t>
      </w:r>
    </w:p>
    <w:p>
      <w:pPr>
        <w:pStyle w:val="ListParagraph"/>
        <w:numPr>
          <w:ilvl w:val="0"/>
          <w:numId w:val="3"/>
        </w:numPr>
        <w:tabs>
          <w:tab w:pos="647" w:val="left" w:leader="none"/>
        </w:tabs>
        <w:spacing w:line="316" w:lineRule="auto" w:before="3" w:after="0"/>
        <w:ind w:left="646" w:right="111" w:hanging="360"/>
        <w:jc w:val="both"/>
        <w:rPr>
          <w:rFonts w:ascii="Tahoma" w:hAnsi="Tahoma"/>
          <w:sz w:val="20"/>
        </w:rPr>
      </w:pPr>
      <w:r>
        <w:rPr>
          <w:rFonts w:ascii="Tahoma" w:hAnsi="Tahoma"/>
          <w:sz w:val="20"/>
        </w:rPr>
        <w:t>Την με αρ. πρ. 656/25-02-2019 Απόφαση της Επιτροπής Παρακολούθησης του Ε.Π. Θεσσαλίας 2014-2020 περί Έγκρισης της 16ης Γραπτής Διαδικασίας για την έγκριση των κριτηρίων της δράσης που αφορά στην</w:t>
      </w:r>
      <w:r>
        <w:rPr>
          <w:rFonts w:ascii="Tahoma" w:hAnsi="Tahoma"/>
          <w:spacing w:val="-8"/>
          <w:sz w:val="20"/>
        </w:rPr>
        <w:t> </w:t>
      </w:r>
      <w:r>
        <w:rPr>
          <w:rFonts w:ascii="Tahoma" w:hAnsi="Tahoma"/>
          <w:sz w:val="20"/>
        </w:rPr>
        <w:t>παρούσα.</w:t>
      </w:r>
    </w:p>
    <w:p>
      <w:pPr>
        <w:pStyle w:val="ListParagraph"/>
        <w:numPr>
          <w:ilvl w:val="0"/>
          <w:numId w:val="3"/>
        </w:numPr>
        <w:tabs>
          <w:tab w:pos="647" w:val="left" w:leader="none"/>
        </w:tabs>
        <w:spacing w:line="319" w:lineRule="auto" w:before="3" w:after="0"/>
        <w:ind w:left="646" w:right="113" w:hanging="360"/>
        <w:jc w:val="both"/>
        <w:rPr>
          <w:rFonts w:ascii="Tahoma" w:hAnsi="Tahoma"/>
          <w:sz w:val="20"/>
        </w:rPr>
      </w:pPr>
      <w:r>
        <w:rPr>
          <w:rFonts w:ascii="Tahoma" w:hAnsi="Tahoma"/>
          <w:sz w:val="20"/>
        </w:rPr>
        <w:t>Το με αριθ. 8217/ΕΥΚΕ100/23.01.2018 έγγραφο της Ειδικής Υπηρεσίας Κρατικών Ενισχύσεων με θέμα: «Εναλλακτική λειτουργία Πληροφοριακού Συστήματος Κρατικών Ενισχύσεων (ΠΣΚΕ) και προσαρμογή των διαδικασιών, ροών εργασίας και ρόλων στην λειτουργία αυτή όσον αφορά στη διαχείριση δράσεων κρατικών ενισχύσεων κατά την προγραμματική περίοδο</w:t>
      </w:r>
      <w:r>
        <w:rPr>
          <w:rFonts w:ascii="Tahoma" w:hAnsi="Tahoma"/>
          <w:spacing w:val="-17"/>
          <w:sz w:val="20"/>
        </w:rPr>
        <w:t> </w:t>
      </w:r>
      <w:r>
        <w:rPr>
          <w:rFonts w:ascii="Tahoma" w:hAnsi="Tahoma"/>
          <w:sz w:val="20"/>
        </w:rPr>
        <w:t>2014-2020».</w:t>
      </w:r>
    </w:p>
    <w:p>
      <w:pPr>
        <w:pStyle w:val="ListParagraph"/>
        <w:numPr>
          <w:ilvl w:val="0"/>
          <w:numId w:val="3"/>
        </w:numPr>
        <w:tabs>
          <w:tab w:pos="647" w:val="left" w:leader="none"/>
        </w:tabs>
        <w:spacing w:line="319" w:lineRule="auto" w:before="0" w:after="0"/>
        <w:ind w:left="646" w:right="115" w:hanging="360"/>
        <w:jc w:val="both"/>
        <w:rPr>
          <w:rFonts w:ascii="Tahoma" w:hAnsi="Tahoma"/>
          <w:sz w:val="20"/>
        </w:rPr>
      </w:pPr>
      <w:r>
        <w:rPr>
          <w:rFonts w:ascii="Tahoma" w:hAnsi="Tahoma"/>
          <w:sz w:val="20"/>
        </w:rPr>
        <w:t>Την υπ’ αριθμ. 603/21-02-2019 (ΦΕΚ 828 Β 2019) Απόφαση του Περιφερειάρχη Θεσσαλίας, με την οποία ορίζεται η Διεύθυνση Αναπτυξιακού Προγραμματισμού της Περιφέρειας Θεσσαλίας ως Ενδιάμεσος Φορέας (ΕΦ) του Ε.Π. Θεσσαλίας</w:t>
      </w:r>
      <w:r>
        <w:rPr>
          <w:rFonts w:ascii="Tahoma" w:hAnsi="Tahoma"/>
          <w:spacing w:val="-16"/>
          <w:sz w:val="20"/>
        </w:rPr>
        <w:t> </w:t>
      </w:r>
      <w:r>
        <w:rPr>
          <w:rFonts w:ascii="Tahoma" w:hAnsi="Tahoma"/>
          <w:sz w:val="20"/>
        </w:rPr>
        <w:t>2014-2020.</w:t>
      </w:r>
    </w:p>
    <w:p>
      <w:pPr>
        <w:pStyle w:val="ListParagraph"/>
        <w:numPr>
          <w:ilvl w:val="0"/>
          <w:numId w:val="3"/>
        </w:numPr>
        <w:tabs>
          <w:tab w:pos="647" w:val="left" w:leader="none"/>
        </w:tabs>
        <w:spacing w:line="239" w:lineRule="exact" w:before="0" w:after="0"/>
        <w:ind w:left="646" w:right="0" w:hanging="360"/>
        <w:jc w:val="left"/>
        <w:rPr>
          <w:rFonts w:ascii="Tahoma" w:hAnsi="Tahoma"/>
          <w:sz w:val="20"/>
        </w:rPr>
      </w:pPr>
      <w:r>
        <w:rPr>
          <w:rFonts w:ascii="Tahoma" w:hAnsi="Tahoma"/>
          <w:sz w:val="20"/>
        </w:rPr>
        <w:t>Το με αριθ. </w:t>
      </w:r>
      <w:r>
        <w:rPr>
          <w:sz w:val="22"/>
        </w:rPr>
        <w:t>45291/ΕΥΚΕ 756/23-04-2019 </w:t>
      </w:r>
      <w:r>
        <w:rPr>
          <w:rFonts w:ascii="Tahoma" w:hAnsi="Tahoma"/>
          <w:sz w:val="20"/>
        </w:rPr>
        <w:t>έγγραφο του Γενικού Γραμματέα Δημοσίων  </w:t>
      </w:r>
      <w:r>
        <w:rPr>
          <w:rFonts w:ascii="Tahoma" w:hAnsi="Tahoma"/>
          <w:spacing w:val="3"/>
          <w:sz w:val="20"/>
        </w:rPr>
        <w:t> </w:t>
      </w:r>
      <w:r>
        <w:rPr>
          <w:rFonts w:ascii="Tahoma" w:hAnsi="Tahoma"/>
          <w:sz w:val="20"/>
        </w:rPr>
        <w:t>Επενδύσεων</w:t>
      </w:r>
    </w:p>
    <w:p>
      <w:pPr>
        <w:spacing w:before="79"/>
        <w:ind w:left="646" w:right="0" w:firstLine="0"/>
        <w:jc w:val="left"/>
        <w:rPr>
          <w:rFonts w:ascii="Tahoma" w:hAnsi="Tahoma"/>
          <w:sz w:val="20"/>
        </w:rPr>
      </w:pPr>
      <w:r>
        <w:rPr>
          <w:rFonts w:ascii="Tahoma" w:hAnsi="Tahoma"/>
          <w:sz w:val="20"/>
        </w:rPr>
        <w:t>και ΕΣΠΑ περί σύμφωνης γνώμης για την υπόψη Πρόσκληση.</w:t>
      </w:r>
    </w:p>
    <w:p>
      <w:pPr>
        <w:pStyle w:val="ListParagraph"/>
        <w:numPr>
          <w:ilvl w:val="0"/>
          <w:numId w:val="3"/>
        </w:numPr>
        <w:tabs>
          <w:tab w:pos="647" w:val="left" w:leader="none"/>
        </w:tabs>
        <w:spacing w:line="316" w:lineRule="auto" w:before="80" w:after="0"/>
        <w:ind w:left="646" w:right="114" w:hanging="360"/>
        <w:jc w:val="both"/>
        <w:rPr>
          <w:rFonts w:ascii="Tahoma" w:hAnsi="Tahoma"/>
          <w:sz w:val="20"/>
        </w:rPr>
      </w:pPr>
      <w:r>
        <w:rPr>
          <w:rFonts w:ascii="Tahoma" w:hAnsi="Tahoma"/>
          <w:sz w:val="20"/>
        </w:rPr>
        <w:t>Το άρθρο 47 παράγραφος 1 του Ν.4314/2014 όπως τροποποιήθηκε με το άρθρο 16 παράγραφος 1 του Ν.4605/2019 (ΦΕΚ 52/Α/1-4-2019) και ισχύει</w:t>
      </w:r>
      <w:r>
        <w:rPr>
          <w:rFonts w:ascii="Tahoma" w:hAnsi="Tahoma"/>
          <w:spacing w:val="-14"/>
          <w:sz w:val="20"/>
        </w:rPr>
        <w:t> </w:t>
      </w:r>
      <w:r>
        <w:rPr>
          <w:rFonts w:ascii="Tahoma" w:hAnsi="Tahoma"/>
          <w:sz w:val="20"/>
        </w:rPr>
        <w:t>σήμερα.</w:t>
      </w:r>
    </w:p>
    <w:p>
      <w:pPr>
        <w:pStyle w:val="ListParagraph"/>
        <w:numPr>
          <w:ilvl w:val="0"/>
          <w:numId w:val="3"/>
        </w:numPr>
        <w:tabs>
          <w:tab w:pos="647" w:val="left" w:leader="none"/>
        </w:tabs>
        <w:spacing w:line="319" w:lineRule="auto" w:before="0" w:after="0"/>
        <w:ind w:left="646" w:right="107" w:hanging="360"/>
        <w:jc w:val="both"/>
        <w:rPr>
          <w:rFonts w:ascii="Tahoma" w:hAnsi="Tahoma"/>
          <w:sz w:val="20"/>
        </w:rPr>
      </w:pPr>
      <w:r>
        <w:rPr>
          <w:rFonts w:ascii="Tahoma" w:hAnsi="Tahoma"/>
          <w:sz w:val="20"/>
        </w:rPr>
        <w:t>Την με αρ. πρωτ. 1245/08-04-2019 Απόφαση της Υπηρεσίας κατ΄εφαρμογή του άρθρου 10 παράγραφος</w:t>
      </w:r>
      <w:r>
        <w:rPr>
          <w:rFonts w:ascii="Tahoma" w:hAnsi="Tahoma"/>
          <w:spacing w:val="-11"/>
          <w:sz w:val="20"/>
        </w:rPr>
        <w:t> </w:t>
      </w:r>
      <w:r>
        <w:rPr>
          <w:rFonts w:ascii="Tahoma" w:hAnsi="Tahoma"/>
          <w:sz w:val="20"/>
        </w:rPr>
        <w:t>8</w:t>
      </w:r>
      <w:r>
        <w:rPr>
          <w:rFonts w:ascii="Tahoma" w:hAnsi="Tahoma"/>
          <w:spacing w:val="-14"/>
          <w:sz w:val="20"/>
        </w:rPr>
        <w:t> </w:t>
      </w:r>
      <w:r>
        <w:rPr>
          <w:rFonts w:ascii="Tahoma" w:hAnsi="Tahoma"/>
          <w:sz w:val="20"/>
        </w:rPr>
        <w:t>της</w:t>
      </w:r>
      <w:r>
        <w:rPr>
          <w:rFonts w:ascii="Tahoma" w:hAnsi="Tahoma"/>
          <w:spacing w:val="-13"/>
          <w:sz w:val="20"/>
        </w:rPr>
        <w:t> </w:t>
      </w:r>
      <w:r>
        <w:rPr>
          <w:rFonts w:ascii="Tahoma" w:hAnsi="Tahoma"/>
          <w:sz w:val="20"/>
        </w:rPr>
        <w:t>Υ.Α.</w:t>
      </w:r>
      <w:r>
        <w:rPr>
          <w:rFonts w:ascii="Tahoma" w:hAnsi="Tahoma"/>
          <w:spacing w:val="-13"/>
          <w:sz w:val="20"/>
        </w:rPr>
        <w:t> </w:t>
      </w:r>
      <w:r>
        <w:rPr>
          <w:rFonts w:ascii="Tahoma" w:hAnsi="Tahoma"/>
          <w:sz w:val="20"/>
        </w:rPr>
        <w:t>αρ.</w:t>
      </w:r>
      <w:r>
        <w:rPr>
          <w:rFonts w:ascii="Tahoma" w:hAnsi="Tahoma"/>
          <w:spacing w:val="-14"/>
          <w:sz w:val="20"/>
        </w:rPr>
        <w:t> </w:t>
      </w:r>
      <w:r>
        <w:rPr>
          <w:rFonts w:ascii="Tahoma" w:hAnsi="Tahoma"/>
          <w:sz w:val="20"/>
        </w:rPr>
        <w:t>πρωτ.</w:t>
      </w:r>
      <w:r>
        <w:rPr>
          <w:rFonts w:ascii="Tahoma" w:hAnsi="Tahoma"/>
          <w:spacing w:val="-12"/>
          <w:sz w:val="20"/>
        </w:rPr>
        <w:t> </w:t>
      </w:r>
      <w:r>
        <w:rPr>
          <w:rFonts w:ascii="Tahoma" w:hAnsi="Tahoma"/>
          <w:sz w:val="20"/>
        </w:rPr>
        <w:t>137675/EΥΘΥ1016/19.12.2018</w:t>
      </w:r>
      <w:r>
        <w:rPr>
          <w:rFonts w:ascii="Tahoma" w:hAnsi="Tahoma"/>
          <w:spacing w:val="-12"/>
          <w:sz w:val="20"/>
        </w:rPr>
        <w:t> </w:t>
      </w:r>
      <w:r>
        <w:rPr>
          <w:rFonts w:ascii="Tahoma" w:hAnsi="Tahoma"/>
          <w:sz w:val="20"/>
        </w:rPr>
        <w:t>(ΦΕΚ</w:t>
      </w:r>
      <w:r>
        <w:rPr>
          <w:rFonts w:ascii="Tahoma" w:hAnsi="Tahoma"/>
          <w:spacing w:val="-12"/>
          <w:sz w:val="20"/>
        </w:rPr>
        <w:t> </w:t>
      </w:r>
      <w:r>
        <w:rPr>
          <w:rFonts w:ascii="Tahoma" w:hAnsi="Tahoma"/>
          <w:sz w:val="20"/>
        </w:rPr>
        <w:t>5968/Β/31.12.2018).</w:t>
      </w:r>
    </w:p>
    <w:p>
      <w:pPr>
        <w:pStyle w:val="BodyText"/>
        <w:spacing w:before="3"/>
        <w:rPr>
          <w:rFonts w:ascii="Tahoma"/>
          <w:sz w:val="31"/>
        </w:rPr>
      </w:pPr>
    </w:p>
    <w:p>
      <w:pPr>
        <w:spacing w:before="0"/>
        <w:ind w:left="2898" w:right="2837" w:firstLine="0"/>
        <w:jc w:val="center"/>
        <w:rPr>
          <w:rFonts w:ascii="Tahoma" w:hAnsi="Tahoma"/>
          <w:b/>
          <w:sz w:val="20"/>
        </w:rPr>
      </w:pPr>
      <w:r>
        <w:rPr>
          <w:rFonts w:ascii="Tahoma" w:hAnsi="Tahoma"/>
          <w:b/>
          <w:sz w:val="20"/>
        </w:rPr>
        <w:t>Α π  ο  φ α  σ ί ζ  ο υ μ    ε</w:t>
      </w:r>
    </w:p>
    <w:p>
      <w:pPr>
        <w:pStyle w:val="BodyText"/>
        <w:rPr>
          <w:rFonts w:ascii="Tahoma"/>
          <w:b/>
          <w:sz w:val="24"/>
        </w:rPr>
      </w:pPr>
    </w:p>
    <w:p>
      <w:pPr>
        <w:pStyle w:val="BodyText"/>
        <w:rPr>
          <w:rFonts w:ascii="Tahoma"/>
          <w:b/>
          <w:sz w:val="19"/>
        </w:rPr>
      </w:pPr>
    </w:p>
    <w:p>
      <w:pPr>
        <w:pStyle w:val="ListParagraph"/>
        <w:numPr>
          <w:ilvl w:val="0"/>
          <w:numId w:val="4"/>
        </w:numPr>
        <w:tabs>
          <w:tab w:pos="649" w:val="left" w:leader="none"/>
        </w:tabs>
        <w:spacing w:line="319" w:lineRule="auto" w:before="0" w:after="0"/>
        <w:ind w:left="648" w:right="136" w:hanging="360"/>
        <w:jc w:val="both"/>
        <w:rPr>
          <w:rFonts w:ascii="Tahoma" w:hAnsi="Tahoma"/>
          <w:sz w:val="20"/>
        </w:rPr>
      </w:pPr>
      <w:r>
        <w:rPr>
          <w:rFonts w:ascii="Tahoma" w:hAnsi="Tahoma"/>
          <w:sz w:val="20"/>
        </w:rPr>
        <w:t>Την Προκήρυξη της Δράσης 3α.1.4.1.1: «Ενίσχυση υφιστάμενων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 “</w:t>
      </w:r>
      <w:r>
        <w:rPr>
          <w:rFonts w:ascii="Tahoma" w:hAnsi="Tahoma"/>
          <w:b/>
          <w:sz w:val="20"/>
        </w:rPr>
        <w:t>Επανεπενδύω στη Θεσσαλία</w:t>
      </w:r>
      <w:r>
        <w:rPr>
          <w:rFonts w:ascii="Tahoma" w:hAnsi="Tahoma"/>
          <w:sz w:val="20"/>
        </w:rPr>
        <w:t>”, του Επιχειρησιακού Προγράμματος  «Περιφερειακό Επιχειρησιακό Πρόγραμμα Θεσσαλίας 2014-2020» και συγκεκριμένα του Άξονα 1: «Ενίσχυση της ανταγωνιστικότητας και της εξωστρέφειας των επιχειρήσεων (ιδιαίτερα των ΜΜΕ), μετάβαση στην ποιοτική επιχειρηματικότητα, με αιχμή την καινοτομία και αύξηση της Περιφερειακής  Προστιθέμενης Αξίας», Θεματικού Στόχου 3, Επενδυτικής Προτεραιότητας 3α: «Προώθηση της επιχειρηματικότητας, ιδίως με τη διευκόλυνση της οικονομικής εκμετάλλευσης νέων ιδεών και τη στήριξη της δημιουργίας νέων επιχειρήσεων, μεταξύ άλλων μέσω φυτωρίων επιχειρήσεων» και Ειδικού Στόχου 1.4.1: Επιχειρηματική εκμετάλλευση προϊόντων Ε&amp;Τ και καινοτομιών από υφιστάμενες και νεοϊδρυόμενες ΜΜΕ για αύξηση της παραγωγικότητας</w:t>
      </w:r>
      <w:r>
        <w:rPr>
          <w:rFonts w:ascii="Tahoma" w:hAnsi="Tahoma"/>
          <w:spacing w:val="-12"/>
          <w:sz w:val="20"/>
        </w:rPr>
        <w:t> </w:t>
      </w:r>
      <w:r>
        <w:rPr>
          <w:rFonts w:ascii="Tahoma" w:hAnsi="Tahoma"/>
          <w:sz w:val="20"/>
        </w:rPr>
        <w:t>τους».</w:t>
      </w:r>
    </w:p>
    <w:p>
      <w:pPr>
        <w:pStyle w:val="ListParagraph"/>
        <w:numPr>
          <w:ilvl w:val="0"/>
          <w:numId w:val="4"/>
        </w:numPr>
        <w:tabs>
          <w:tab w:pos="649" w:val="left" w:leader="none"/>
        </w:tabs>
        <w:spacing w:line="319" w:lineRule="auto" w:before="58" w:after="0"/>
        <w:ind w:left="648" w:right="139" w:hanging="360"/>
        <w:jc w:val="both"/>
        <w:rPr>
          <w:rFonts w:ascii="Tahoma" w:hAnsi="Tahoma"/>
          <w:sz w:val="20"/>
        </w:rPr>
      </w:pPr>
      <w:r>
        <w:rPr>
          <w:rFonts w:ascii="Tahoma" w:hAnsi="Tahoma"/>
          <w:sz w:val="20"/>
        </w:rPr>
        <w:t>Το καθεστώς ενίσχυσης που εφαρμόζεται στην παρούσα Προκήρυξη, είναι ο Κανονισμός (ΕΕ) αριθ. 1407/2013 Ε.Ε., σχετικά με την εφαρμογή των άρθρων 107 και 108 της Συνθήκης για τη λειτουργία της Ευρωπαϊκής Ένωσης στις ενισχύσεις ήσσονος</w:t>
      </w:r>
      <w:r>
        <w:rPr>
          <w:rFonts w:ascii="Tahoma" w:hAnsi="Tahoma"/>
          <w:spacing w:val="-19"/>
          <w:sz w:val="20"/>
        </w:rPr>
        <w:t> </w:t>
      </w:r>
      <w:r>
        <w:rPr>
          <w:rFonts w:ascii="Tahoma" w:hAnsi="Tahoma"/>
          <w:sz w:val="20"/>
        </w:rPr>
        <w:t>σημασίας.</w:t>
      </w:r>
    </w:p>
    <w:p>
      <w:pPr>
        <w:pStyle w:val="ListParagraph"/>
        <w:numPr>
          <w:ilvl w:val="0"/>
          <w:numId w:val="4"/>
        </w:numPr>
        <w:tabs>
          <w:tab w:pos="649" w:val="left" w:leader="none"/>
        </w:tabs>
        <w:spacing w:line="316" w:lineRule="auto" w:before="58" w:after="0"/>
        <w:ind w:left="648" w:right="138" w:hanging="360"/>
        <w:jc w:val="both"/>
        <w:rPr>
          <w:rFonts w:ascii="Tahoma" w:hAnsi="Tahoma"/>
          <w:sz w:val="20"/>
        </w:rPr>
      </w:pPr>
      <w:r>
        <w:rPr>
          <w:rFonts w:ascii="Tahoma" w:hAnsi="Tahoma"/>
          <w:sz w:val="20"/>
        </w:rPr>
        <w:t>Ο προϋπολογισμός της Δημόσιας Δαπάνης της Δράσης 3α.1.4.1.1: «Ενίσχυση υφιστάμενων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 “Επανεπενδύω στη Θεσσαλία”», στο πλαίσιο της παρούσας Προκήρυξης, ανέρχεται στο ποσό των </w:t>
      </w:r>
      <w:r>
        <w:rPr>
          <w:rFonts w:ascii="Tahoma" w:hAnsi="Tahoma"/>
          <w:b/>
          <w:sz w:val="20"/>
        </w:rPr>
        <w:t>10.000.000</w:t>
      </w:r>
      <w:r>
        <w:rPr>
          <w:rFonts w:ascii="Tahoma" w:hAnsi="Tahoma"/>
          <w:b/>
          <w:spacing w:val="-13"/>
          <w:sz w:val="20"/>
        </w:rPr>
        <w:t> </w:t>
      </w:r>
      <w:r>
        <w:rPr>
          <w:rFonts w:ascii="Tahoma" w:hAnsi="Tahoma"/>
          <w:b/>
          <w:sz w:val="20"/>
        </w:rPr>
        <w:t>€</w:t>
      </w:r>
      <w:r>
        <w:rPr>
          <w:rFonts w:ascii="Tahoma" w:hAnsi="Tahoma"/>
          <w:sz w:val="20"/>
        </w:rPr>
        <w:t>.</w:t>
      </w:r>
    </w:p>
    <w:p>
      <w:pPr>
        <w:pStyle w:val="ListParagraph"/>
        <w:numPr>
          <w:ilvl w:val="0"/>
          <w:numId w:val="4"/>
        </w:numPr>
        <w:tabs>
          <w:tab w:pos="649" w:val="left" w:leader="none"/>
        </w:tabs>
        <w:spacing w:line="316" w:lineRule="auto" w:before="63" w:after="0"/>
        <w:ind w:left="648" w:right="139" w:hanging="360"/>
        <w:jc w:val="both"/>
        <w:rPr>
          <w:rFonts w:ascii="Tahoma" w:hAnsi="Tahoma"/>
          <w:sz w:val="20"/>
        </w:rPr>
      </w:pPr>
      <w:r>
        <w:rPr>
          <w:rFonts w:ascii="Tahoma" w:hAnsi="Tahoma"/>
          <w:sz w:val="20"/>
        </w:rPr>
        <w:t>Η Δημόσια Δαπάνη της Δράσης που προκηρύσσεται με την παρούσα, χρηματοδοτείται από το Ευρωπαϊκό  Ταμείο  Περιφερειακής  Ανάπτυξης  (ΕΤΠΑ)  και  Εθνικούς  πόρους,  στο  πλαίσιο </w:t>
      </w:r>
      <w:r>
        <w:rPr>
          <w:rFonts w:ascii="Tahoma" w:hAnsi="Tahoma"/>
          <w:spacing w:val="27"/>
          <w:sz w:val="20"/>
        </w:rPr>
        <w:t> </w:t>
      </w:r>
      <w:r>
        <w:rPr>
          <w:rFonts w:ascii="Tahoma" w:hAnsi="Tahoma"/>
          <w:sz w:val="20"/>
        </w:rPr>
        <w:t>του</w:t>
      </w:r>
    </w:p>
    <w:p>
      <w:pPr>
        <w:spacing w:after="0" w:line="316" w:lineRule="auto"/>
        <w:jc w:val="both"/>
        <w:rPr>
          <w:rFonts w:ascii="Tahoma" w:hAnsi="Tahoma"/>
          <w:sz w:val="20"/>
        </w:rPr>
        <w:sectPr>
          <w:pgSz w:w="11910" w:h="16840"/>
          <w:pgMar w:header="0" w:footer="1382" w:top="880" w:bottom="1580" w:left="1140" w:right="1220"/>
        </w:sectPr>
      </w:pPr>
    </w:p>
    <w:p>
      <w:pPr>
        <w:spacing w:line="316" w:lineRule="auto" w:before="87"/>
        <w:ind w:left="648" w:right="194" w:firstLine="0"/>
        <w:jc w:val="left"/>
        <w:rPr>
          <w:rFonts w:ascii="Tahoma" w:hAnsi="Tahoma"/>
          <w:sz w:val="20"/>
        </w:rPr>
      </w:pPr>
      <w:r>
        <w:rPr>
          <w:rFonts w:ascii="Tahoma" w:hAnsi="Tahoma"/>
          <w:sz w:val="20"/>
        </w:rPr>
        <w:t>Επιχειρησιακού Προγράμματος «Περιφερειακό Επιχειρησιακό Πρόγραμμα Θεσσαλίας 2014-2020» του ΕΣΠΑ 2014-2020.</w:t>
      </w:r>
    </w:p>
    <w:p>
      <w:pPr>
        <w:pStyle w:val="ListParagraph"/>
        <w:numPr>
          <w:ilvl w:val="0"/>
          <w:numId w:val="4"/>
        </w:numPr>
        <w:tabs>
          <w:tab w:pos="649" w:val="left" w:leader="none"/>
        </w:tabs>
        <w:spacing w:line="319" w:lineRule="auto" w:before="63" w:after="0"/>
        <w:ind w:left="648" w:right="218" w:hanging="360"/>
        <w:jc w:val="both"/>
        <w:rPr>
          <w:rFonts w:ascii="Tahoma" w:hAnsi="Tahoma"/>
          <w:sz w:val="20"/>
        </w:rPr>
      </w:pPr>
      <w:r>
        <w:rPr>
          <w:rFonts w:ascii="Tahoma" w:hAnsi="Tahoma"/>
          <w:sz w:val="20"/>
        </w:rPr>
        <w:t>Ο επιχορηγούμενος προϋπολογισμός κάθε επενδυτικού σχεδίου στο πλαίσιο της παρούσας, κυμαίνεται από </w:t>
      </w:r>
      <w:r>
        <w:rPr>
          <w:rFonts w:ascii="Tahoma" w:hAnsi="Tahoma"/>
          <w:b/>
          <w:sz w:val="20"/>
        </w:rPr>
        <w:t>80.000,00 € </w:t>
      </w:r>
      <w:r>
        <w:rPr>
          <w:rFonts w:ascii="Tahoma" w:hAnsi="Tahoma"/>
          <w:sz w:val="20"/>
        </w:rPr>
        <w:t>έως </w:t>
      </w:r>
      <w:r>
        <w:rPr>
          <w:rFonts w:ascii="Tahoma" w:hAnsi="Tahoma"/>
          <w:b/>
          <w:sz w:val="20"/>
        </w:rPr>
        <w:t>400.000,00 € </w:t>
      </w:r>
      <w:r>
        <w:rPr>
          <w:rFonts w:ascii="Tahoma" w:hAnsi="Tahoma"/>
          <w:sz w:val="20"/>
        </w:rPr>
        <w:t>σύμφωνα με όσα αναφέρονται στην Αναλυτική Πρόσκληση που αποτελεί αναπόσπαστο τμήμα της παρούσας Απόφασης. Σε περίπτωση που το επενδυτικό σχέδιο θα έχει προϋπολογισμό μικρότερο από 80.000,00 €, τότε αυτό δεν είναι επιλέξιμο στο πλαίσιο της παρούσας Προκήρυξης. Σε περίπτωση που το επενδυτικό σχέδιο θα έχει προϋπολογισμό μεγαλύτερο των 400.000,00 €, το ποσό πέραν της Δημόσιας Χρηματοδότησης για την κάλυψη του συνολικού προϋπολογισμού θα θεωρείται ιδιωτική συμμετοχή για την υλοποίηση του σχεδίου. Στην περίπτωση αυτή, παρόλο που οι υπερβάλλουσες δαπάνες δεν επιχορηγούνται, αντικείμενο αξιολόγησης και παρακολούθησης - ελέγχου αποτελεί το σύνολο του επενδυτικού σχεδίου συμπεριλαμβανομένου και του υπερβάλλοντος</w:t>
      </w:r>
      <w:r>
        <w:rPr>
          <w:rFonts w:ascii="Tahoma" w:hAnsi="Tahoma"/>
          <w:spacing w:val="-18"/>
          <w:sz w:val="20"/>
        </w:rPr>
        <w:t> </w:t>
      </w:r>
      <w:r>
        <w:rPr>
          <w:rFonts w:ascii="Tahoma" w:hAnsi="Tahoma"/>
          <w:sz w:val="20"/>
        </w:rPr>
        <w:t>κόστους.</w:t>
      </w:r>
    </w:p>
    <w:p>
      <w:pPr>
        <w:pStyle w:val="ListParagraph"/>
        <w:numPr>
          <w:ilvl w:val="0"/>
          <w:numId w:val="4"/>
        </w:numPr>
        <w:tabs>
          <w:tab w:pos="649" w:val="left" w:leader="none"/>
        </w:tabs>
        <w:spacing w:line="316" w:lineRule="auto" w:before="58" w:after="0"/>
        <w:ind w:left="648" w:right="220" w:hanging="360"/>
        <w:jc w:val="both"/>
        <w:rPr>
          <w:rFonts w:ascii="Tahoma" w:hAnsi="Tahoma"/>
          <w:sz w:val="20"/>
        </w:rPr>
      </w:pPr>
      <w:r>
        <w:rPr>
          <w:rFonts w:ascii="Tahoma" w:hAnsi="Tahoma"/>
          <w:sz w:val="20"/>
        </w:rPr>
        <w:t>Η διάρκεια υλοποίησης των έργων δε θα μπορεί να υπερβαίνει τους 24 μήνες από την Απόφαση Ένταξης.</w:t>
      </w:r>
    </w:p>
    <w:p>
      <w:pPr>
        <w:pStyle w:val="ListParagraph"/>
        <w:numPr>
          <w:ilvl w:val="0"/>
          <w:numId w:val="4"/>
        </w:numPr>
        <w:tabs>
          <w:tab w:pos="649" w:val="left" w:leader="none"/>
        </w:tabs>
        <w:spacing w:line="319" w:lineRule="auto" w:before="63" w:after="0"/>
        <w:ind w:left="648" w:right="217" w:hanging="360"/>
        <w:jc w:val="both"/>
        <w:rPr>
          <w:rFonts w:ascii="Tahoma" w:hAnsi="Tahoma"/>
          <w:sz w:val="20"/>
        </w:rPr>
      </w:pPr>
      <w:r>
        <w:rPr>
          <w:rFonts w:ascii="Tahoma" w:hAnsi="Tahoma"/>
          <w:sz w:val="20"/>
        </w:rPr>
        <w:t>Δικαιούχοι της Δράσης είναι υφιστάμενες πολύ μικρές, μικρές και μεσαίες επιχειρήσεις, όπως αυτές ορίζονται στη Σύσταση της Επιτροπής 2003/361/ΕΚ, σύμφωνα με όσα αναφέρονται στην  Αναλυτική Πρόσκληση της Δράσης, η οποία αποτελεί αναπόσπαστο τμήμα της παρούσας Απόφασης.</w:t>
      </w:r>
    </w:p>
    <w:p>
      <w:pPr>
        <w:pStyle w:val="ListParagraph"/>
        <w:numPr>
          <w:ilvl w:val="0"/>
          <w:numId w:val="4"/>
        </w:numPr>
        <w:tabs>
          <w:tab w:pos="649" w:val="left" w:leader="none"/>
        </w:tabs>
        <w:spacing w:line="319" w:lineRule="auto" w:before="58" w:after="0"/>
        <w:ind w:left="648" w:right="218" w:hanging="360"/>
        <w:jc w:val="both"/>
        <w:rPr>
          <w:rFonts w:ascii="Tahoma" w:hAnsi="Tahoma"/>
          <w:sz w:val="20"/>
        </w:rPr>
      </w:pPr>
      <w:r>
        <w:rPr>
          <w:rFonts w:ascii="Tahoma" w:hAnsi="Tahoma"/>
          <w:sz w:val="20"/>
        </w:rPr>
        <w:t>Τα επενδυτικά έργα που θα ενταχθούν, θα υλοποιηθούν σύμφωνα με την εγκεκριμένη Αναλυτική Πρόσκληση της Δράσης, η οποία αποτελεί αναπόσπαστο μέρος της παρούσας Απόφασης. Στην Αναλυτική Πρόσκληση της Δράσης περιγράφονται αναλυτικά, οι προϋποθέσεις συμμετοχής, τα απαιτούμενα δικαιολογητικά, ο τρόπος υποβολής των επενδυτικών προτάσεων, η διαδικασία αξιολόγησής τους, η ένταξη τους για χρηματοδότηση, η ένταση της ενίσχυσης, οι επιλέξιμες δαπάνες, ο τρόπος καταβολής των χρηματοδοτήσεων, η διαδικασία έλεγχου και παρακολούθησης της υλοποίησης των έργων, οι υποχρεώσεις των Δικαιούχων και οι λοιποί όροι της</w:t>
      </w:r>
      <w:r>
        <w:rPr>
          <w:rFonts w:ascii="Tahoma" w:hAnsi="Tahoma"/>
          <w:spacing w:val="-21"/>
          <w:sz w:val="20"/>
        </w:rPr>
        <w:t> </w:t>
      </w:r>
      <w:r>
        <w:rPr>
          <w:rFonts w:ascii="Tahoma" w:hAnsi="Tahoma"/>
          <w:sz w:val="20"/>
        </w:rPr>
        <w:t>Δράσης.</w:t>
      </w:r>
    </w:p>
    <w:p>
      <w:pPr>
        <w:pStyle w:val="ListParagraph"/>
        <w:numPr>
          <w:ilvl w:val="0"/>
          <w:numId w:val="4"/>
        </w:numPr>
        <w:tabs>
          <w:tab w:pos="649" w:val="left" w:leader="none"/>
        </w:tabs>
        <w:spacing w:line="319" w:lineRule="auto" w:before="58" w:after="0"/>
        <w:ind w:left="648" w:right="217" w:hanging="360"/>
        <w:jc w:val="both"/>
        <w:rPr>
          <w:rFonts w:ascii="Tahoma" w:hAnsi="Tahoma"/>
          <w:sz w:val="20"/>
        </w:rPr>
      </w:pPr>
      <w:r>
        <w:rPr>
          <w:rFonts w:ascii="Tahoma" w:hAnsi="Tahoma"/>
          <w:sz w:val="20"/>
        </w:rPr>
        <w:t>Ως ημερομηνία έναρξης ηλεκτρονικής υποβολής των προτάσεων στο Πληροφοριακό Σύστημα Κρατικών Ενισχύσεων (</w:t>
      </w:r>
      <w:hyperlink r:id="rId8">
        <w:r>
          <w:rPr>
            <w:rFonts w:ascii="Tahoma" w:hAnsi="Tahoma"/>
            <w:b/>
            <w:sz w:val="20"/>
          </w:rPr>
          <w:t>www.ependyseis.gr/mis</w:t>
        </w:r>
        <w:r>
          <w:rPr>
            <w:rFonts w:ascii="Tahoma" w:hAnsi="Tahoma"/>
            <w:sz w:val="20"/>
          </w:rPr>
          <w:t>)</w:t>
        </w:r>
      </w:hyperlink>
      <w:r>
        <w:rPr>
          <w:rFonts w:ascii="Tahoma" w:hAnsi="Tahoma"/>
          <w:sz w:val="20"/>
        </w:rPr>
        <w:t> ορίζεται η </w:t>
      </w:r>
      <w:r>
        <w:rPr>
          <w:rFonts w:ascii="Tahoma" w:hAnsi="Tahoma"/>
          <w:b/>
          <w:sz w:val="20"/>
        </w:rPr>
        <w:t>16/05/2019 ώρα 13:00 </w:t>
      </w:r>
      <w:r>
        <w:rPr>
          <w:rFonts w:ascii="Tahoma" w:hAnsi="Tahoma"/>
          <w:sz w:val="20"/>
        </w:rPr>
        <w:t>και ως καταληκτική ημερομηνία η </w:t>
      </w:r>
      <w:r>
        <w:rPr>
          <w:rFonts w:ascii="Tahoma" w:hAnsi="Tahoma"/>
          <w:b/>
          <w:sz w:val="20"/>
        </w:rPr>
        <w:t>30/08/2019 ώρα</w:t>
      </w:r>
      <w:r>
        <w:rPr>
          <w:rFonts w:ascii="Tahoma" w:hAnsi="Tahoma"/>
          <w:b/>
          <w:spacing w:val="-10"/>
          <w:sz w:val="20"/>
        </w:rPr>
        <w:t> </w:t>
      </w:r>
      <w:r>
        <w:rPr>
          <w:rFonts w:ascii="Tahoma" w:hAnsi="Tahoma"/>
          <w:b/>
          <w:sz w:val="20"/>
        </w:rPr>
        <w:t>15:00</w:t>
      </w:r>
      <w:r>
        <w:rPr>
          <w:rFonts w:ascii="Tahoma" w:hAnsi="Tahoma"/>
          <w:sz w:val="20"/>
        </w:rPr>
        <w:t>.</w:t>
      </w:r>
    </w:p>
    <w:p>
      <w:pPr>
        <w:pStyle w:val="ListParagraph"/>
        <w:numPr>
          <w:ilvl w:val="0"/>
          <w:numId w:val="4"/>
        </w:numPr>
        <w:tabs>
          <w:tab w:pos="649" w:val="left" w:leader="none"/>
        </w:tabs>
        <w:spacing w:line="319" w:lineRule="auto" w:before="58" w:after="0"/>
        <w:ind w:left="648" w:right="221" w:hanging="360"/>
        <w:jc w:val="both"/>
        <w:rPr>
          <w:rFonts w:ascii="Tahoma" w:hAnsi="Tahoma"/>
          <w:sz w:val="20"/>
        </w:rPr>
      </w:pPr>
      <w:r>
        <w:rPr>
          <w:rFonts w:ascii="Tahoma" w:hAnsi="Tahoma"/>
          <w:sz w:val="20"/>
        </w:rPr>
        <w:t>Η παρούσα Προκήρυξη να δημοσιευθεί στο πρόγραμμα </w:t>
      </w:r>
      <w:r>
        <w:rPr>
          <w:rFonts w:ascii="Tahoma" w:hAnsi="Tahoma"/>
          <w:b/>
          <w:sz w:val="20"/>
        </w:rPr>
        <w:t>ΔΙΑΥΓΕΙΑ </w:t>
      </w:r>
      <w:r>
        <w:rPr>
          <w:rFonts w:ascii="Tahoma" w:hAnsi="Tahoma"/>
          <w:sz w:val="20"/>
        </w:rPr>
        <w:t>και να αναρτηθεί στις ιστοσελίδες του Ενδιάμεσου Φορέα Διεύθυνση Αναπτυξιακού Προγραμματισμού Περιφέρειας Θεσσαλίας </w:t>
      </w:r>
      <w:hyperlink r:id="rId9">
        <w:r>
          <w:rPr>
            <w:rFonts w:ascii="Tahoma" w:hAnsi="Tahoma"/>
            <w:color w:val="0000FF"/>
            <w:sz w:val="20"/>
            <w:u w:val="single" w:color="0000FF"/>
          </w:rPr>
          <w:t>www.thessaly.gov.gr </w:t>
        </w:r>
      </w:hyperlink>
      <w:r>
        <w:rPr>
          <w:rFonts w:ascii="Tahoma" w:hAnsi="Tahoma"/>
          <w:sz w:val="20"/>
        </w:rPr>
        <w:t>, της Ειδικής Υπηρεσίας Διαχείρισης Ε.Π. Περιφέρειας Θεσσαλίας </w:t>
      </w:r>
      <w:hyperlink r:id="rId10">
        <w:r>
          <w:rPr>
            <w:rFonts w:ascii="Tahoma" w:hAnsi="Tahoma"/>
            <w:color w:val="0000FF"/>
            <w:sz w:val="20"/>
            <w:u w:val="single" w:color="0000FF"/>
          </w:rPr>
          <w:t>www.thessalia-espa.gr </w:t>
        </w:r>
      </w:hyperlink>
      <w:r>
        <w:rPr>
          <w:rFonts w:ascii="Tahoma" w:hAnsi="Tahoma"/>
          <w:sz w:val="20"/>
        </w:rPr>
        <w:t>και του ΕΣΠΑ</w:t>
      </w:r>
      <w:r>
        <w:rPr>
          <w:rFonts w:ascii="Tahoma" w:hAnsi="Tahoma"/>
          <w:spacing w:val="-23"/>
          <w:sz w:val="20"/>
        </w:rPr>
        <w:t> </w:t>
      </w:r>
      <w:hyperlink r:id="rId11">
        <w:r>
          <w:rPr>
            <w:rFonts w:ascii="Tahoma" w:hAnsi="Tahoma"/>
            <w:color w:val="0000FF"/>
            <w:sz w:val="20"/>
            <w:u w:val="single" w:color="0000FF"/>
          </w:rPr>
          <w:t>www.espa.gr</w:t>
        </w:r>
      </w:hyperlink>
    </w:p>
    <w:p>
      <w:pPr>
        <w:pStyle w:val="ListParagraph"/>
        <w:numPr>
          <w:ilvl w:val="0"/>
          <w:numId w:val="4"/>
        </w:numPr>
        <w:tabs>
          <w:tab w:pos="649" w:val="left" w:leader="none"/>
        </w:tabs>
        <w:spacing w:line="316" w:lineRule="auto" w:before="60" w:after="0"/>
        <w:ind w:left="648" w:right="218" w:hanging="360"/>
        <w:jc w:val="both"/>
        <w:rPr>
          <w:rFonts w:ascii="Tahoma" w:hAnsi="Tahoma"/>
          <w:sz w:val="20"/>
        </w:rPr>
      </w:pPr>
      <w:r>
        <w:rPr>
          <w:rFonts w:ascii="Tahoma" w:hAnsi="Tahoma"/>
          <w:sz w:val="20"/>
        </w:rPr>
        <w:t>Για περαιτέρω πληροφορίες οι ενδιαφερόμενοι μπορούν να απευθύνονται στη </w:t>
      </w:r>
      <w:r>
        <w:rPr>
          <w:rFonts w:ascii="Tahoma" w:hAnsi="Tahoma"/>
          <w:b/>
          <w:sz w:val="20"/>
        </w:rPr>
        <w:t>Διεύθυνση Αναπτυξιακού Προγραμματισμού Περιφέρειας Θεσσαλίας</w:t>
      </w:r>
      <w:r>
        <w:rPr>
          <w:rFonts w:ascii="Tahoma" w:hAnsi="Tahoma"/>
          <w:sz w:val="20"/>
        </w:rPr>
        <w:t>, Παπαναστασίου και Κουμουνδούρου –Διοικητήριο - Λάρισα, στο γραφείο</w:t>
      </w:r>
      <w:r>
        <w:rPr>
          <w:rFonts w:ascii="Tahoma" w:hAnsi="Tahoma"/>
          <w:spacing w:val="-15"/>
          <w:sz w:val="20"/>
        </w:rPr>
        <w:t> </w:t>
      </w:r>
      <w:r>
        <w:rPr>
          <w:rFonts w:ascii="Tahoma" w:hAnsi="Tahoma"/>
          <w:sz w:val="20"/>
        </w:rPr>
        <w:t>ενημέρωσης,</w:t>
      </w:r>
    </w:p>
    <w:p>
      <w:pPr>
        <w:spacing w:before="63" w:after="59"/>
        <w:ind w:left="648" w:right="0" w:firstLine="0"/>
        <w:jc w:val="left"/>
        <w:rPr>
          <w:rFonts w:ascii="Tahoma" w:hAnsi="Tahoma"/>
          <w:sz w:val="20"/>
        </w:rPr>
      </w:pPr>
      <w:r>
        <w:rPr>
          <w:rFonts w:ascii="Tahoma" w:hAnsi="Tahoma"/>
          <w:sz w:val="20"/>
        </w:rPr>
        <w:t>στα τηλέφωνα:</w:t>
      </w:r>
    </w:p>
    <w:tbl>
      <w:tblPr>
        <w:tblW w:w="0" w:type="auto"/>
        <w:jc w:val="left"/>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2976"/>
        <w:gridCol w:w="2914"/>
      </w:tblGrid>
      <w:tr>
        <w:trPr>
          <w:trHeight w:val="290" w:hRule="exact"/>
        </w:trPr>
        <w:tc>
          <w:tcPr>
            <w:tcW w:w="2977" w:type="dxa"/>
          </w:tcPr>
          <w:p>
            <w:pPr>
              <w:pStyle w:val="TableParagraph"/>
              <w:spacing w:before="20"/>
              <w:ind w:left="103"/>
              <w:rPr>
                <w:rFonts w:ascii="Tahoma"/>
                <w:sz w:val="20"/>
              </w:rPr>
            </w:pPr>
            <w:r>
              <w:rPr>
                <w:rFonts w:ascii="Tahoma"/>
                <w:sz w:val="20"/>
              </w:rPr>
              <w:t>2413-506.327</w:t>
            </w:r>
          </w:p>
        </w:tc>
        <w:tc>
          <w:tcPr>
            <w:tcW w:w="2976" w:type="dxa"/>
          </w:tcPr>
          <w:p>
            <w:pPr>
              <w:pStyle w:val="TableParagraph"/>
              <w:spacing w:before="20"/>
              <w:ind w:left="103"/>
              <w:rPr>
                <w:rFonts w:ascii="Tahoma"/>
                <w:sz w:val="20"/>
              </w:rPr>
            </w:pPr>
            <w:r>
              <w:rPr>
                <w:rFonts w:ascii="Tahoma"/>
                <w:sz w:val="20"/>
              </w:rPr>
              <w:t>2413-506.303</w:t>
            </w:r>
          </w:p>
        </w:tc>
        <w:tc>
          <w:tcPr>
            <w:tcW w:w="2914" w:type="dxa"/>
          </w:tcPr>
          <w:p>
            <w:pPr>
              <w:pStyle w:val="TableParagraph"/>
              <w:spacing w:before="20"/>
              <w:ind w:left="103"/>
              <w:rPr>
                <w:rFonts w:ascii="Tahoma"/>
                <w:sz w:val="20"/>
              </w:rPr>
            </w:pPr>
            <w:r>
              <w:rPr>
                <w:rFonts w:ascii="Tahoma"/>
                <w:sz w:val="20"/>
              </w:rPr>
              <w:t>2413-506.304</w:t>
            </w:r>
          </w:p>
        </w:tc>
      </w:tr>
      <w:tr>
        <w:trPr>
          <w:trHeight w:val="293" w:hRule="exact"/>
        </w:trPr>
        <w:tc>
          <w:tcPr>
            <w:tcW w:w="2977" w:type="dxa"/>
          </w:tcPr>
          <w:p>
            <w:pPr>
              <w:pStyle w:val="TableParagraph"/>
              <w:spacing w:before="23"/>
              <w:ind w:left="103"/>
              <w:rPr>
                <w:rFonts w:ascii="Tahoma"/>
                <w:sz w:val="20"/>
              </w:rPr>
            </w:pPr>
            <w:r>
              <w:rPr>
                <w:rFonts w:ascii="Tahoma"/>
                <w:sz w:val="20"/>
              </w:rPr>
              <w:t>2413-506.325</w:t>
            </w:r>
          </w:p>
        </w:tc>
        <w:tc>
          <w:tcPr>
            <w:tcW w:w="2976" w:type="dxa"/>
          </w:tcPr>
          <w:p>
            <w:pPr>
              <w:pStyle w:val="TableParagraph"/>
              <w:spacing w:before="23"/>
              <w:ind w:left="103"/>
              <w:rPr>
                <w:rFonts w:ascii="Tahoma"/>
                <w:sz w:val="20"/>
              </w:rPr>
            </w:pPr>
            <w:r>
              <w:rPr>
                <w:rFonts w:ascii="Tahoma"/>
                <w:sz w:val="20"/>
              </w:rPr>
              <w:t>2413-506.326</w:t>
            </w:r>
          </w:p>
        </w:tc>
        <w:tc>
          <w:tcPr>
            <w:tcW w:w="2914" w:type="dxa"/>
          </w:tcPr>
          <w:p>
            <w:pPr>
              <w:pStyle w:val="TableParagraph"/>
              <w:spacing w:before="23"/>
              <w:ind w:left="103"/>
              <w:rPr>
                <w:rFonts w:ascii="Tahoma"/>
                <w:sz w:val="20"/>
              </w:rPr>
            </w:pPr>
            <w:r>
              <w:rPr>
                <w:rFonts w:ascii="Tahoma"/>
                <w:sz w:val="20"/>
              </w:rPr>
              <w:t>24310-46.137</w:t>
            </w:r>
          </w:p>
        </w:tc>
      </w:tr>
      <w:tr>
        <w:trPr>
          <w:trHeight w:val="290" w:hRule="exact"/>
        </w:trPr>
        <w:tc>
          <w:tcPr>
            <w:tcW w:w="2977" w:type="dxa"/>
          </w:tcPr>
          <w:p>
            <w:pPr>
              <w:pStyle w:val="TableParagraph"/>
              <w:spacing w:before="20"/>
              <w:ind w:left="103"/>
              <w:rPr>
                <w:rFonts w:ascii="Tahoma"/>
                <w:sz w:val="20"/>
              </w:rPr>
            </w:pPr>
            <w:r>
              <w:rPr>
                <w:rFonts w:ascii="Tahoma"/>
                <w:sz w:val="20"/>
              </w:rPr>
              <w:t>24413-54.920</w:t>
            </w:r>
          </w:p>
        </w:tc>
        <w:tc>
          <w:tcPr>
            <w:tcW w:w="2976" w:type="dxa"/>
          </w:tcPr>
          <w:p>
            <w:pPr>
              <w:pStyle w:val="TableParagraph"/>
              <w:spacing w:before="20"/>
              <w:ind w:left="103"/>
              <w:rPr>
                <w:rFonts w:ascii="Tahoma"/>
                <w:sz w:val="20"/>
              </w:rPr>
            </w:pPr>
            <w:r>
              <w:rPr>
                <w:rFonts w:ascii="Tahoma"/>
                <w:sz w:val="20"/>
              </w:rPr>
              <w:t>24213-52.484</w:t>
            </w:r>
          </w:p>
        </w:tc>
        <w:tc>
          <w:tcPr>
            <w:tcW w:w="2914" w:type="dxa"/>
          </w:tcPr>
          <w:p>
            <w:pPr>
              <w:pStyle w:val="TableParagraph"/>
              <w:spacing w:before="20"/>
              <w:ind w:left="103"/>
              <w:rPr>
                <w:rFonts w:ascii="Tahoma"/>
                <w:sz w:val="20"/>
              </w:rPr>
            </w:pPr>
            <w:r>
              <w:rPr>
                <w:rFonts w:ascii="Tahoma"/>
                <w:sz w:val="20"/>
              </w:rPr>
              <w:t>24213-52.473</w:t>
            </w:r>
          </w:p>
        </w:tc>
      </w:tr>
    </w:tbl>
    <w:p>
      <w:pPr>
        <w:spacing w:before="138"/>
        <w:ind w:left="648" w:right="0" w:firstLine="0"/>
        <w:jc w:val="left"/>
        <w:rPr>
          <w:rFonts w:ascii="Tahoma" w:hAnsi="Tahoma"/>
          <w:sz w:val="20"/>
        </w:rPr>
      </w:pPr>
      <w:r>
        <w:rPr>
          <w:rFonts w:ascii="Tahoma" w:hAnsi="Tahoma"/>
          <w:sz w:val="20"/>
        </w:rPr>
        <w:t>και στο URL: </w:t>
      </w:r>
      <w:hyperlink r:id="rId9">
        <w:r>
          <w:rPr>
            <w:rFonts w:ascii="Tahoma" w:hAnsi="Tahoma"/>
            <w:color w:val="0000FF"/>
            <w:sz w:val="20"/>
            <w:u w:val="single" w:color="0000FF"/>
          </w:rPr>
          <w:t>www.thessaly.gov.gr</w:t>
        </w:r>
      </w:hyperlink>
    </w:p>
    <w:p>
      <w:pPr>
        <w:spacing w:line="316" w:lineRule="auto" w:before="140"/>
        <w:ind w:left="648" w:right="194" w:firstLine="0"/>
        <w:jc w:val="left"/>
        <w:rPr>
          <w:rFonts w:ascii="Tahoma" w:hAnsi="Tahoma"/>
          <w:sz w:val="20"/>
        </w:rPr>
      </w:pPr>
      <w:r>
        <w:rPr>
          <w:rFonts w:ascii="Tahoma" w:hAnsi="Tahoma"/>
          <w:sz w:val="20"/>
        </w:rPr>
        <w:t>Τυχόν ερωτήματα θα διατυπώνονται εγγράφως και θα αποστέλλονται με ηλεκτρονικό ταχυδρομείο στην ηλεκτρονική διεύθυνση: </w:t>
      </w:r>
      <w:hyperlink r:id="rId12">
        <w:r>
          <w:rPr>
            <w:rFonts w:ascii="Tahoma" w:hAnsi="Tahoma"/>
            <w:color w:val="0000FF"/>
            <w:sz w:val="20"/>
            <w:u w:val="single" w:color="0000FF"/>
          </w:rPr>
          <w:t>diapefd@thessaly.gov.gr</w:t>
        </w:r>
      </w:hyperlink>
    </w:p>
    <w:p>
      <w:pPr>
        <w:spacing w:after="0" w:line="316" w:lineRule="auto"/>
        <w:jc w:val="left"/>
        <w:rPr>
          <w:rFonts w:ascii="Tahoma" w:hAnsi="Tahoma"/>
          <w:sz w:val="20"/>
        </w:rPr>
        <w:sectPr>
          <w:pgSz w:w="11910" w:h="16840"/>
          <w:pgMar w:header="0" w:footer="1382" w:top="880" w:bottom="1580" w:left="1140" w:right="1140"/>
        </w:sectPr>
      </w:pPr>
    </w:p>
    <w:p>
      <w:pPr>
        <w:spacing w:line="319" w:lineRule="auto" w:before="87"/>
        <w:ind w:left="648" w:right="140" w:firstLine="0"/>
        <w:jc w:val="both"/>
        <w:rPr>
          <w:rFonts w:ascii="Tahoma" w:hAnsi="Tahoma"/>
          <w:sz w:val="20"/>
        </w:rPr>
      </w:pPr>
      <w:r>
        <w:rPr>
          <w:rFonts w:ascii="Tahoma" w:hAnsi="Tahoma"/>
          <w:sz w:val="20"/>
        </w:rPr>
        <w:t>Για τεχνικά θέματα της εφαρμογής οι δικαιούχοι μπορούν να απευθύνονται στο HELPDESK (γραφείο υποστήριξης) που λειτουργεί η ΜΟΔ, τηλ: 210-7787940, </w:t>
      </w:r>
      <w:hyperlink r:id="rId13">
        <w:r>
          <w:rPr>
            <w:rFonts w:ascii="Tahoma" w:hAnsi="Tahoma"/>
            <w:color w:val="0000FF"/>
            <w:sz w:val="20"/>
            <w:u w:val="single" w:color="0000FF"/>
          </w:rPr>
          <w:t>support@mou.gr</w:t>
        </w:r>
      </w:hyperlink>
      <w:r>
        <w:rPr>
          <w:rFonts w:ascii="Tahoma" w:hAnsi="Tahoma"/>
          <w:color w:val="0000FF"/>
          <w:sz w:val="20"/>
          <w:u w:val="single" w:color="0000FF"/>
        </w:rPr>
        <w:t> </w:t>
      </w:r>
      <w:r>
        <w:rPr>
          <w:rFonts w:ascii="Tahoma" w:hAnsi="Tahoma"/>
          <w:sz w:val="20"/>
        </w:rPr>
        <w:t>(ώρες γραφείου</w:t>
      </w:r>
      <w:r>
        <w:rPr>
          <w:rFonts w:ascii="Tahoma" w:hAnsi="Tahoma"/>
          <w:spacing w:val="-6"/>
          <w:sz w:val="20"/>
        </w:rPr>
        <w:t> </w:t>
      </w:r>
      <w:r>
        <w:rPr>
          <w:rFonts w:ascii="Tahoma" w:hAnsi="Tahoma"/>
          <w:sz w:val="20"/>
        </w:rPr>
        <w:t>09:00-17:00.</w:t>
      </w:r>
    </w:p>
    <w:p>
      <w:pPr>
        <w:pStyle w:val="BodyText"/>
        <w:rPr>
          <w:rFonts w:ascii="Tahoma"/>
          <w:sz w:val="24"/>
        </w:rPr>
      </w:pPr>
    </w:p>
    <w:p>
      <w:pPr>
        <w:pStyle w:val="BodyText"/>
        <w:spacing w:before="4"/>
        <w:rPr>
          <w:rFonts w:ascii="Tahoma"/>
          <w:sz w:val="27"/>
        </w:rPr>
      </w:pPr>
    </w:p>
    <w:p>
      <w:pPr>
        <w:spacing w:before="0"/>
        <w:ind w:left="3417" w:right="2837" w:firstLine="0"/>
        <w:jc w:val="center"/>
        <w:rPr>
          <w:rFonts w:ascii="Tahoma" w:hAnsi="Tahoma"/>
          <w:b/>
          <w:sz w:val="20"/>
        </w:rPr>
      </w:pPr>
      <w:r>
        <w:rPr>
          <w:rFonts w:ascii="Tahoma" w:hAnsi="Tahoma"/>
          <w:b/>
          <w:sz w:val="20"/>
        </w:rPr>
        <w:t>Ο ΠΕΡΙΦΕΡΕΙΑΡΧΗΣ ΘΕΣΣΑΛΙΑΣ</w:t>
      </w:r>
    </w:p>
    <w:p>
      <w:pPr>
        <w:pStyle w:val="BodyText"/>
        <w:rPr>
          <w:rFonts w:ascii="Tahoma"/>
          <w:b/>
          <w:sz w:val="24"/>
        </w:rPr>
      </w:pPr>
    </w:p>
    <w:p>
      <w:pPr>
        <w:pStyle w:val="BodyText"/>
        <w:spacing w:before="11"/>
        <w:rPr>
          <w:rFonts w:ascii="Tahoma"/>
          <w:b/>
          <w:sz w:val="35"/>
        </w:rPr>
      </w:pPr>
    </w:p>
    <w:p>
      <w:pPr>
        <w:spacing w:before="0"/>
        <w:ind w:left="3417" w:right="2837" w:firstLine="0"/>
        <w:jc w:val="center"/>
        <w:rPr>
          <w:rFonts w:ascii="Tahoma" w:hAnsi="Tahoma"/>
          <w:b/>
          <w:sz w:val="20"/>
        </w:rPr>
      </w:pPr>
      <w:r>
        <w:rPr>
          <w:rFonts w:ascii="Tahoma" w:hAnsi="Tahoma"/>
          <w:b/>
          <w:sz w:val="20"/>
        </w:rPr>
        <w:t>ΑΓΟΡΑΣΤΟΣ ΚΩΝΣΤΑΝΤΙΝΟΣ</w:t>
      </w:r>
    </w:p>
    <w:p>
      <w:pPr>
        <w:pStyle w:val="BodyText"/>
        <w:rPr>
          <w:rFonts w:ascii="Tahoma"/>
          <w:b/>
          <w:sz w:val="24"/>
        </w:rPr>
      </w:pPr>
    </w:p>
    <w:p>
      <w:pPr>
        <w:pStyle w:val="BodyText"/>
        <w:rPr>
          <w:rFonts w:ascii="Tahoma"/>
          <w:b/>
          <w:sz w:val="24"/>
        </w:rPr>
      </w:pPr>
    </w:p>
    <w:p>
      <w:pPr>
        <w:spacing w:before="197"/>
        <w:ind w:left="221" w:right="0" w:firstLine="0"/>
        <w:jc w:val="left"/>
        <w:rPr>
          <w:rFonts w:ascii="Tahoma" w:hAnsi="Tahoma"/>
          <w:b/>
          <w:sz w:val="20"/>
        </w:rPr>
      </w:pPr>
      <w:r>
        <w:rPr>
          <w:rFonts w:ascii="Tahoma" w:hAnsi="Tahoma"/>
          <w:b/>
          <w:sz w:val="20"/>
        </w:rPr>
        <w:t>Συνημμένα:</w:t>
      </w:r>
    </w:p>
    <w:p>
      <w:pPr>
        <w:pStyle w:val="ListParagraph"/>
        <w:numPr>
          <w:ilvl w:val="0"/>
          <w:numId w:val="5"/>
        </w:numPr>
        <w:tabs>
          <w:tab w:pos="648" w:val="left" w:leader="none"/>
          <w:tab w:pos="649" w:val="left" w:leader="none"/>
        </w:tabs>
        <w:spacing w:line="240" w:lineRule="auto" w:before="78" w:after="0"/>
        <w:ind w:left="288" w:right="0" w:firstLine="0"/>
        <w:jc w:val="left"/>
        <w:rPr>
          <w:rFonts w:ascii="Tahoma" w:hAnsi="Tahoma"/>
          <w:sz w:val="18"/>
        </w:rPr>
      </w:pPr>
      <w:r>
        <w:rPr>
          <w:rFonts w:ascii="Tahoma" w:hAnsi="Tahoma"/>
          <w:sz w:val="18"/>
        </w:rPr>
        <w:t>Αναλυτική Πρόσκληση με τα παραρτήματά</w:t>
      </w:r>
      <w:r>
        <w:rPr>
          <w:rFonts w:ascii="Tahoma" w:hAnsi="Tahoma"/>
          <w:spacing w:val="-11"/>
          <w:sz w:val="18"/>
        </w:rPr>
        <w:t> </w:t>
      </w:r>
      <w:r>
        <w:rPr>
          <w:rFonts w:ascii="Tahoma" w:hAnsi="Tahoma"/>
          <w:sz w:val="18"/>
        </w:rPr>
        <w:t>της</w:t>
      </w:r>
    </w:p>
    <w:p>
      <w:pPr>
        <w:pStyle w:val="BodyText"/>
        <w:spacing w:before="10"/>
        <w:rPr>
          <w:rFonts w:ascii="Tahoma"/>
          <w:sz w:val="29"/>
        </w:rPr>
      </w:pPr>
    </w:p>
    <w:p>
      <w:pPr>
        <w:spacing w:before="0"/>
        <w:ind w:left="221" w:right="0" w:firstLine="0"/>
        <w:jc w:val="left"/>
        <w:rPr>
          <w:rFonts w:ascii="Tahoma" w:hAnsi="Tahoma"/>
          <w:b/>
          <w:sz w:val="20"/>
        </w:rPr>
      </w:pPr>
      <w:r>
        <w:rPr>
          <w:rFonts w:ascii="Tahoma" w:hAnsi="Tahoma"/>
          <w:b/>
          <w:sz w:val="20"/>
        </w:rPr>
        <w:t>Κοινοποιήσεις:</w:t>
      </w:r>
    </w:p>
    <w:p>
      <w:pPr>
        <w:spacing w:before="78"/>
        <w:ind w:left="221" w:right="0" w:firstLine="0"/>
        <w:jc w:val="left"/>
        <w:rPr>
          <w:rFonts w:ascii="Tahoma" w:hAnsi="Tahoma"/>
          <w:sz w:val="18"/>
        </w:rPr>
      </w:pPr>
      <w:r>
        <w:rPr>
          <w:rFonts w:ascii="Tahoma" w:hAnsi="Tahoma"/>
          <w:sz w:val="18"/>
        </w:rPr>
        <w:t>Υπουργείο Οικονομίας και Ανάπτυξης :</w:t>
      </w:r>
    </w:p>
    <w:p>
      <w:pPr>
        <w:pStyle w:val="ListParagraph"/>
        <w:numPr>
          <w:ilvl w:val="0"/>
          <w:numId w:val="5"/>
        </w:numPr>
        <w:tabs>
          <w:tab w:pos="648" w:val="left" w:leader="none"/>
          <w:tab w:pos="649" w:val="left" w:leader="none"/>
        </w:tabs>
        <w:spacing w:line="240" w:lineRule="auto" w:before="82" w:after="0"/>
        <w:ind w:left="648" w:right="0" w:hanging="360"/>
        <w:jc w:val="left"/>
        <w:rPr>
          <w:rFonts w:ascii="Tahoma" w:hAnsi="Tahoma"/>
          <w:sz w:val="18"/>
        </w:rPr>
      </w:pPr>
      <w:r>
        <w:rPr>
          <w:rFonts w:ascii="Tahoma" w:hAnsi="Tahoma"/>
          <w:sz w:val="18"/>
        </w:rPr>
        <w:t>Γραφείο Γενικού Γραμματέα Δημοσίων Επενδύσεων -</w:t>
      </w:r>
      <w:r>
        <w:rPr>
          <w:rFonts w:ascii="Tahoma" w:hAnsi="Tahoma"/>
          <w:spacing w:val="-18"/>
          <w:sz w:val="18"/>
        </w:rPr>
        <w:t> </w:t>
      </w:r>
      <w:r>
        <w:rPr>
          <w:rFonts w:ascii="Tahoma" w:hAnsi="Tahoma"/>
          <w:sz w:val="18"/>
        </w:rPr>
        <w:t>ΕΣΠΑ</w:t>
      </w:r>
    </w:p>
    <w:p>
      <w:pPr>
        <w:pStyle w:val="ListParagraph"/>
        <w:numPr>
          <w:ilvl w:val="0"/>
          <w:numId w:val="5"/>
        </w:numPr>
        <w:tabs>
          <w:tab w:pos="648" w:val="left" w:leader="none"/>
          <w:tab w:pos="649" w:val="left" w:leader="none"/>
        </w:tabs>
        <w:spacing w:line="240" w:lineRule="auto" w:before="79" w:after="0"/>
        <w:ind w:left="648" w:right="0" w:hanging="360"/>
        <w:jc w:val="left"/>
        <w:rPr>
          <w:rFonts w:ascii="Tahoma" w:hAnsi="Tahoma"/>
          <w:sz w:val="18"/>
        </w:rPr>
      </w:pPr>
      <w:r>
        <w:rPr>
          <w:rFonts w:ascii="Tahoma" w:hAnsi="Tahoma"/>
          <w:sz w:val="18"/>
        </w:rPr>
        <w:t>Ειδική Υπηρεσία Κρατικών</w:t>
      </w:r>
      <w:r>
        <w:rPr>
          <w:rFonts w:ascii="Tahoma" w:hAnsi="Tahoma"/>
          <w:spacing w:val="-12"/>
          <w:sz w:val="18"/>
        </w:rPr>
        <w:t> </w:t>
      </w:r>
      <w:r>
        <w:rPr>
          <w:rFonts w:ascii="Tahoma" w:hAnsi="Tahoma"/>
          <w:sz w:val="18"/>
        </w:rPr>
        <w:t>Ενισχύσεων</w:t>
      </w:r>
    </w:p>
    <w:p>
      <w:pPr>
        <w:pStyle w:val="ListParagraph"/>
        <w:numPr>
          <w:ilvl w:val="0"/>
          <w:numId w:val="5"/>
        </w:numPr>
        <w:tabs>
          <w:tab w:pos="648" w:val="left" w:leader="none"/>
          <w:tab w:pos="649" w:val="left" w:leader="none"/>
        </w:tabs>
        <w:spacing w:line="240" w:lineRule="auto" w:before="79" w:after="0"/>
        <w:ind w:left="648" w:right="0" w:hanging="360"/>
        <w:jc w:val="left"/>
        <w:rPr>
          <w:rFonts w:ascii="Tahoma" w:hAnsi="Tahoma"/>
          <w:sz w:val="18"/>
        </w:rPr>
      </w:pPr>
      <w:r>
        <w:rPr>
          <w:rFonts w:ascii="Tahoma" w:hAnsi="Tahoma"/>
          <w:sz w:val="18"/>
        </w:rPr>
        <w:t>Ειδική Υπηρεσία Συντονισμού</w:t>
      </w:r>
      <w:r>
        <w:rPr>
          <w:rFonts w:ascii="Tahoma" w:hAnsi="Tahoma"/>
          <w:spacing w:val="-10"/>
          <w:sz w:val="18"/>
        </w:rPr>
        <w:t> </w:t>
      </w:r>
      <w:r>
        <w:rPr>
          <w:rFonts w:ascii="Tahoma" w:hAnsi="Tahoma"/>
          <w:sz w:val="18"/>
        </w:rPr>
        <w:t>Εφαρμογής</w:t>
      </w:r>
    </w:p>
    <w:p>
      <w:pPr>
        <w:pStyle w:val="ListParagraph"/>
        <w:numPr>
          <w:ilvl w:val="0"/>
          <w:numId w:val="5"/>
        </w:numPr>
        <w:tabs>
          <w:tab w:pos="648" w:val="left" w:leader="none"/>
          <w:tab w:pos="649" w:val="left" w:leader="none"/>
        </w:tabs>
        <w:spacing w:line="240" w:lineRule="auto" w:before="79" w:after="0"/>
        <w:ind w:left="648" w:right="0" w:hanging="360"/>
        <w:jc w:val="left"/>
        <w:rPr>
          <w:rFonts w:ascii="Tahoma" w:hAnsi="Tahoma"/>
          <w:sz w:val="18"/>
        </w:rPr>
      </w:pPr>
      <w:r>
        <w:rPr>
          <w:rFonts w:ascii="Tahoma" w:hAnsi="Tahoma"/>
          <w:sz w:val="18"/>
        </w:rPr>
        <w:t>Ε.Υ.</w:t>
      </w:r>
      <w:r>
        <w:rPr>
          <w:rFonts w:ascii="Tahoma" w:hAnsi="Tahoma"/>
          <w:spacing w:val="-1"/>
          <w:sz w:val="18"/>
        </w:rPr>
        <w:t> </w:t>
      </w:r>
      <w:r>
        <w:rPr>
          <w:rFonts w:ascii="Tahoma" w:hAnsi="Tahoma"/>
          <w:sz w:val="18"/>
        </w:rPr>
        <w:t>ΟΠΣ</w:t>
      </w:r>
    </w:p>
    <w:p>
      <w:pPr>
        <w:pStyle w:val="ListParagraph"/>
        <w:numPr>
          <w:ilvl w:val="0"/>
          <w:numId w:val="5"/>
        </w:numPr>
        <w:tabs>
          <w:tab w:pos="648" w:val="left" w:leader="none"/>
          <w:tab w:pos="649" w:val="left" w:leader="none"/>
        </w:tabs>
        <w:spacing w:line="326" w:lineRule="auto" w:before="79" w:after="0"/>
        <w:ind w:left="288" w:right="1433" w:firstLine="0"/>
        <w:jc w:val="left"/>
        <w:rPr>
          <w:rFonts w:ascii="Tahoma" w:hAnsi="Tahoma"/>
          <w:sz w:val="18"/>
        </w:rPr>
      </w:pPr>
      <w:r>
        <w:rPr>
          <w:rFonts w:ascii="Tahoma" w:hAnsi="Tahoma"/>
          <w:sz w:val="18"/>
        </w:rPr>
        <w:t>Ειδική Υπηρεσία Αρχή Πιστοποίησης και Εξακρίβωσης Συγχρηματοδοτούμενων</w:t>
      </w:r>
      <w:r>
        <w:rPr>
          <w:rFonts w:ascii="Tahoma" w:hAnsi="Tahoma"/>
          <w:spacing w:val="-31"/>
          <w:sz w:val="18"/>
        </w:rPr>
        <w:t> </w:t>
      </w:r>
      <w:r>
        <w:rPr>
          <w:rFonts w:ascii="Tahoma" w:hAnsi="Tahoma"/>
          <w:sz w:val="18"/>
        </w:rPr>
        <w:t>Προγραμμάτων Μ.Ο.Δ.</w:t>
      </w:r>
      <w:r>
        <w:rPr>
          <w:rFonts w:ascii="Tahoma" w:hAnsi="Tahoma"/>
          <w:spacing w:val="-2"/>
          <w:sz w:val="18"/>
        </w:rPr>
        <w:t> </w:t>
      </w:r>
      <w:r>
        <w:rPr>
          <w:rFonts w:ascii="Tahoma" w:hAnsi="Tahoma"/>
          <w:sz w:val="18"/>
        </w:rPr>
        <w:t>Α.Ε.</w:t>
      </w:r>
    </w:p>
    <w:p>
      <w:pPr>
        <w:spacing w:before="4"/>
        <w:ind w:left="221" w:right="0" w:firstLine="0"/>
        <w:jc w:val="left"/>
        <w:rPr>
          <w:rFonts w:ascii="Tahoma" w:hAnsi="Tahoma"/>
          <w:sz w:val="18"/>
        </w:rPr>
      </w:pPr>
      <w:r>
        <w:rPr>
          <w:rFonts w:ascii="Tahoma" w:hAnsi="Tahoma"/>
          <w:sz w:val="18"/>
        </w:rPr>
        <w:t>Περιφέρεια Θεσσαλίας :</w:t>
      </w:r>
    </w:p>
    <w:p>
      <w:pPr>
        <w:pStyle w:val="ListParagraph"/>
        <w:numPr>
          <w:ilvl w:val="0"/>
          <w:numId w:val="5"/>
        </w:numPr>
        <w:tabs>
          <w:tab w:pos="648" w:val="left" w:leader="none"/>
          <w:tab w:pos="649" w:val="left" w:leader="none"/>
        </w:tabs>
        <w:spacing w:line="240" w:lineRule="auto" w:before="82" w:after="0"/>
        <w:ind w:left="648" w:right="0" w:hanging="360"/>
        <w:jc w:val="left"/>
        <w:rPr>
          <w:rFonts w:ascii="Tahoma" w:hAnsi="Tahoma"/>
          <w:sz w:val="18"/>
        </w:rPr>
      </w:pPr>
      <w:r>
        <w:rPr>
          <w:rFonts w:ascii="Tahoma" w:hAnsi="Tahoma"/>
          <w:sz w:val="18"/>
        </w:rPr>
        <w:t>Διεύθυνση Αναπτυξιακού Προγραμματισμού Περιφέρειας</w:t>
      </w:r>
      <w:r>
        <w:rPr>
          <w:rFonts w:ascii="Tahoma" w:hAnsi="Tahoma"/>
          <w:spacing w:val="-17"/>
          <w:sz w:val="18"/>
        </w:rPr>
        <w:t> </w:t>
      </w:r>
      <w:r>
        <w:rPr>
          <w:rFonts w:ascii="Tahoma" w:hAnsi="Tahoma"/>
          <w:sz w:val="18"/>
        </w:rPr>
        <w:t>Θεσσαλίας</w:t>
      </w:r>
    </w:p>
    <w:p>
      <w:pPr>
        <w:pStyle w:val="ListParagraph"/>
        <w:numPr>
          <w:ilvl w:val="0"/>
          <w:numId w:val="5"/>
        </w:numPr>
        <w:tabs>
          <w:tab w:pos="648" w:val="left" w:leader="none"/>
          <w:tab w:pos="649" w:val="left" w:leader="none"/>
        </w:tabs>
        <w:spacing w:line="240" w:lineRule="auto" w:before="79" w:after="0"/>
        <w:ind w:left="648" w:right="0" w:hanging="360"/>
        <w:jc w:val="left"/>
        <w:rPr>
          <w:rFonts w:ascii="Tahoma" w:hAnsi="Tahoma"/>
          <w:sz w:val="18"/>
        </w:rPr>
      </w:pPr>
      <w:r>
        <w:rPr>
          <w:rFonts w:ascii="Tahoma" w:hAnsi="Tahoma"/>
          <w:sz w:val="18"/>
        </w:rPr>
        <w:t>Γραφείο Περιφερειάρχη</w:t>
      </w:r>
      <w:r>
        <w:rPr>
          <w:rFonts w:ascii="Tahoma" w:hAnsi="Tahoma"/>
          <w:spacing w:val="-11"/>
          <w:sz w:val="18"/>
        </w:rPr>
        <w:t> </w:t>
      </w:r>
      <w:r>
        <w:rPr>
          <w:rFonts w:ascii="Tahoma" w:hAnsi="Tahoma"/>
          <w:sz w:val="18"/>
        </w:rPr>
        <w:t>Θεσσαλίας</w:t>
      </w:r>
    </w:p>
    <w:p>
      <w:pPr>
        <w:pStyle w:val="BodyText"/>
        <w:spacing w:before="10"/>
        <w:rPr>
          <w:rFonts w:ascii="Tahoma"/>
          <w:sz w:val="29"/>
        </w:rPr>
      </w:pPr>
    </w:p>
    <w:p>
      <w:pPr>
        <w:spacing w:line="324" w:lineRule="auto" w:before="0"/>
        <w:ind w:left="221" w:right="7433" w:firstLine="0"/>
        <w:jc w:val="left"/>
        <w:rPr>
          <w:rFonts w:ascii="Tahoma" w:hAnsi="Tahoma"/>
          <w:sz w:val="18"/>
        </w:rPr>
      </w:pPr>
      <w:r>
        <w:rPr>
          <w:rFonts w:ascii="Tahoma" w:hAnsi="Tahoma"/>
          <w:b/>
          <w:sz w:val="20"/>
        </w:rPr>
        <w:t>Εσωτ. Διανομή: </w:t>
      </w:r>
      <w:r>
        <w:rPr>
          <w:rFonts w:ascii="Tahoma" w:hAnsi="Tahoma"/>
          <w:sz w:val="18"/>
        </w:rPr>
        <w:t>Μονάδες Α΄, Γ΄, Β2, Β1 Προϊστάμενος ΕΥΔ</w:t>
      </w:r>
    </w:p>
    <w:p>
      <w:pPr>
        <w:spacing w:after="0" w:line="324" w:lineRule="auto"/>
        <w:jc w:val="left"/>
        <w:rPr>
          <w:rFonts w:ascii="Tahoma" w:hAnsi="Tahoma"/>
          <w:sz w:val="18"/>
        </w:rPr>
        <w:sectPr>
          <w:pgSz w:w="11910" w:h="16840"/>
          <w:pgMar w:header="0" w:footer="1382" w:top="880" w:bottom="1580" w:left="1140" w:right="1220"/>
        </w:sectPr>
      </w:pPr>
    </w:p>
    <w:p>
      <w:pPr>
        <w:tabs>
          <w:tab w:pos="7283" w:val="left" w:leader="none"/>
        </w:tabs>
        <w:spacing w:line="240" w:lineRule="auto"/>
        <w:ind w:left="1314" w:right="0" w:firstLine="0"/>
        <w:rPr>
          <w:rFonts w:ascii="Tahoma"/>
          <w:sz w:val="20"/>
        </w:rPr>
      </w:pPr>
      <w:r>
        <w:rPr>
          <w:rFonts w:ascii="Tahoma"/>
          <w:sz w:val="20"/>
        </w:rPr>
        <w:drawing>
          <wp:inline distT="0" distB="0" distL="0" distR="0">
            <wp:extent cx="734373" cy="698373"/>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5" cstate="print"/>
                    <a:stretch>
                      <a:fillRect/>
                    </a:stretch>
                  </pic:blipFill>
                  <pic:spPr>
                    <a:xfrm>
                      <a:off x="0" y="0"/>
                      <a:ext cx="734373" cy="698373"/>
                    </a:xfrm>
                    <a:prstGeom prst="rect">
                      <a:avLst/>
                    </a:prstGeom>
                  </pic:spPr>
                </pic:pic>
              </a:graphicData>
            </a:graphic>
          </wp:inline>
        </w:drawing>
      </w:r>
      <w:r>
        <w:rPr>
          <w:rFonts w:ascii="Tahoma"/>
          <w:sz w:val="20"/>
        </w:rPr>
      </w:r>
      <w:r>
        <w:rPr>
          <w:rFonts w:ascii="Tahoma"/>
          <w:sz w:val="20"/>
        </w:rPr>
        <w:tab/>
      </w:r>
      <w:r>
        <w:rPr>
          <w:rFonts w:ascii="Tahoma"/>
          <w:position w:val="3"/>
          <w:sz w:val="20"/>
        </w:rPr>
        <w:drawing>
          <wp:inline distT="0" distB="0" distL="0" distR="0">
            <wp:extent cx="1007475" cy="676655"/>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6" cstate="print"/>
                    <a:stretch>
                      <a:fillRect/>
                    </a:stretch>
                  </pic:blipFill>
                  <pic:spPr>
                    <a:xfrm>
                      <a:off x="0" y="0"/>
                      <a:ext cx="1007475" cy="676655"/>
                    </a:xfrm>
                    <a:prstGeom prst="rect">
                      <a:avLst/>
                    </a:prstGeom>
                  </pic:spPr>
                </pic:pic>
              </a:graphicData>
            </a:graphic>
          </wp:inline>
        </w:drawing>
      </w:r>
      <w:r>
        <w:rPr>
          <w:rFonts w:ascii="Tahoma"/>
          <w:position w:val="3"/>
          <w:sz w:val="20"/>
        </w:rPr>
      </w:r>
    </w:p>
    <w:p>
      <w:pPr>
        <w:spacing w:after="0" w:line="240" w:lineRule="auto"/>
        <w:rPr>
          <w:rFonts w:ascii="Tahoma"/>
          <w:sz w:val="20"/>
        </w:rPr>
        <w:sectPr>
          <w:footerReference w:type="default" r:id="rId14"/>
          <w:pgSz w:w="11910" w:h="16840"/>
          <w:pgMar w:footer="0" w:header="0" w:top="1420" w:bottom="280" w:left="980" w:right="960"/>
        </w:sectPr>
      </w:pPr>
    </w:p>
    <w:p>
      <w:pPr>
        <w:pStyle w:val="Heading4"/>
        <w:spacing w:before="13"/>
        <w:ind w:left="525" w:firstLine="2"/>
        <w:jc w:val="center"/>
      </w:pPr>
      <w:r>
        <w:rPr/>
        <w:t>ΕΛΛΗΝΙΚΗ ΔΗΜΟΚΡΑΤΙΑ ΠΕΡΙΦΕΡΕΙΑ ΘΕΣΣΑΛΙΑΣ ΕΙΔΙΚΗ ΥΠΗΡΕΣΙΑ ΔΙΑΧΕΙΡΙΣΗΣ Ε.Π. ΠΕΡΙΦΕΡΕΙΑΣ ΘΕΣΣΑΛΙΑΣ</w:t>
      </w:r>
    </w:p>
    <w:p>
      <w:pPr>
        <w:spacing w:line="246" w:lineRule="exact" w:before="0"/>
        <w:ind w:left="861" w:right="0" w:firstLine="0"/>
        <w:jc w:val="left"/>
        <w:rPr>
          <w:b/>
          <w:sz w:val="22"/>
        </w:rPr>
      </w:pPr>
      <w:r>
        <w:rPr/>
        <w:br w:type="column"/>
      </w:r>
      <w:r>
        <w:rPr>
          <w:b/>
          <w:sz w:val="22"/>
        </w:rPr>
        <w:t>ΕΥΡΩΠΑΪΚΗ ΕΝΩΣΗ</w:t>
      </w:r>
    </w:p>
    <w:p>
      <w:pPr>
        <w:spacing w:before="0"/>
        <w:ind w:left="525" w:right="649" w:firstLine="350"/>
        <w:jc w:val="left"/>
        <w:rPr>
          <w:b/>
          <w:sz w:val="22"/>
        </w:rPr>
      </w:pPr>
      <w:r>
        <w:rPr>
          <w:b/>
          <w:sz w:val="22"/>
        </w:rPr>
        <w:t>Ευρωπαϊκό Ταμείο Περιφερειακής Ανάπτυξης</w:t>
      </w:r>
    </w:p>
    <w:p>
      <w:pPr>
        <w:spacing w:after="0"/>
        <w:jc w:val="left"/>
        <w:rPr>
          <w:sz w:val="22"/>
        </w:rPr>
        <w:sectPr>
          <w:type w:val="continuous"/>
          <w:pgSz w:w="11910" w:h="16840"/>
          <w:pgMar w:top="800" w:bottom="1580" w:left="980" w:right="960"/>
          <w:cols w:num="2" w:equalWidth="0">
            <w:col w:w="3275" w:space="3057"/>
            <w:col w:w="3638"/>
          </w:cols>
        </w:sectPr>
      </w:pPr>
    </w:p>
    <w:p>
      <w:pPr>
        <w:pStyle w:val="BodyText"/>
        <w:rPr>
          <w:b/>
          <w:sz w:val="20"/>
        </w:rPr>
      </w:pPr>
    </w:p>
    <w:p>
      <w:pPr>
        <w:pStyle w:val="BodyText"/>
        <w:rPr>
          <w:b/>
          <w:sz w:val="20"/>
        </w:rPr>
      </w:pPr>
    </w:p>
    <w:p>
      <w:pPr>
        <w:pStyle w:val="BodyText"/>
        <w:spacing w:before="7"/>
        <w:rPr>
          <w:b/>
          <w:sz w:val="19"/>
        </w:rPr>
      </w:pPr>
    </w:p>
    <w:p>
      <w:pPr>
        <w:spacing w:before="27"/>
        <w:ind w:left="105" w:right="125" w:firstLine="0"/>
        <w:jc w:val="center"/>
        <w:rPr>
          <w:b/>
          <w:sz w:val="36"/>
        </w:rPr>
      </w:pPr>
      <w:r>
        <w:rPr>
          <w:b/>
          <w:sz w:val="36"/>
        </w:rPr>
        <w:t>ΠΕΡΙΦΕΡΕΙΑΚΟ ΕΠΙΧΕΙΡΗΣΙΑΚΟ ΠΡΟΓΡΑΜΜΑ</w:t>
      </w:r>
    </w:p>
    <w:p>
      <w:pPr>
        <w:spacing w:before="120"/>
        <w:ind w:left="107" w:right="125" w:firstLine="0"/>
        <w:jc w:val="center"/>
        <w:rPr>
          <w:b/>
          <w:sz w:val="36"/>
        </w:rPr>
      </w:pPr>
      <w:r>
        <w:rPr>
          <w:b/>
          <w:sz w:val="36"/>
        </w:rPr>
        <w:t>«ΘΕΣΣΑΛΙΑ 2014-2020»</w:t>
      </w:r>
    </w:p>
    <w:p>
      <w:pPr>
        <w:pStyle w:val="BodyText"/>
        <w:spacing w:before="5"/>
        <w:rPr>
          <w:b/>
          <w:sz w:val="35"/>
        </w:rPr>
      </w:pPr>
    </w:p>
    <w:p>
      <w:pPr>
        <w:pStyle w:val="Heading2"/>
        <w:spacing w:before="1"/>
        <w:ind w:left="108" w:right="125" w:firstLine="0"/>
        <w:jc w:val="center"/>
      </w:pPr>
      <w:r>
        <w:rPr/>
        <w:t>ΑΞΟΝΑΣ ΠΡΟΤΕΡΑΙΟΤΗΤΑΣ 01:</w:t>
      </w:r>
    </w:p>
    <w:p>
      <w:pPr>
        <w:pStyle w:val="Heading4"/>
        <w:spacing w:before="143"/>
        <w:ind w:left="270" w:right="285" w:hanging="2"/>
        <w:jc w:val="center"/>
      </w:pPr>
      <w:r>
        <w:rPr/>
        <w:t>«Ενίσχυση της ανταγωνιστικότητας και της εξωστρέφειας των επιχειρήσεων (ιδιαίτερα των ΜΜΕ), μετάβαση στην ποιοτική επιχειρηματικότητα, με αιχμή την καινοτομία και αύξηση της Περιφερειακής Προστιθέμενης Αξίας»</w:t>
      </w:r>
    </w:p>
    <w:p>
      <w:pPr>
        <w:pStyle w:val="BodyText"/>
        <w:rPr>
          <w:b/>
        </w:rPr>
      </w:pPr>
    </w:p>
    <w:p>
      <w:pPr>
        <w:spacing w:before="137"/>
        <w:ind w:left="106" w:right="125" w:firstLine="0"/>
        <w:jc w:val="center"/>
        <w:rPr>
          <w:b/>
          <w:sz w:val="24"/>
        </w:rPr>
      </w:pPr>
      <w:r>
        <w:rPr>
          <w:b/>
          <w:sz w:val="24"/>
        </w:rPr>
        <w:t>ΘΕΜΑΤΙΚΟΣ ΣΤΟΧΟΣ 03:</w:t>
      </w:r>
    </w:p>
    <w:p>
      <w:pPr>
        <w:spacing w:before="143"/>
        <w:ind w:left="109" w:right="125" w:firstLine="0"/>
        <w:jc w:val="center"/>
        <w:rPr>
          <w:b/>
          <w:sz w:val="22"/>
        </w:rPr>
      </w:pPr>
      <w:r>
        <w:rPr>
          <w:b/>
          <w:sz w:val="22"/>
        </w:rPr>
        <w:t>«Βελτίωση της ανταγωνιστικότητας των μικρομεσαίων επιχειρήσεων»</w:t>
      </w:r>
    </w:p>
    <w:p>
      <w:pPr>
        <w:pStyle w:val="BodyText"/>
        <w:rPr>
          <w:b/>
        </w:rPr>
      </w:pPr>
    </w:p>
    <w:p>
      <w:pPr>
        <w:pStyle w:val="BodyText"/>
        <w:spacing w:before="1"/>
        <w:rPr>
          <w:b/>
        </w:rPr>
      </w:pPr>
    </w:p>
    <w:p>
      <w:pPr>
        <w:spacing w:before="0"/>
        <w:ind w:left="109" w:right="121" w:firstLine="0"/>
        <w:jc w:val="center"/>
        <w:rPr>
          <w:b/>
          <w:sz w:val="22"/>
        </w:rPr>
      </w:pPr>
      <w:r>
        <w:rPr>
          <w:b/>
          <w:sz w:val="22"/>
        </w:rPr>
        <w:t>ΕΠΕΝΔΥΤΙΚΗ ΠΡΟΤΕΡΑΙΟΤΗΤΑ 3α:</w:t>
      </w:r>
    </w:p>
    <w:p>
      <w:pPr>
        <w:spacing w:line="240" w:lineRule="auto" w:before="0"/>
        <w:ind w:left="109" w:right="125" w:firstLine="0"/>
        <w:jc w:val="center"/>
        <w:rPr>
          <w:b/>
          <w:sz w:val="22"/>
        </w:rPr>
      </w:pPr>
      <w:r>
        <w:rPr>
          <w:b/>
          <w:sz w:val="22"/>
        </w:rPr>
        <w:t>«Προαγωγής της επιχειρηματικότητας, ιδίως με τη διευκόλυνση της οικονομικής αξιοποίησης νέων ιδεών και ενίσχυσης της δημιουργίας νέων επιχειρήσεων, μεταξύ άλλων και μέσω θερμοκοιτίδων επιχειρήσεων·»</w:t>
      </w:r>
    </w:p>
    <w:p>
      <w:pPr>
        <w:pStyle w:val="BodyText"/>
        <w:spacing w:before="10"/>
        <w:rPr>
          <w:b/>
        </w:rPr>
      </w:pPr>
    </w:p>
    <w:p>
      <w:pPr>
        <w:spacing w:before="1"/>
        <w:ind w:left="103" w:right="125" w:firstLine="0"/>
        <w:jc w:val="center"/>
        <w:rPr>
          <w:b/>
          <w:sz w:val="32"/>
        </w:rPr>
      </w:pPr>
      <w:r>
        <w:rPr>
          <w:b/>
          <w:sz w:val="32"/>
        </w:rPr>
        <w:t>ΑΝΑΛΥΤΙΚΗ ΠΡΟΣΚΛΗΣΗ</w:t>
      </w:r>
    </w:p>
    <w:p>
      <w:pPr>
        <w:spacing w:before="60"/>
        <w:ind w:left="107" w:right="125" w:firstLine="0"/>
        <w:jc w:val="center"/>
        <w:rPr>
          <w:b/>
          <w:sz w:val="32"/>
        </w:rPr>
      </w:pPr>
      <w:r>
        <w:rPr>
          <w:b/>
          <w:sz w:val="32"/>
        </w:rPr>
        <w:t>“Επανεπενδύω στη Θεσσαλία”</w:t>
      </w:r>
    </w:p>
    <w:p>
      <w:pPr>
        <w:pStyle w:val="Heading2"/>
        <w:spacing w:line="276" w:lineRule="auto" w:before="57"/>
        <w:ind w:left="215" w:right="239" w:firstLine="6"/>
        <w:jc w:val="center"/>
      </w:pPr>
      <w:r>
        <w:rPr/>
        <w:t>Ενίσχυση υφιστάμενων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p>
    <w:p>
      <w:pPr>
        <w:pStyle w:val="BodyText"/>
        <w:rPr>
          <w:b/>
          <w:sz w:val="24"/>
        </w:rPr>
      </w:pPr>
    </w:p>
    <w:p>
      <w:pPr>
        <w:pStyle w:val="BodyText"/>
        <w:spacing w:before="9"/>
        <w:rPr>
          <w:b/>
          <w:sz w:val="31"/>
        </w:rPr>
      </w:pPr>
    </w:p>
    <w:p>
      <w:pPr>
        <w:spacing w:before="0"/>
        <w:ind w:left="109" w:right="124" w:firstLine="0"/>
        <w:jc w:val="center"/>
        <w:rPr>
          <w:b/>
          <w:sz w:val="24"/>
        </w:rPr>
      </w:pPr>
      <w:r>
        <w:rPr>
          <w:b/>
          <w:sz w:val="24"/>
        </w:rPr>
        <w:t>Α/Α ΟΠΣ: 3556</w:t>
      </w:r>
    </w:p>
    <w:p>
      <w:pPr>
        <w:pStyle w:val="BodyText"/>
        <w:spacing w:before="9"/>
        <w:rPr>
          <w:b/>
          <w:sz w:val="21"/>
        </w:rPr>
      </w:pPr>
    </w:p>
    <w:p>
      <w:pPr>
        <w:spacing w:before="1"/>
        <w:ind w:left="109" w:right="124" w:firstLine="0"/>
        <w:jc w:val="center"/>
        <w:rPr>
          <w:b/>
          <w:sz w:val="24"/>
        </w:rPr>
      </w:pPr>
      <w:r>
        <w:rPr>
          <w:b/>
          <w:sz w:val="24"/>
        </w:rPr>
        <w:t>Κωδικός Πρόσκλησης: 066KE</w:t>
      </w:r>
    </w:p>
    <w:p>
      <w:pPr>
        <w:pStyle w:val="BodyText"/>
        <w:spacing w:before="9"/>
        <w:rPr>
          <w:b/>
          <w:sz w:val="21"/>
        </w:rPr>
      </w:pPr>
    </w:p>
    <w:p>
      <w:pPr>
        <w:spacing w:line="458" w:lineRule="auto" w:before="1"/>
        <w:ind w:left="3792" w:right="3793" w:firstLine="652"/>
        <w:jc w:val="left"/>
        <w:rPr>
          <w:b/>
          <w:sz w:val="24"/>
        </w:rPr>
      </w:pPr>
      <w:r>
        <w:rPr/>
        <w:drawing>
          <wp:anchor distT="0" distB="0" distL="0" distR="0" allowOverlap="1" layoutInCell="1" locked="0" behindDoc="1" simplePos="0" relativeHeight="268166759">
            <wp:simplePos x="0" y="0"/>
            <wp:positionH relativeFrom="page">
              <wp:posOffset>685800</wp:posOffset>
            </wp:positionH>
            <wp:positionV relativeFrom="paragraph">
              <wp:posOffset>625192</wp:posOffset>
            </wp:positionV>
            <wp:extent cx="6190488" cy="697865"/>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7" cstate="print"/>
                    <a:stretch>
                      <a:fillRect/>
                    </a:stretch>
                  </pic:blipFill>
                  <pic:spPr>
                    <a:xfrm>
                      <a:off x="0" y="0"/>
                      <a:ext cx="6190488" cy="697865"/>
                    </a:xfrm>
                    <a:prstGeom prst="rect">
                      <a:avLst/>
                    </a:prstGeom>
                  </pic:spPr>
                </pic:pic>
              </a:graphicData>
            </a:graphic>
          </wp:anchor>
        </w:drawing>
      </w:r>
      <w:r>
        <w:rPr>
          <w:b/>
          <w:sz w:val="24"/>
        </w:rPr>
        <w:t>Έκδοση 1η ΛΑΡΙΣΑ, ΑΠΡΙΛΙΟΣ 2019</w:t>
      </w:r>
    </w:p>
    <w:p>
      <w:pPr>
        <w:spacing w:after="0" w:line="458" w:lineRule="auto"/>
        <w:jc w:val="left"/>
        <w:rPr>
          <w:sz w:val="24"/>
        </w:rPr>
        <w:sectPr>
          <w:type w:val="continuous"/>
          <w:pgSz w:w="11910" w:h="16840"/>
          <w:pgMar w:top="800" w:bottom="1580" w:left="980" w:right="960"/>
        </w:sectPr>
      </w:pPr>
    </w:p>
    <w:p>
      <w:pPr>
        <w:pStyle w:val="BodyText"/>
        <w:spacing w:before="7"/>
        <w:rPr>
          <w:b/>
          <w:sz w:val="17"/>
        </w:rPr>
      </w:pPr>
    </w:p>
    <w:p>
      <w:pPr>
        <w:pStyle w:val="Heading4"/>
        <w:spacing w:before="57"/>
        <w:jc w:val="left"/>
      </w:pPr>
      <w:r>
        <w:rPr/>
        <w:t>ΠΙΝΑΚΑΣ ΠΕΡΙΕΧΟΜΕΝΩΝ</w:t>
      </w:r>
    </w:p>
    <w:p>
      <w:pPr>
        <w:spacing w:after="0"/>
        <w:jc w:val="left"/>
        <w:sectPr>
          <w:headerReference w:type="default" r:id="rId18"/>
          <w:footerReference w:type="default" r:id="rId19"/>
          <w:pgSz w:w="11910" w:h="16840"/>
          <w:pgMar w:header="748" w:footer="734" w:top="1420" w:bottom="1586" w:left="980" w:right="980"/>
          <w:pgNumType w:start="2"/>
        </w:sectPr>
      </w:pPr>
    </w:p>
    <w:sdt>
      <w:sdtPr>
        <w:docPartObj>
          <w:docPartGallery w:val="Table of Contents"/>
          <w:docPartUnique/>
        </w:docPartObj>
      </w:sdtPr>
      <w:sdtEndPr/>
      <w:sdtContent>
        <w:p>
          <w:pPr>
            <w:pStyle w:val="TOC1"/>
            <w:tabs>
              <w:tab w:pos="9840" w:val="right" w:leader="dot"/>
            </w:tabs>
            <w:spacing w:before="161"/>
            <w:ind w:left="100" w:firstLine="0"/>
          </w:pPr>
          <w:hyperlink w:history="true" w:anchor="_TOC_250055">
            <w:r>
              <w:rPr/>
              <w:t>ΟΡΙΣΜΟΙ</w:t>
              <w:tab/>
              <w:t>4</w:t>
            </w:r>
          </w:hyperlink>
        </w:p>
        <w:p>
          <w:pPr>
            <w:pStyle w:val="TOC1"/>
            <w:tabs>
              <w:tab w:pos="9841" w:val="right" w:leader="dot"/>
            </w:tabs>
            <w:spacing w:before="38"/>
            <w:ind w:left="100" w:firstLine="0"/>
          </w:pPr>
          <w:hyperlink w:history="true" w:anchor="_TOC_250054">
            <w:r>
              <w:rPr/>
              <w:t>ΕΙΣΑΓΩΓΗ</w:t>
              <w:tab/>
              <w:t>10</w:t>
            </w:r>
          </w:hyperlink>
        </w:p>
        <w:p>
          <w:pPr>
            <w:pStyle w:val="TOC1"/>
            <w:numPr>
              <w:ilvl w:val="0"/>
              <w:numId w:val="6"/>
            </w:numPr>
            <w:tabs>
              <w:tab w:pos="820" w:val="left" w:leader="none"/>
              <w:tab w:pos="821" w:val="left" w:leader="none"/>
              <w:tab w:pos="9841" w:val="right" w:leader="dot"/>
            </w:tabs>
            <w:spacing w:line="240" w:lineRule="auto" w:before="41" w:after="0"/>
            <w:ind w:left="820" w:right="0" w:hanging="720"/>
            <w:jc w:val="left"/>
          </w:pPr>
          <w:hyperlink w:history="true" w:anchor="_TOC_250053">
            <w:r>
              <w:rPr/>
              <w:t>ΝΟΜΟΘΕΤΙΚΟ – ΚΑΝΟΝΙΣΤΙΚΟ ΠΛΑΙΣΙΟ ΥΛΟΠΟΙΗΣΗΣ</w:t>
            </w:r>
            <w:r>
              <w:rPr>
                <w:spacing w:val="-10"/>
              </w:rPr>
              <w:t> </w:t>
            </w:r>
            <w:r>
              <w:rPr/>
              <w:t>ΤΗΣ</w:t>
            </w:r>
            <w:r>
              <w:rPr>
                <w:spacing w:val="-1"/>
              </w:rPr>
              <w:t> </w:t>
            </w:r>
            <w:r>
              <w:rPr/>
              <w:t>ΔΡΑΣΗΣ</w:t>
              <w:tab/>
              <w:t>10</w:t>
            </w:r>
          </w:hyperlink>
        </w:p>
        <w:p>
          <w:pPr>
            <w:pStyle w:val="TOC1"/>
            <w:numPr>
              <w:ilvl w:val="0"/>
              <w:numId w:val="6"/>
            </w:numPr>
            <w:tabs>
              <w:tab w:pos="820" w:val="left" w:leader="none"/>
              <w:tab w:pos="821" w:val="left" w:leader="none"/>
              <w:tab w:pos="9841" w:val="right" w:leader="dot"/>
            </w:tabs>
            <w:spacing w:line="240" w:lineRule="auto" w:before="41" w:after="0"/>
            <w:ind w:left="820" w:right="0" w:hanging="720"/>
            <w:jc w:val="left"/>
          </w:pPr>
          <w:hyperlink w:history="true" w:anchor="_TOC_250052">
            <w:r>
              <w:rPr/>
              <w:t>ΤΑΥΤΟΤΗΤΑ ΤΗΣ ΠΡΟΣΚΛΗΣΗΣ ΚΑΙ</w:t>
            </w:r>
            <w:r>
              <w:rPr>
                <w:spacing w:val="-3"/>
              </w:rPr>
              <w:t> </w:t>
            </w:r>
            <w:r>
              <w:rPr/>
              <w:t>ΤΗΣ</w:t>
            </w:r>
            <w:r>
              <w:rPr>
                <w:spacing w:val="-1"/>
              </w:rPr>
              <w:t> </w:t>
            </w:r>
            <w:r>
              <w:rPr/>
              <w:t>ΔΡΑΣΗΣ</w:t>
              <w:tab/>
              <w:t>14</w:t>
            </w:r>
          </w:hyperlink>
        </w:p>
        <w:p>
          <w:pPr>
            <w:pStyle w:val="TOC1"/>
            <w:numPr>
              <w:ilvl w:val="0"/>
              <w:numId w:val="6"/>
            </w:numPr>
            <w:tabs>
              <w:tab w:pos="820" w:val="left" w:leader="none"/>
              <w:tab w:pos="821" w:val="left" w:leader="none"/>
              <w:tab w:pos="9841" w:val="right" w:leader="dot"/>
            </w:tabs>
            <w:spacing w:line="240" w:lineRule="auto" w:before="38" w:after="0"/>
            <w:ind w:left="820" w:right="0" w:hanging="720"/>
            <w:jc w:val="left"/>
          </w:pPr>
          <w:hyperlink w:history="true" w:anchor="_TOC_250051">
            <w:r>
              <w:rPr/>
              <w:t>ΦΟΡΕΙΣ ΠΡΟΚΗΡΥΞΗΣ/ΥΛΟΠΟΙΗΣΗΣ</w:t>
            </w:r>
            <w:r>
              <w:rPr>
                <w:spacing w:val="-1"/>
              </w:rPr>
              <w:t> </w:t>
            </w:r>
            <w:r>
              <w:rPr/>
              <w:t>ΤΗΣ</w:t>
            </w:r>
            <w:r>
              <w:rPr>
                <w:spacing w:val="-1"/>
              </w:rPr>
              <w:t> </w:t>
            </w:r>
            <w:r>
              <w:rPr/>
              <w:t>ΔΡΑΣΗΣ</w:t>
              <w:tab/>
              <w:t>17</w:t>
            </w:r>
          </w:hyperlink>
        </w:p>
        <w:p>
          <w:pPr>
            <w:pStyle w:val="TOC1"/>
            <w:numPr>
              <w:ilvl w:val="0"/>
              <w:numId w:val="6"/>
            </w:numPr>
            <w:tabs>
              <w:tab w:pos="820" w:val="left" w:leader="none"/>
              <w:tab w:pos="821" w:val="left" w:leader="none"/>
              <w:tab w:pos="9841" w:val="right" w:leader="dot"/>
            </w:tabs>
            <w:spacing w:line="240" w:lineRule="auto" w:before="41" w:after="0"/>
            <w:ind w:left="820" w:right="0" w:hanging="720"/>
            <w:jc w:val="left"/>
          </w:pPr>
          <w:hyperlink w:history="true" w:anchor="_TOC_250050">
            <w:r>
              <w:rPr/>
              <w:t>ΔΙΚΑΙΟΥΧΟΙ – ΟΡΟΙ &amp;</w:t>
            </w:r>
            <w:r>
              <w:rPr>
                <w:spacing w:val="-5"/>
              </w:rPr>
              <w:t> </w:t>
            </w:r>
            <w:r>
              <w:rPr/>
              <w:t>ΠΡΟΫΠΟΘΕΣΕΙΣ</w:t>
            </w:r>
            <w:r>
              <w:rPr>
                <w:spacing w:val="-1"/>
              </w:rPr>
              <w:t> </w:t>
            </w:r>
            <w:r>
              <w:rPr/>
              <w:t>ΣΥΜΜΕΤΟΧΗΣ</w:t>
              <w:tab/>
              <w:t>17</w:t>
            </w:r>
          </w:hyperlink>
        </w:p>
        <w:p>
          <w:pPr>
            <w:pStyle w:val="TOC1"/>
            <w:numPr>
              <w:ilvl w:val="0"/>
              <w:numId w:val="6"/>
            </w:numPr>
            <w:tabs>
              <w:tab w:pos="820" w:val="left" w:leader="none"/>
              <w:tab w:pos="821" w:val="left" w:leader="none"/>
              <w:tab w:pos="9841" w:val="right" w:leader="dot"/>
            </w:tabs>
            <w:spacing w:line="240" w:lineRule="auto" w:before="41" w:after="0"/>
            <w:ind w:left="820" w:right="0" w:hanging="720"/>
            <w:jc w:val="left"/>
          </w:pPr>
          <w:hyperlink w:history="true" w:anchor="_TOC_250049">
            <w:r>
              <w:rPr/>
              <w:t>ΕΠΙΛΕΞΙΜΟΙ ΤΟΜΕΙΣ</w:t>
            </w:r>
            <w:r>
              <w:rPr>
                <w:spacing w:val="-3"/>
              </w:rPr>
              <w:t> </w:t>
            </w:r>
            <w:r>
              <w:rPr/>
              <w:t>ΔΡΑΣΤΗΡΙΟΤΗΤΑΣ</w:t>
              <w:tab/>
              <w:t>21</w:t>
            </w:r>
          </w:hyperlink>
        </w:p>
        <w:p>
          <w:pPr>
            <w:pStyle w:val="TOC1"/>
            <w:numPr>
              <w:ilvl w:val="0"/>
              <w:numId w:val="6"/>
            </w:numPr>
            <w:tabs>
              <w:tab w:pos="820" w:val="left" w:leader="none"/>
              <w:tab w:pos="821" w:val="left" w:leader="none"/>
              <w:tab w:pos="9841" w:val="right" w:leader="dot"/>
            </w:tabs>
            <w:spacing w:line="240" w:lineRule="auto" w:before="41" w:after="0"/>
            <w:ind w:left="820" w:right="0" w:hanging="720"/>
            <w:jc w:val="left"/>
          </w:pPr>
          <w:hyperlink w:history="true" w:anchor="_TOC_250048">
            <w:r>
              <w:rPr/>
              <w:t>ΕΠΙΛΕΞΙΜΕΣ ΔΑΠΑΝΕΣ –</w:t>
            </w:r>
            <w:r>
              <w:rPr>
                <w:spacing w:val="-5"/>
              </w:rPr>
              <w:t> </w:t>
            </w:r>
            <w:r>
              <w:rPr/>
              <w:t>ΠΡΟΫΠΟΛΟΓΙΣΜΟΣ</w:t>
            </w:r>
            <w:r>
              <w:rPr>
                <w:spacing w:val="-1"/>
              </w:rPr>
              <w:t> </w:t>
            </w:r>
            <w:r>
              <w:rPr/>
              <w:t>ΠΡΑΞΕΩΝ</w:t>
              <w:tab/>
              <w:t>22</w:t>
            </w:r>
          </w:hyperlink>
        </w:p>
        <w:p>
          <w:pPr>
            <w:pStyle w:val="TOC2"/>
            <w:numPr>
              <w:ilvl w:val="1"/>
              <w:numId w:val="6"/>
            </w:numPr>
            <w:tabs>
              <w:tab w:pos="1060" w:val="left" w:leader="none"/>
              <w:tab w:pos="1061" w:val="left" w:leader="none"/>
              <w:tab w:pos="9841" w:val="right" w:leader="dot"/>
            </w:tabs>
            <w:spacing w:line="240" w:lineRule="auto" w:before="140" w:after="0"/>
            <w:ind w:left="321" w:right="0" w:firstLine="0"/>
            <w:jc w:val="left"/>
          </w:pPr>
          <w:hyperlink w:history="true" w:anchor="_TOC_250047">
            <w:r>
              <w:rPr/>
              <w:t>ΕΠΙΛΕΞΙΜΕΣ</w:t>
            </w:r>
            <w:r>
              <w:rPr>
                <w:spacing w:val="-3"/>
              </w:rPr>
              <w:t> </w:t>
            </w:r>
            <w:r>
              <w:rPr/>
              <w:t>ΔΑΠΑΝΕΣ</w:t>
              <w:tab/>
              <w:t>22</w:t>
            </w:r>
          </w:hyperlink>
        </w:p>
        <w:p>
          <w:pPr>
            <w:pStyle w:val="TOC2"/>
            <w:numPr>
              <w:ilvl w:val="1"/>
              <w:numId w:val="6"/>
            </w:numPr>
            <w:tabs>
              <w:tab w:pos="1060" w:val="left" w:leader="none"/>
              <w:tab w:pos="1061" w:val="left" w:leader="none"/>
              <w:tab w:pos="9841" w:val="right" w:leader="dot"/>
            </w:tabs>
            <w:spacing w:line="273" w:lineRule="auto" w:before="41" w:after="0"/>
            <w:ind w:left="321" w:right="102" w:firstLine="0"/>
            <w:jc w:val="left"/>
          </w:pPr>
          <w:hyperlink w:history="true" w:anchor="_TOC_250046">
            <w:r>
              <w:rPr/>
              <w:t>ΠΡΟΣΘΕΤΕΣ ΔΙΕΥΚΡΙΝΙΣΕΙΣ ΕΠΙΛΕΞΙΜΟΤΗΤΑΣ ΔΑΠΑΝΩΝ ΓΙΑ ΟΡΙΣΜΕΝΕΣ ΔΡΑΣΤΗΡΙΟΤΗΤΕΣ / ΚΑΤΗΓΟΡΙΕΣ ΔΑΠΑΝΩΝ</w:t>
              <w:tab/>
              <w:t>24</w:t>
            </w:r>
          </w:hyperlink>
        </w:p>
        <w:p>
          <w:pPr>
            <w:pStyle w:val="TOC2"/>
            <w:numPr>
              <w:ilvl w:val="1"/>
              <w:numId w:val="6"/>
            </w:numPr>
            <w:tabs>
              <w:tab w:pos="1060" w:val="left" w:leader="none"/>
              <w:tab w:pos="1061" w:val="left" w:leader="none"/>
              <w:tab w:pos="9841" w:val="right" w:leader="dot"/>
            </w:tabs>
            <w:spacing w:line="240" w:lineRule="auto" w:before="3" w:after="0"/>
            <w:ind w:left="1060" w:right="0" w:hanging="739"/>
            <w:jc w:val="left"/>
          </w:pPr>
          <w:hyperlink w:history="true" w:anchor="_TOC_250045">
            <w:r>
              <w:rPr/>
              <w:t>ΜΗ</w:t>
            </w:r>
            <w:r>
              <w:rPr>
                <w:spacing w:val="-1"/>
              </w:rPr>
              <w:t> </w:t>
            </w:r>
            <w:r>
              <w:rPr/>
              <w:t>ΕΠΙΛΕΞΙΜΕΣ</w:t>
            </w:r>
            <w:r>
              <w:rPr>
                <w:spacing w:val="-3"/>
              </w:rPr>
              <w:t> </w:t>
            </w:r>
            <w:r>
              <w:rPr/>
              <w:t>ΔΑΠΑΝΕΣ</w:t>
              <w:tab/>
              <w:t>31</w:t>
            </w:r>
          </w:hyperlink>
        </w:p>
        <w:p>
          <w:pPr>
            <w:pStyle w:val="TOC2"/>
            <w:numPr>
              <w:ilvl w:val="1"/>
              <w:numId w:val="6"/>
            </w:numPr>
            <w:tabs>
              <w:tab w:pos="1060" w:val="left" w:leader="none"/>
              <w:tab w:pos="1061" w:val="left" w:leader="none"/>
              <w:tab w:pos="9841" w:val="right" w:leader="dot"/>
            </w:tabs>
            <w:spacing w:line="240" w:lineRule="auto" w:before="41" w:after="0"/>
            <w:ind w:left="1060" w:right="0" w:hanging="739"/>
            <w:jc w:val="left"/>
          </w:pPr>
          <w:hyperlink w:history="true" w:anchor="_TOC_250044">
            <w:r>
              <w:rPr/>
              <w:t>ΟΡΟΙ ΚΑΙ ΠΡΟΫΠΟΘΕΣΕΙΣ ΕΚΤΕΛΕΣΗΣ</w:t>
            </w:r>
            <w:r>
              <w:rPr>
                <w:spacing w:val="-5"/>
              </w:rPr>
              <w:t> </w:t>
            </w:r>
            <w:r>
              <w:rPr/>
              <w:t>ΤΩΝ</w:t>
            </w:r>
            <w:r>
              <w:rPr>
                <w:spacing w:val="-3"/>
              </w:rPr>
              <w:t> </w:t>
            </w:r>
            <w:r>
              <w:rPr/>
              <w:t>ΔΑΠΑΝΩΝ</w:t>
              <w:tab/>
              <w:t>32</w:t>
            </w:r>
          </w:hyperlink>
        </w:p>
        <w:p>
          <w:pPr>
            <w:pStyle w:val="TOC2"/>
            <w:numPr>
              <w:ilvl w:val="1"/>
              <w:numId w:val="6"/>
            </w:numPr>
            <w:tabs>
              <w:tab w:pos="1060" w:val="left" w:leader="none"/>
              <w:tab w:pos="1061" w:val="left" w:leader="none"/>
              <w:tab w:pos="9841" w:val="right" w:leader="dot"/>
            </w:tabs>
            <w:spacing w:line="240" w:lineRule="auto" w:before="38" w:after="0"/>
            <w:ind w:left="1060" w:right="0" w:hanging="739"/>
            <w:jc w:val="left"/>
          </w:pPr>
          <w:hyperlink w:history="true" w:anchor="_TOC_250043">
            <w:r>
              <w:rPr/>
              <w:t>ΠΡΟΫΠΟΛΟΓΙΣΜΟΣ ΕΡΓΩΝ –</w:t>
            </w:r>
            <w:r>
              <w:rPr>
                <w:spacing w:val="-2"/>
              </w:rPr>
              <w:t> </w:t>
            </w:r>
            <w:r>
              <w:rPr/>
              <w:t>ΔΙΑΡΚΕΙΑ</w:t>
            </w:r>
            <w:r>
              <w:rPr>
                <w:spacing w:val="-1"/>
              </w:rPr>
              <w:t> </w:t>
            </w:r>
            <w:r>
              <w:rPr/>
              <w:t>ΥΛΟΠΟΙΗΣΗΣ</w:t>
              <w:tab/>
              <w:t>32</w:t>
            </w:r>
          </w:hyperlink>
        </w:p>
        <w:p>
          <w:pPr>
            <w:pStyle w:val="TOC3"/>
            <w:numPr>
              <w:ilvl w:val="2"/>
              <w:numId w:val="6"/>
            </w:numPr>
            <w:tabs>
              <w:tab w:pos="1300" w:val="left" w:leader="none"/>
              <w:tab w:pos="1301" w:val="left" w:leader="none"/>
              <w:tab w:pos="9841" w:val="right" w:leader="dot"/>
            </w:tabs>
            <w:spacing w:line="240" w:lineRule="auto" w:before="142" w:after="0"/>
            <w:ind w:left="1300" w:right="0" w:hanging="761"/>
            <w:jc w:val="left"/>
          </w:pPr>
          <w:hyperlink w:history="true" w:anchor="_TOC_250042">
            <w:r>
              <w:rPr/>
              <w:t>Προϋπολογισμός</w:t>
            </w:r>
            <w:r>
              <w:rPr>
                <w:spacing w:val="-2"/>
              </w:rPr>
              <w:t> </w:t>
            </w:r>
            <w:r>
              <w:rPr/>
              <w:t>έργων</w:t>
              <w:tab/>
              <w:t>32</w:t>
            </w:r>
          </w:hyperlink>
        </w:p>
        <w:p>
          <w:pPr>
            <w:pStyle w:val="TOC3"/>
            <w:numPr>
              <w:ilvl w:val="2"/>
              <w:numId w:val="6"/>
            </w:numPr>
            <w:tabs>
              <w:tab w:pos="1300" w:val="left" w:leader="none"/>
              <w:tab w:pos="1301" w:val="left" w:leader="none"/>
              <w:tab w:pos="9841" w:val="right" w:leader="dot"/>
            </w:tabs>
            <w:spacing w:line="240" w:lineRule="auto" w:before="38" w:after="0"/>
            <w:ind w:left="1300" w:right="0" w:hanging="761"/>
            <w:jc w:val="left"/>
          </w:pPr>
          <w:hyperlink w:history="true" w:anchor="_TOC_250041">
            <w:r>
              <w:rPr/>
              <w:t>Διάρκεια</w:t>
            </w:r>
            <w:r>
              <w:rPr>
                <w:spacing w:val="-3"/>
              </w:rPr>
              <w:t> </w:t>
            </w:r>
            <w:r>
              <w:rPr/>
              <w:t>των</w:t>
            </w:r>
            <w:r>
              <w:rPr>
                <w:spacing w:val="-1"/>
              </w:rPr>
              <w:t> </w:t>
            </w:r>
            <w:r>
              <w:rPr/>
              <w:t>έργων</w:t>
              <w:tab/>
              <w:t>33</w:t>
            </w:r>
          </w:hyperlink>
        </w:p>
        <w:p>
          <w:pPr>
            <w:pStyle w:val="TOC1"/>
            <w:numPr>
              <w:ilvl w:val="0"/>
              <w:numId w:val="6"/>
            </w:numPr>
            <w:tabs>
              <w:tab w:pos="820" w:val="left" w:leader="none"/>
              <w:tab w:pos="821" w:val="left" w:leader="none"/>
              <w:tab w:pos="9841" w:val="right" w:leader="dot"/>
            </w:tabs>
            <w:spacing w:line="240" w:lineRule="auto" w:before="142" w:after="0"/>
            <w:ind w:left="820" w:right="0" w:hanging="720"/>
            <w:jc w:val="left"/>
          </w:pPr>
          <w:hyperlink w:history="true" w:anchor="_TOC_250040">
            <w:r>
              <w:rPr/>
              <w:t>ΧΡΗΜΑΤΟΔΟΤΙΚΟ</w:t>
            </w:r>
            <w:r>
              <w:rPr>
                <w:spacing w:val="-1"/>
              </w:rPr>
              <w:t> </w:t>
            </w:r>
            <w:r>
              <w:rPr/>
              <w:t>ΣΧΗΜΑ</w:t>
              <w:tab/>
              <w:t>33</w:t>
            </w:r>
          </w:hyperlink>
        </w:p>
        <w:p>
          <w:pPr>
            <w:pStyle w:val="TOC2"/>
            <w:numPr>
              <w:ilvl w:val="1"/>
              <w:numId w:val="6"/>
            </w:numPr>
            <w:tabs>
              <w:tab w:pos="1060" w:val="left" w:leader="none"/>
              <w:tab w:pos="1061" w:val="left" w:leader="none"/>
              <w:tab w:pos="9841" w:val="right" w:leader="dot"/>
            </w:tabs>
            <w:spacing w:line="240" w:lineRule="auto" w:before="139" w:after="0"/>
            <w:ind w:left="1060" w:right="0" w:hanging="739"/>
            <w:jc w:val="left"/>
          </w:pPr>
          <w:hyperlink w:history="true" w:anchor="_TOC_250039">
            <w:r>
              <w:rPr/>
              <w:t>ΧΡΗΜΑΤΟΔΟΤΗΣΗ</w:t>
            </w:r>
            <w:r>
              <w:rPr>
                <w:spacing w:val="-2"/>
              </w:rPr>
              <w:t> </w:t>
            </w:r>
            <w:r>
              <w:rPr/>
              <w:t>ΠΡΟΣΚΛΗΣΗΣ</w:t>
              <w:tab/>
              <w:t>33</w:t>
            </w:r>
          </w:hyperlink>
        </w:p>
        <w:p>
          <w:pPr>
            <w:pStyle w:val="TOC2"/>
            <w:numPr>
              <w:ilvl w:val="1"/>
              <w:numId w:val="6"/>
            </w:numPr>
            <w:tabs>
              <w:tab w:pos="1060" w:val="left" w:leader="none"/>
              <w:tab w:pos="1061" w:val="left" w:leader="none"/>
              <w:tab w:pos="9841" w:val="right" w:leader="dot"/>
            </w:tabs>
            <w:spacing w:line="240" w:lineRule="auto" w:before="41" w:after="0"/>
            <w:ind w:left="1060" w:right="0" w:hanging="739"/>
            <w:jc w:val="left"/>
          </w:pPr>
          <w:hyperlink w:history="true" w:anchor="_TOC_250038">
            <w:r>
              <w:rPr/>
              <w:t>ΕΝΤΑΣΗ</w:t>
            </w:r>
            <w:r>
              <w:rPr>
                <w:spacing w:val="-1"/>
              </w:rPr>
              <w:t> </w:t>
            </w:r>
            <w:r>
              <w:rPr/>
              <w:t>ΤΗΣ ΕΝΙΣΧΥΣΗΣ</w:t>
              <w:tab/>
              <w:t>34</w:t>
            </w:r>
          </w:hyperlink>
        </w:p>
        <w:p>
          <w:pPr>
            <w:pStyle w:val="TOC2"/>
            <w:numPr>
              <w:ilvl w:val="1"/>
              <w:numId w:val="6"/>
            </w:numPr>
            <w:tabs>
              <w:tab w:pos="1060" w:val="left" w:leader="none"/>
              <w:tab w:pos="1061" w:val="left" w:leader="none"/>
              <w:tab w:pos="9841" w:val="right" w:leader="dot"/>
            </w:tabs>
            <w:spacing w:line="240" w:lineRule="auto" w:before="38" w:after="0"/>
            <w:ind w:left="1060" w:right="0" w:hanging="739"/>
            <w:jc w:val="left"/>
          </w:pPr>
          <w:hyperlink w:history="true" w:anchor="_TOC_250037">
            <w:r>
              <w:rPr/>
              <w:t>ΙΔΙΩΤΙΚΗ ΣΥΜΜΕΤΟΧΗ</w:t>
              <w:tab/>
              <w:t>35</w:t>
            </w:r>
          </w:hyperlink>
        </w:p>
        <w:p>
          <w:pPr>
            <w:pStyle w:val="TOC2"/>
            <w:numPr>
              <w:ilvl w:val="1"/>
              <w:numId w:val="6"/>
            </w:numPr>
            <w:tabs>
              <w:tab w:pos="1060" w:val="left" w:leader="none"/>
              <w:tab w:pos="1061" w:val="left" w:leader="none"/>
              <w:tab w:pos="9841" w:val="right" w:leader="dot"/>
            </w:tabs>
            <w:spacing w:line="240" w:lineRule="auto" w:before="41" w:after="0"/>
            <w:ind w:left="1060" w:right="0" w:hanging="739"/>
            <w:jc w:val="left"/>
          </w:pPr>
          <w:hyperlink w:history="true" w:anchor="_TOC_250036">
            <w:r>
              <w:rPr/>
              <w:t>ΔΙΑΡΘΡΩΣΗ</w:t>
            </w:r>
            <w:r>
              <w:rPr>
                <w:spacing w:val="-2"/>
              </w:rPr>
              <w:t> </w:t>
            </w:r>
            <w:r>
              <w:rPr/>
              <w:t>ΠΡΟΫΠΟΛΟΓΙΣΜΟΥ</w:t>
              <w:tab/>
              <w:t>36</w:t>
            </w:r>
          </w:hyperlink>
        </w:p>
        <w:p>
          <w:pPr>
            <w:pStyle w:val="TOC1"/>
            <w:numPr>
              <w:ilvl w:val="0"/>
              <w:numId w:val="6"/>
            </w:numPr>
            <w:tabs>
              <w:tab w:pos="820" w:val="left" w:leader="none"/>
              <w:tab w:pos="821" w:val="left" w:leader="none"/>
              <w:tab w:pos="9841" w:val="right" w:leader="dot"/>
            </w:tabs>
            <w:spacing w:line="240" w:lineRule="auto" w:before="139" w:after="0"/>
            <w:ind w:left="820" w:right="0" w:hanging="720"/>
            <w:jc w:val="left"/>
          </w:pPr>
          <w:hyperlink w:history="true" w:anchor="_TOC_250035">
            <w:r>
              <w:rPr/>
              <w:t>ΔΙΑΔΙΚΑΣΙΑ ΥΠΟΒΟΛΗΣ ΚΑΙ ΠΑΡΑΛΑΒΗΣ</w:t>
            </w:r>
            <w:r>
              <w:rPr>
                <w:spacing w:val="-6"/>
              </w:rPr>
              <w:t> </w:t>
            </w:r>
            <w:r>
              <w:rPr/>
              <w:t>ΑΙΤΗΣΗΣ</w:t>
            </w:r>
            <w:r>
              <w:rPr>
                <w:spacing w:val="-1"/>
              </w:rPr>
              <w:t> </w:t>
            </w:r>
            <w:r>
              <w:rPr/>
              <w:t>ΧΡΗΜΑΤΟΔΟΤΗΣΗΣ</w:t>
              <w:tab/>
              <w:t>37</w:t>
            </w:r>
          </w:hyperlink>
        </w:p>
        <w:p>
          <w:pPr>
            <w:pStyle w:val="TOC1"/>
            <w:numPr>
              <w:ilvl w:val="0"/>
              <w:numId w:val="6"/>
            </w:numPr>
            <w:tabs>
              <w:tab w:pos="820" w:val="left" w:leader="none"/>
              <w:tab w:pos="821" w:val="left" w:leader="none"/>
              <w:tab w:pos="9841" w:val="right" w:leader="dot"/>
            </w:tabs>
            <w:spacing w:line="240" w:lineRule="auto" w:before="41" w:after="0"/>
            <w:ind w:left="820" w:right="0" w:hanging="720"/>
            <w:jc w:val="left"/>
          </w:pPr>
          <w:hyperlink w:history="true" w:anchor="_TOC_250034">
            <w:r>
              <w:rPr/>
              <w:t>ΔΙΚΑΙΟΛΟΓΗΤΙΚΑ ΚΑΙ ΣΤΟΙΧΕΙΑ ΓΙΑ ΤΗΝ ΑΞΙΟΛΟΓΗΣΗ ΤΗΣ</w:t>
            </w:r>
            <w:r>
              <w:rPr>
                <w:spacing w:val="-11"/>
              </w:rPr>
              <w:t> </w:t>
            </w:r>
            <w:r>
              <w:rPr/>
              <w:t>ΑΙΤΗΣΗΣ</w:t>
            </w:r>
            <w:r>
              <w:rPr>
                <w:spacing w:val="-1"/>
              </w:rPr>
              <w:t> </w:t>
            </w:r>
            <w:r>
              <w:rPr/>
              <w:t>ΧΡΗΜΑΤΟΔΟΤΗΣΗΣ</w:t>
              <w:tab/>
              <w:t>39</w:t>
            </w:r>
          </w:hyperlink>
        </w:p>
        <w:p>
          <w:pPr>
            <w:pStyle w:val="TOC1"/>
            <w:numPr>
              <w:ilvl w:val="0"/>
              <w:numId w:val="6"/>
            </w:numPr>
            <w:tabs>
              <w:tab w:pos="820" w:val="left" w:leader="none"/>
              <w:tab w:pos="821" w:val="left" w:leader="none"/>
              <w:tab w:pos="9841" w:val="right" w:leader="dot"/>
            </w:tabs>
            <w:spacing w:line="240" w:lineRule="auto" w:before="41" w:after="0"/>
            <w:ind w:left="820" w:right="0" w:hanging="720"/>
            <w:jc w:val="left"/>
          </w:pPr>
          <w:hyperlink w:history="true" w:anchor="_TOC_250033">
            <w:r>
              <w:rPr/>
              <w:t>ΚΡΙΤΗΡΙΑ &amp; ΔΙΑΔΙΚΑΣΙΑ ΑΞΙΟΛΟΓΗΣΗΣ –</w:t>
            </w:r>
            <w:r>
              <w:rPr>
                <w:spacing w:val="-6"/>
              </w:rPr>
              <w:t> </w:t>
            </w:r>
            <w:r>
              <w:rPr/>
              <w:t>ΕΓΚΡΙΣΗ</w:t>
            </w:r>
            <w:r>
              <w:rPr>
                <w:spacing w:val="-1"/>
              </w:rPr>
              <w:t> </w:t>
            </w:r>
            <w:r>
              <w:rPr/>
              <w:t>ΠΡΑΞΕΩΝ</w:t>
              <w:tab/>
              <w:t>40</w:t>
            </w:r>
          </w:hyperlink>
        </w:p>
        <w:p>
          <w:pPr>
            <w:pStyle w:val="TOC2"/>
            <w:numPr>
              <w:ilvl w:val="1"/>
              <w:numId w:val="6"/>
            </w:numPr>
            <w:tabs>
              <w:tab w:pos="1060" w:val="left" w:leader="none"/>
              <w:tab w:pos="1061" w:val="left" w:leader="none"/>
              <w:tab w:pos="9841" w:val="right" w:leader="dot"/>
            </w:tabs>
            <w:spacing w:line="240" w:lineRule="auto" w:before="139" w:after="0"/>
            <w:ind w:left="1060" w:right="0" w:hanging="739"/>
            <w:jc w:val="left"/>
          </w:pPr>
          <w:r>
            <w:rPr/>
            <w:t>ΟΡΓΑΝΑ ΑΞΙΟΛΟΓΗΣΗΣ</w:t>
          </w:r>
          <w:r>
            <w:rPr>
              <w:spacing w:val="-1"/>
            </w:rPr>
            <w:t> </w:t>
          </w:r>
          <w:r>
            <w:rPr/>
            <w:t>ΑΙΤΗΣΕΩΝ</w:t>
          </w:r>
          <w:r>
            <w:rPr>
              <w:spacing w:val="-3"/>
            </w:rPr>
            <w:t> </w:t>
          </w:r>
          <w:r>
            <w:rPr/>
            <w:t>ΧΡΗΜΑΤΟΔΟΤΗΣΗΣ</w:t>
            <w:tab/>
            <w:t>40</w:t>
          </w:r>
        </w:p>
        <w:p>
          <w:pPr>
            <w:pStyle w:val="TOC2"/>
            <w:numPr>
              <w:ilvl w:val="1"/>
              <w:numId w:val="6"/>
            </w:numPr>
            <w:tabs>
              <w:tab w:pos="1060" w:val="left" w:leader="none"/>
              <w:tab w:pos="1061" w:val="left" w:leader="none"/>
              <w:tab w:pos="9841" w:val="right" w:leader="dot"/>
            </w:tabs>
            <w:spacing w:line="240" w:lineRule="auto" w:before="41" w:after="0"/>
            <w:ind w:left="1060" w:right="0" w:hanging="739"/>
            <w:jc w:val="left"/>
          </w:pPr>
          <w:hyperlink w:history="true" w:anchor="_TOC_250032">
            <w:r>
              <w:rPr/>
              <w:t>ΔΙΑΔΙΚΑΣΙΑ ΑΞΙΟΛΟΓΗΣΗΣ</w:t>
            </w:r>
            <w:r>
              <w:rPr>
                <w:spacing w:val="-2"/>
              </w:rPr>
              <w:t> </w:t>
            </w:r>
            <w:r>
              <w:rPr/>
              <w:t>ΑΙΤΗΣΕΩΝ</w:t>
            </w:r>
            <w:r>
              <w:rPr>
                <w:spacing w:val="-2"/>
              </w:rPr>
              <w:t> </w:t>
            </w:r>
            <w:r>
              <w:rPr/>
              <w:t>ΧΡΗΜΑΤΟΔΟΤΗΣΗΣ</w:t>
              <w:tab/>
              <w:t>40</w:t>
            </w:r>
          </w:hyperlink>
        </w:p>
        <w:p>
          <w:pPr>
            <w:pStyle w:val="TOC3"/>
            <w:numPr>
              <w:ilvl w:val="2"/>
              <w:numId w:val="6"/>
            </w:numPr>
            <w:tabs>
              <w:tab w:pos="1540" w:val="left" w:leader="none"/>
              <w:tab w:pos="1541" w:val="left" w:leader="none"/>
              <w:tab w:pos="9841" w:val="right" w:leader="dot"/>
            </w:tabs>
            <w:spacing w:line="240" w:lineRule="auto" w:before="139" w:after="0"/>
            <w:ind w:left="1540" w:right="0" w:hanging="1001"/>
            <w:jc w:val="left"/>
          </w:pPr>
          <w:hyperlink w:history="true" w:anchor="_TOC_250031">
            <w:r>
              <w:rPr/>
              <w:t>Πρωτοβάθμια</w:t>
            </w:r>
            <w:r>
              <w:rPr>
                <w:spacing w:val="-1"/>
              </w:rPr>
              <w:t> </w:t>
            </w:r>
            <w:r>
              <w:rPr/>
              <w:t>Αξιολόγηση</w:t>
              <w:tab/>
              <w:t>41</w:t>
            </w:r>
          </w:hyperlink>
        </w:p>
        <w:p>
          <w:pPr>
            <w:pStyle w:val="TOC3"/>
            <w:numPr>
              <w:ilvl w:val="2"/>
              <w:numId w:val="6"/>
            </w:numPr>
            <w:tabs>
              <w:tab w:pos="1540" w:val="left" w:leader="none"/>
              <w:tab w:pos="1541" w:val="left" w:leader="none"/>
              <w:tab w:pos="9841" w:val="right" w:leader="dot"/>
            </w:tabs>
            <w:spacing w:line="240" w:lineRule="auto" w:before="41" w:after="0"/>
            <w:ind w:left="1540" w:right="0" w:hanging="1001"/>
            <w:jc w:val="left"/>
          </w:pPr>
          <w:hyperlink w:history="true" w:anchor="_TOC_250030">
            <w:r>
              <w:rPr/>
              <w:t>Δευτεροβάθμια</w:t>
            </w:r>
            <w:r>
              <w:rPr>
                <w:spacing w:val="-2"/>
              </w:rPr>
              <w:t> </w:t>
            </w:r>
            <w:r>
              <w:rPr/>
              <w:t>Αξιολόγηση</w:t>
              <w:tab/>
              <w:t>42</w:t>
            </w:r>
          </w:hyperlink>
        </w:p>
        <w:p>
          <w:pPr>
            <w:pStyle w:val="TOC2"/>
            <w:numPr>
              <w:ilvl w:val="1"/>
              <w:numId w:val="6"/>
            </w:numPr>
            <w:tabs>
              <w:tab w:pos="1060" w:val="left" w:leader="none"/>
              <w:tab w:pos="1061" w:val="left" w:leader="none"/>
              <w:tab w:pos="9841" w:val="right" w:leader="dot"/>
            </w:tabs>
            <w:spacing w:line="240" w:lineRule="auto" w:before="140" w:after="0"/>
            <w:ind w:left="1060" w:right="0" w:hanging="739"/>
            <w:jc w:val="left"/>
          </w:pPr>
          <w:hyperlink w:history="true" w:anchor="_TOC_250029">
            <w:r>
              <w:rPr/>
              <w:t>ΚΡΙΤΗΡΙΑ</w:t>
            </w:r>
            <w:r>
              <w:rPr>
                <w:spacing w:val="-1"/>
              </w:rPr>
              <w:t> </w:t>
            </w:r>
            <w:r>
              <w:rPr/>
              <w:t>ΑΞΙΟΛΟΓΗΣΗΣ</w:t>
              <w:tab/>
              <w:t>43</w:t>
            </w:r>
          </w:hyperlink>
        </w:p>
        <w:p>
          <w:pPr>
            <w:pStyle w:val="TOC2"/>
            <w:numPr>
              <w:ilvl w:val="1"/>
              <w:numId w:val="6"/>
            </w:numPr>
            <w:tabs>
              <w:tab w:pos="1060" w:val="left" w:leader="none"/>
              <w:tab w:pos="1061" w:val="left" w:leader="none"/>
              <w:tab w:pos="9841" w:val="right" w:leader="dot"/>
            </w:tabs>
            <w:spacing w:line="240" w:lineRule="auto" w:before="41" w:after="0"/>
            <w:ind w:left="1060" w:right="0" w:hanging="739"/>
            <w:jc w:val="left"/>
          </w:pPr>
          <w:hyperlink w:history="true" w:anchor="_TOC_250028">
            <w:r>
              <w:rPr/>
              <w:t>ΔΙΑΔΙΚΑΣΙΑ</w:t>
            </w:r>
            <w:r>
              <w:rPr>
                <w:spacing w:val="-1"/>
              </w:rPr>
              <w:t> </w:t>
            </w:r>
            <w:r>
              <w:rPr/>
              <w:t>ΕΝΣΤΑΣΕΩΝ</w:t>
              <w:tab/>
              <w:t>46</w:t>
            </w:r>
          </w:hyperlink>
        </w:p>
        <w:p>
          <w:pPr>
            <w:pStyle w:val="TOC2"/>
            <w:numPr>
              <w:ilvl w:val="1"/>
              <w:numId w:val="6"/>
            </w:numPr>
            <w:tabs>
              <w:tab w:pos="1060" w:val="left" w:leader="none"/>
              <w:tab w:pos="1061" w:val="left" w:leader="none"/>
              <w:tab w:pos="9841" w:val="right" w:leader="dot"/>
            </w:tabs>
            <w:spacing w:line="240" w:lineRule="auto" w:before="41" w:after="0"/>
            <w:ind w:left="1060" w:right="0" w:hanging="739"/>
            <w:jc w:val="left"/>
          </w:pPr>
          <w:hyperlink w:history="true" w:anchor="_TOC_250027">
            <w:r>
              <w:rPr/>
              <w:t>ΕΓΚΡΙΣΗ</w:t>
              <w:tab/>
              <w:t>47</w:t>
            </w:r>
          </w:hyperlink>
        </w:p>
        <w:p>
          <w:pPr>
            <w:pStyle w:val="TOC3"/>
            <w:numPr>
              <w:ilvl w:val="2"/>
              <w:numId w:val="6"/>
            </w:numPr>
            <w:tabs>
              <w:tab w:pos="1540" w:val="left" w:leader="none"/>
              <w:tab w:pos="1541" w:val="left" w:leader="none"/>
              <w:tab w:pos="9841" w:val="right" w:leader="dot"/>
            </w:tabs>
            <w:spacing w:line="240" w:lineRule="auto" w:before="139" w:after="0"/>
            <w:ind w:left="1540" w:right="0" w:hanging="1001"/>
            <w:jc w:val="left"/>
          </w:pPr>
          <w:hyperlink w:history="true" w:anchor="_TOC_250026">
            <w:r>
              <w:rPr/>
              <w:t>Διαδικασία έγκρισης</w:t>
              <w:tab/>
              <w:t>47</w:t>
            </w:r>
          </w:hyperlink>
        </w:p>
        <w:p>
          <w:pPr>
            <w:pStyle w:val="TOC3"/>
            <w:numPr>
              <w:ilvl w:val="2"/>
              <w:numId w:val="6"/>
            </w:numPr>
            <w:tabs>
              <w:tab w:pos="1540" w:val="left" w:leader="none"/>
              <w:tab w:pos="1541" w:val="left" w:leader="none"/>
              <w:tab w:pos="9841" w:val="right" w:leader="dot"/>
            </w:tabs>
            <w:spacing w:line="240" w:lineRule="auto" w:before="41" w:after="0"/>
            <w:ind w:left="1540" w:right="0" w:hanging="1001"/>
            <w:jc w:val="left"/>
          </w:pPr>
          <w:hyperlink w:history="true" w:anchor="_TOC_250025">
            <w:r>
              <w:rPr/>
              <w:t>Δημοσιότητα ενταγμένων</w:t>
            </w:r>
            <w:r>
              <w:rPr>
                <w:spacing w:val="-3"/>
              </w:rPr>
              <w:t> </w:t>
            </w:r>
            <w:r>
              <w:rPr/>
              <w:t>έργων</w:t>
              <w:tab/>
              <w:t>47</w:t>
            </w:r>
          </w:hyperlink>
        </w:p>
        <w:p>
          <w:pPr>
            <w:pStyle w:val="TOC1"/>
            <w:numPr>
              <w:ilvl w:val="0"/>
              <w:numId w:val="6"/>
            </w:numPr>
            <w:tabs>
              <w:tab w:pos="820" w:val="left" w:leader="none"/>
              <w:tab w:pos="821" w:val="left" w:leader="none"/>
              <w:tab w:pos="9841" w:val="right" w:leader="dot"/>
            </w:tabs>
            <w:spacing w:line="240" w:lineRule="auto" w:before="139" w:after="0"/>
            <w:ind w:left="820" w:right="0" w:hanging="720"/>
            <w:jc w:val="left"/>
          </w:pPr>
          <w:hyperlink w:history="true" w:anchor="_TOC_250024">
            <w:r>
              <w:rPr/>
              <w:t>ΔΙΑΔΙΚΑΣΙΑ ΥΛΟΠΟΙΗΣΗΣ –</w:t>
            </w:r>
            <w:r>
              <w:rPr>
                <w:spacing w:val="-4"/>
              </w:rPr>
              <w:t> </w:t>
            </w:r>
            <w:r>
              <w:rPr/>
              <w:t>ΠΑΡΑΚΟΛΟΥΘΗΣΗΣ</w:t>
            </w:r>
            <w:r>
              <w:rPr>
                <w:spacing w:val="-1"/>
              </w:rPr>
              <w:t> </w:t>
            </w:r>
            <w:r>
              <w:rPr/>
              <w:t>ΠΡΑΞΕΩΝ</w:t>
              <w:tab/>
              <w:t>48</w:t>
            </w:r>
          </w:hyperlink>
        </w:p>
        <w:p>
          <w:pPr>
            <w:pStyle w:val="TOC2"/>
            <w:numPr>
              <w:ilvl w:val="1"/>
              <w:numId w:val="6"/>
            </w:numPr>
            <w:tabs>
              <w:tab w:pos="1060" w:val="left" w:leader="none"/>
              <w:tab w:pos="1061" w:val="left" w:leader="none"/>
              <w:tab w:pos="9841" w:val="right" w:leader="dot"/>
            </w:tabs>
            <w:spacing w:line="240" w:lineRule="auto" w:before="139" w:after="0"/>
            <w:ind w:left="1060" w:right="0" w:hanging="739"/>
            <w:jc w:val="left"/>
          </w:pPr>
          <w:hyperlink w:history="true" w:anchor="_TOC_250023">
            <w:r>
              <w:rPr/>
              <w:t>ΕΞΟΦΛΗΣΗ</w:t>
            </w:r>
            <w:r>
              <w:rPr>
                <w:spacing w:val="-4"/>
              </w:rPr>
              <w:t> </w:t>
            </w:r>
            <w:r>
              <w:rPr/>
              <w:t>ΔΑΠΑΝΩΝ</w:t>
            </w:r>
            <w:r>
              <w:rPr>
                <w:spacing w:val="-2"/>
              </w:rPr>
              <w:t> </w:t>
            </w:r>
            <w:r>
              <w:rPr/>
              <w:t>ΥΛΟΠΟΙΗΣΗΣ</w:t>
              <w:tab/>
              <w:t>48</w:t>
            </w:r>
          </w:hyperlink>
        </w:p>
        <w:p>
          <w:pPr>
            <w:pStyle w:val="TOC3"/>
            <w:numPr>
              <w:ilvl w:val="2"/>
              <w:numId w:val="6"/>
            </w:numPr>
            <w:tabs>
              <w:tab w:pos="1540" w:val="left" w:leader="none"/>
              <w:tab w:pos="1541" w:val="left" w:leader="none"/>
              <w:tab w:pos="9841" w:val="right" w:leader="dot"/>
            </w:tabs>
            <w:spacing w:line="240" w:lineRule="auto" w:before="142" w:after="0"/>
            <w:ind w:left="1540" w:right="0" w:hanging="1001"/>
            <w:jc w:val="left"/>
          </w:pPr>
          <w:hyperlink w:history="true" w:anchor="_TOC_250022">
            <w:r>
              <w:rPr/>
              <w:t>Τρόπος Εξόφλησης</w:t>
            </w:r>
            <w:r>
              <w:rPr>
                <w:spacing w:val="-2"/>
              </w:rPr>
              <w:t> </w:t>
            </w:r>
            <w:r>
              <w:rPr/>
              <w:t>Παραστατικών</w:t>
              <w:tab/>
              <w:t>48</w:t>
            </w:r>
          </w:hyperlink>
        </w:p>
        <w:p>
          <w:pPr>
            <w:pStyle w:val="TOC2"/>
            <w:numPr>
              <w:ilvl w:val="1"/>
              <w:numId w:val="6"/>
            </w:numPr>
            <w:tabs>
              <w:tab w:pos="1060" w:val="left" w:leader="none"/>
              <w:tab w:pos="1061" w:val="left" w:leader="none"/>
              <w:tab w:pos="9841" w:val="right" w:leader="dot"/>
            </w:tabs>
            <w:spacing w:line="240" w:lineRule="auto" w:before="140" w:after="0"/>
            <w:ind w:left="1060" w:right="0" w:hanging="739"/>
            <w:jc w:val="left"/>
          </w:pPr>
          <w:hyperlink w:history="true" w:anchor="_TOC_250021">
            <w:r>
              <w:rPr/>
              <w:t>ΠΑΡΑΚΟΛΟΥΘΗΣΗ ΠΡΑΞΕΩΝ – ΕΠΑΛΗΘΕΥΣΕΙΣ</w:t>
            </w:r>
            <w:r>
              <w:rPr>
                <w:spacing w:val="-3"/>
              </w:rPr>
              <w:t> </w:t>
            </w:r>
            <w:r>
              <w:rPr/>
              <w:t>– ΠΙΣΤΟΠΟΙΗΣΕΙΣ</w:t>
              <w:tab/>
              <w:t>52</w:t>
            </w:r>
          </w:hyperlink>
        </w:p>
        <w:p>
          <w:pPr>
            <w:pStyle w:val="TOC3"/>
            <w:numPr>
              <w:ilvl w:val="2"/>
              <w:numId w:val="6"/>
            </w:numPr>
            <w:tabs>
              <w:tab w:pos="1540" w:val="left" w:leader="none"/>
              <w:tab w:pos="1541" w:val="left" w:leader="none"/>
              <w:tab w:pos="9841" w:val="right" w:leader="dot"/>
            </w:tabs>
            <w:spacing w:line="240" w:lineRule="auto" w:before="139" w:after="0"/>
            <w:ind w:left="1540" w:right="0" w:hanging="1001"/>
            <w:jc w:val="left"/>
          </w:pPr>
          <w:hyperlink w:history="true" w:anchor="_TOC_250020">
            <w:r>
              <w:rPr/>
              <w:t>Λογιστική</w:t>
            </w:r>
            <w:r>
              <w:rPr>
                <w:spacing w:val="-1"/>
              </w:rPr>
              <w:t> </w:t>
            </w:r>
            <w:r>
              <w:rPr/>
              <w:t>παρακολούθηση</w:t>
              <w:tab/>
              <w:t>52</w:t>
            </w:r>
          </w:hyperlink>
        </w:p>
        <w:p>
          <w:pPr>
            <w:pStyle w:val="TOC3"/>
            <w:numPr>
              <w:ilvl w:val="2"/>
              <w:numId w:val="6"/>
            </w:numPr>
            <w:tabs>
              <w:tab w:pos="1540" w:val="left" w:leader="none"/>
              <w:tab w:pos="1541" w:val="left" w:leader="none"/>
              <w:tab w:pos="9841" w:val="right" w:leader="dot"/>
            </w:tabs>
            <w:spacing w:line="240" w:lineRule="auto" w:before="271" w:after="0"/>
            <w:ind w:left="1540" w:right="0" w:hanging="1001"/>
            <w:jc w:val="left"/>
          </w:pPr>
          <w:hyperlink w:history="true" w:anchor="_TOC_250019">
            <w:r>
              <w:rPr/>
              <w:t>Παρακολούθηση πράξεων – Επαληθεύσεις</w:t>
            </w:r>
            <w:r>
              <w:rPr>
                <w:spacing w:val="-5"/>
              </w:rPr>
              <w:t> </w:t>
            </w:r>
            <w:r>
              <w:rPr/>
              <w:t>– Πιστοποιήσεις</w:t>
              <w:tab/>
              <w:t>53</w:t>
            </w:r>
          </w:hyperlink>
        </w:p>
        <w:p>
          <w:pPr>
            <w:pStyle w:val="TOC2"/>
            <w:numPr>
              <w:ilvl w:val="1"/>
              <w:numId w:val="6"/>
            </w:numPr>
            <w:tabs>
              <w:tab w:pos="1060" w:val="left" w:leader="none"/>
              <w:tab w:pos="1061" w:val="left" w:leader="none"/>
              <w:tab w:pos="9841" w:val="right" w:leader="dot"/>
            </w:tabs>
            <w:spacing w:line="240" w:lineRule="auto" w:before="139" w:after="0"/>
            <w:ind w:left="1060" w:right="0" w:hanging="739"/>
            <w:jc w:val="left"/>
          </w:pPr>
          <w:hyperlink w:history="true" w:anchor="_TOC_250018">
            <w:r>
              <w:rPr/>
              <w:t>ΚΑΤΑΒΟΛΗ ΕΝΙΣΧΥΣΗΣ –</w:t>
            </w:r>
            <w:r>
              <w:rPr>
                <w:spacing w:val="-3"/>
              </w:rPr>
              <w:t> </w:t>
            </w:r>
            <w:r>
              <w:rPr/>
              <w:t>ΑΠΑΙΤΟΥΜΕΝΑ</w:t>
            </w:r>
            <w:r>
              <w:rPr>
                <w:spacing w:val="-1"/>
              </w:rPr>
              <w:t> </w:t>
            </w:r>
            <w:r>
              <w:rPr/>
              <w:t>ΔΙΚΑΙΟΛΟΓΗΤΙΚΑ</w:t>
              <w:tab/>
              <w:t>56</w:t>
            </w:r>
          </w:hyperlink>
        </w:p>
        <w:p>
          <w:pPr>
            <w:pStyle w:val="TOC3"/>
            <w:numPr>
              <w:ilvl w:val="2"/>
              <w:numId w:val="6"/>
            </w:numPr>
            <w:tabs>
              <w:tab w:pos="1540" w:val="left" w:leader="none"/>
              <w:tab w:pos="1541" w:val="left" w:leader="none"/>
              <w:tab w:pos="9841" w:val="right" w:leader="dot"/>
            </w:tabs>
            <w:spacing w:line="240" w:lineRule="auto" w:before="142" w:after="0"/>
            <w:ind w:left="1540" w:right="0" w:hanging="1001"/>
            <w:jc w:val="left"/>
          </w:pPr>
          <w:hyperlink w:history="true" w:anchor="_TOC_250017">
            <w:r>
              <w:rPr/>
              <w:t>Προκαταβολή</w:t>
              <w:tab/>
              <w:t>57</w:t>
            </w:r>
          </w:hyperlink>
        </w:p>
        <w:p>
          <w:pPr>
            <w:pStyle w:val="TOC3"/>
            <w:numPr>
              <w:ilvl w:val="2"/>
              <w:numId w:val="6"/>
            </w:numPr>
            <w:tabs>
              <w:tab w:pos="1540" w:val="left" w:leader="none"/>
              <w:tab w:pos="1541" w:val="left" w:leader="none"/>
              <w:tab w:pos="9841" w:val="right" w:leader="dot"/>
            </w:tabs>
            <w:spacing w:line="240" w:lineRule="auto" w:before="38" w:after="0"/>
            <w:ind w:left="1540" w:right="0" w:hanging="1001"/>
            <w:jc w:val="left"/>
          </w:pPr>
          <w:hyperlink w:history="true" w:anchor="_TOC_250016">
            <w:r>
              <w:rPr/>
              <w:t>Ενδιάμεση καταβολή</w:t>
              <w:tab/>
              <w:t>58</w:t>
            </w:r>
          </w:hyperlink>
        </w:p>
        <w:p>
          <w:pPr>
            <w:pStyle w:val="TOC3"/>
            <w:numPr>
              <w:ilvl w:val="2"/>
              <w:numId w:val="6"/>
            </w:numPr>
            <w:tabs>
              <w:tab w:pos="1540" w:val="left" w:leader="none"/>
              <w:tab w:pos="1541" w:val="left" w:leader="none"/>
              <w:tab w:pos="9841" w:val="right" w:leader="dot"/>
            </w:tabs>
            <w:spacing w:line="240" w:lineRule="auto" w:before="41" w:after="0"/>
            <w:ind w:left="1540" w:right="0" w:hanging="1001"/>
            <w:jc w:val="left"/>
          </w:pPr>
          <w:hyperlink w:history="true" w:anchor="_TOC_250015">
            <w:r>
              <w:rPr/>
              <w:t>Αποπληρωμή</w:t>
              <w:tab/>
              <w:t>58</w:t>
            </w:r>
          </w:hyperlink>
        </w:p>
        <w:p>
          <w:pPr>
            <w:pStyle w:val="TOC1"/>
            <w:numPr>
              <w:ilvl w:val="0"/>
              <w:numId w:val="6"/>
            </w:numPr>
            <w:tabs>
              <w:tab w:pos="820" w:val="left" w:leader="none"/>
              <w:tab w:pos="821" w:val="left" w:leader="none"/>
              <w:tab w:pos="9841" w:val="right" w:leader="dot"/>
            </w:tabs>
            <w:spacing w:line="240" w:lineRule="auto" w:before="139" w:after="0"/>
            <w:ind w:left="820" w:right="0" w:hanging="720"/>
            <w:jc w:val="left"/>
          </w:pPr>
          <w:hyperlink w:history="true" w:anchor="_TOC_250014">
            <w:r>
              <w:rPr/>
              <w:t>ΤΡΟΠΟΠΟΙΗΣΕΙΣ</w:t>
              <w:tab/>
              <w:t>61</w:t>
            </w:r>
          </w:hyperlink>
        </w:p>
        <w:p>
          <w:pPr>
            <w:pStyle w:val="TOC2"/>
            <w:numPr>
              <w:ilvl w:val="1"/>
              <w:numId w:val="6"/>
            </w:numPr>
            <w:tabs>
              <w:tab w:pos="1060" w:val="left" w:leader="none"/>
              <w:tab w:pos="1061" w:val="left" w:leader="none"/>
              <w:tab w:pos="9841" w:val="right" w:leader="dot"/>
            </w:tabs>
            <w:spacing w:line="240" w:lineRule="auto" w:before="142" w:after="0"/>
            <w:ind w:left="1060" w:right="0" w:hanging="739"/>
            <w:jc w:val="left"/>
          </w:pPr>
          <w:hyperlink w:history="true" w:anchor="_TOC_250013">
            <w:r>
              <w:rPr/>
              <w:t>ΔΙΑΔΙΚΑΣΙΑ</w:t>
            </w:r>
            <w:r>
              <w:rPr>
                <w:spacing w:val="-1"/>
              </w:rPr>
              <w:t> </w:t>
            </w:r>
            <w:r>
              <w:rPr/>
              <w:t>ΤΡΟΠΟΠΟΙΗΣΗΣ</w:t>
              <w:tab/>
              <w:t>61</w:t>
            </w:r>
          </w:hyperlink>
        </w:p>
        <w:p>
          <w:pPr>
            <w:pStyle w:val="TOC2"/>
            <w:numPr>
              <w:ilvl w:val="1"/>
              <w:numId w:val="6"/>
            </w:numPr>
            <w:tabs>
              <w:tab w:pos="1060" w:val="left" w:leader="none"/>
              <w:tab w:pos="1061" w:val="left" w:leader="none"/>
              <w:tab w:pos="9841" w:val="right" w:leader="dot"/>
            </w:tabs>
            <w:spacing w:line="240" w:lineRule="auto" w:before="41" w:after="0"/>
            <w:ind w:left="1060" w:right="0" w:hanging="739"/>
            <w:jc w:val="left"/>
          </w:pPr>
          <w:hyperlink w:history="true" w:anchor="_TOC_250012">
            <w:r>
              <w:rPr/>
              <w:t>ΤΡΟΠΟΠΟΙΗΣΕΙΣ ΣΤΟΙΧΕΙΩΝ</w:t>
            </w:r>
            <w:r>
              <w:rPr>
                <w:spacing w:val="-1"/>
              </w:rPr>
              <w:t> </w:t>
            </w:r>
            <w:r>
              <w:rPr/>
              <w:t>ΕΓΚΡΙΤΙΚΗΣ</w:t>
            </w:r>
            <w:r>
              <w:rPr>
                <w:spacing w:val="-1"/>
              </w:rPr>
              <w:t> </w:t>
            </w:r>
            <w:r>
              <w:rPr/>
              <w:t>ΑΠΟΦΑΣΗΣ</w:t>
              <w:tab/>
              <w:t>62</w:t>
            </w:r>
          </w:hyperlink>
        </w:p>
        <w:p>
          <w:pPr>
            <w:pStyle w:val="TOC2"/>
            <w:numPr>
              <w:ilvl w:val="1"/>
              <w:numId w:val="6"/>
            </w:numPr>
            <w:tabs>
              <w:tab w:pos="1060" w:val="left" w:leader="none"/>
              <w:tab w:pos="1061" w:val="left" w:leader="none"/>
              <w:tab w:pos="9841" w:val="right" w:leader="dot"/>
            </w:tabs>
            <w:spacing w:line="240" w:lineRule="auto" w:before="38" w:after="0"/>
            <w:ind w:left="1060" w:right="0" w:hanging="739"/>
            <w:jc w:val="left"/>
          </w:pPr>
          <w:hyperlink w:history="true" w:anchor="_TOC_250011">
            <w:r>
              <w:rPr/>
              <w:t>ΤΡΟΠΟΠΟΙΗΣΕΙΣ ΗΣΣΟΝΟΣ</w:t>
            </w:r>
            <w:r>
              <w:rPr>
                <w:spacing w:val="-3"/>
              </w:rPr>
              <w:t> </w:t>
            </w:r>
            <w:r>
              <w:rPr/>
              <w:t>ΣΗΜΑΣΙΑΣ</w:t>
              <w:tab/>
              <w:t>63</w:t>
            </w:r>
          </w:hyperlink>
        </w:p>
        <w:p>
          <w:pPr>
            <w:pStyle w:val="TOC2"/>
            <w:numPr>
              <w:ilvl w:val="1"/>
              <w:numId w:val="6"/>
            </w:numPr>
            <w:tabs>
              <w:tab w:pos="1060" w:val="left" w:leader="none"/>
              <w:tab w:pos="1061" w:val="left" w:leader="none"/>
              <w:tab w:pos="9841" w:val="right" w:leader="dot"/>
            </w:tabs>
            <w:spacing w:line="240" w:lineRule="auto" w:before="41" w:after="0"/>
            <w:ind w:left="1060" w:right="0" w:hanging="739"/>
            <w:jc w:val="left"/>
          </w:pPr>
          <w:hyperlink w:history="true" w:anchor="_TOC_250010">
            <w:r>
              <w:rPr/>
              <w:t>ΠΕΡΙΟΡΙΣΜΟΙ</w:t>
            </w:r>
            <w:r>
              <w:rPr>
                <w:spacing w:val="-3"/>
              </w:rPr>
              <w:t> </w:t>
            </w:r>
            <w:r>
              <w:rPr/>
              <w:t>ΤΡΟΠΟΠΟΙΗΣΕΩΝ</w:t>
              <w:tab/>
              <w:t>63</w:t>
            </w:r>
          </w:hyperlink>
        </w:p>
        <w:p>
          <w:pPr>
            <w:pStyle w:val="TOC1"/>
            <w:numPr>
              <w:ilvl w:val="0"/>
              <w:numId w:val="6"/>
            </w:numPr>
            <w:tabs>
              <w:tab w:pos="820" w:val="left" w:leader="none"/>
              <w:tab w:pos="821" w:val="left" w:leader="none"/>
              <w:tab w:pos="9841" w:val="right" w:leader="dot"/>
            </w:tabs>
            <w:spacing w:line="240" w:lineRule="auto" w:before="139" w:after="0"/>
            <w:ind w:left="820" w:right="0" w:hanging="720"/>
            <w:jc w:val="left"/>
          </w:pPr>
          <w:hyperlink w:history="true" w:anchor="_TOC_250009">
            <w:r>
              <w:rPr/>
              <w:t>ΟΛΟΚΛΗΡΩΣΗ</w:t>
            </w:r>
            <w:r>
              <w:rPr>
                <w:spacing w:val="-1"/>
              </w:rPr>
              <w:t> </w:t>
            </w:r>
            <w:r>
              <w:rPr/>
              <w:t>ΠΡΑΞΕΩΝ</w:t>
              <w:tab/>
              <w:t>64</w:t>
            </w:r>
          </w:hyperlink>
        </w:p>
        <w:p>
          <w:pPr>
            <w:pStyle w:val="TOC2"/>
            <w:numPr>
              <w:ilvl w:val="1"/>
              <w:numId w:val="6"/>
            </w:numPr>
            <w:tabs>
              <w:tab w:pos="1060" w:val="left" w:leader="none"/>
              <w:tab w:pos="1061" w:val="left" w:leader="none"/>
              <w:tab w:pos="9841" w:val="right" w:leader="dot"/>
            </w:tabs>
            <w:spacing w:line="240" w:lineRule="auto" w:before="142" w:after="0"/>
            <w:ind w:left="1060" w:right="0" w:hanging="739"/>
            <w:jc w:val="left"/>
          </w:pPr>
          <w:hyperlink w:history="true" w:anchor="_TOC_250008">
            <w:r>
              <w:rPr/>
              <w:t>ΔΕΙΚΤΕΣ ΕΠΙΤΥΧΙΑΣ ΤΗΣ</w:t>
            </w:r>
            <w:r>
              <w:rPr>
                <w:spacing w:val="-4"/>
              </w:rPr>
              <w:t> </w:t>
            </w:r>
            <w:r>
              <w:rPr/>
              <w:t>ΠΑΡΟΥΣΑΣ</w:t>
            </w:r>
            <w:r>
              <w:rPr>
                <w:spacing w:val="-3"/>
              </w:rPr>
              <w:t> </w:t>
            </w:r>
            <w:r>
              <w:rPr/>
              <w:t>ΔΡΑΣΗΣ</w:t>
              <w:tab/>
              <w:t>65</w:t>
            </w:r>
          </w:hyperlink>
        </w:p>
        <w:p>
          <w:pPr>
            <w:pStyle w:val="TOC1"/>
            <w:numPr>
              <w:ilvl w:val="0"/>
              <w:numId w:val="6"/>
            </w:numPr>
            <w:tabs>
              <w:tab w:pos="820" w:val="left" w:leader="none"/>
              <w:tab w:pos="821" w:val="left" w:leader="none"/>
              <w:tab w:pos="9841" w:val="right" w:leader="dot"/>
            </w:tabs>
            <w:spacing w:line="240" w:lineRule="auto" w:before="139" w:after="0"/>
            <w:ind w:left="820" w:right="0" w:hanging="720"/>
            <w:jc w:val="left"/>
          </w:pPr>
          <w:hyperlink w:history="true" w:anchor="_TOC_250007">
            <w:r>
              <w:rPr/>
              <w:t>ΥΠΟΧΡΕΩΣΕΙΣ</w:t>
            </w:r>
            <w:r>
              <w:rPr>
                <w:spacing w:val="-3"/>
              </w:rPr>
              <w:t> </w:t>
            </w:r>
            <w:r>
              <w:rPr/>
              <w:t>ΔΙΚΑΙΟΥΧΩΝ</w:t>
              <w:tab/>
              <w:t>65</w:t>
            </w:r>
          </w:hyperlink>
        </w:p>
        <w:p>
          <w:pPr>
            <w:pStyle w:val="TOC2"/>
            <w:numPr>
              <w:ilvl w:val="1"/>
              <w:numId w:val="6"/>
            </w:numPr>
            <w:tabs>
              <w:tab w:pos="1060" w:val="left" w:leader="none"/>
              <w:tab w:pos="1061" w:val="left" w:leader="none"/>
              <w:tab w:pos="9841" w:val="right" w:leader="dot"/>
            </w:tabs>
            <w:spacing w:line="240" w:lineRule="auto" w:before="139" w:after="0"/>
            <w:ind w:left="1060" w:right="0" w:hanging="739"/>
            <w:jc w:val="left"/>
          </w:pPr>
          <w:hyperlink w:history="true" w:anchor="_TOC_250006">
            <w:r>
              <w:rPr/>
              <w:t>Υποχρεώσεις κατά το χρονικό διάστημα υλοποίησης</w:t>
            </w:r>
            <w:r>
              <w:rPr>
                <w:spacing w:val="-7"/>
              </w:rPr>
              <w:t> </w:t>
            </w:r>
            <w:r>
              <w:rPr/>
              <w:t>του</w:t>
            </w:r>
            <w:r>
              <w:rPr>
                <w:spacing w:val="-3"/>
              </w:rPr>
              <w:t> </w:t>
            </w:r>
            <w:r>
              <w:rPr/>
              <w:t>έργου</w:t>
              <w:tab/>
              <w:t>65</w:t>
            </w:r>
          </w:hyperlink>
        </w:p>
        <w:p>
          <w:pPr>
            <w:pStyle w:val="TOC2"/>
            <w:numPr>
              <w:ilvl w:val="1"/>
              <w:numId w:val="6"/>
            </w:numPr>
            <w:tabs>
              <w:tab w:pos="1060" w:val="left" w:leader="none"/>
              <w:tab w:pos="1061" w:val="left" w:leader="none"/>
              <w:tab w:pos="9841" w:val="right" w:leader="dot"/>
            </w:tabs>
            <w:spacing w:line="240" w:lineRule="auto" w:before="41" w:after="0"/>
            <w:ind w:left="1060" w:right="0" w:hanging="739"/>
            <w:jc w:val="left"/>
          </w:pPr>
          <w:hyperlink w:history="true" w:anchor="_TOC_250005">
            <w:r>
              <w:rPr/>
              <w:t>Υποχρεώσεις μετά την ολοκλήρωση</w:t>
            </w:r>
            <w:r>
              <w:rPr>
                <w:spacing w:val="-11"/>
              </w:rPr>
              <w:t> </w:t>
            </w:r>
            <w:r>
              <w:rPr/>
              <w:t>του έργου</w:t>
              <w:tab/>
              <w:t>66</w:t>
            </w:r>
          </w:hyperlink>
        </w:p>
        <w:p>
          <w:pPr>
            <w:pStyle w:val="TOC2"/>
            <w:numPr>
              <w:ilvl w:val="1"/>
              <w:numId w:val="6"/>
            </w:numPr>
            <w:tabs>
              <w:tab w:pos="1060" w:val="left" w:leader="none"/>
              <w:tab w:pos="1061" w:val="left" w:leader="none"/>
              <w:tab w:pos="9841" w:val="right" w:leader="dot"/>
            </w:tabs>
            <w:spacing w:line="240" w:lineRule="auto" w:before="41" w:after="0"/>
            <w:ind w:left="1060" w:right="0" w:hanging="739"/>
            <w:jc w:val="left"/>
          </w:pPr>
          <w:hyperlink w:history="true" w:anchor="_TOC_250004">
            <w:r>
              <w:rPr/>
              <w:t>Εξέταση Τήρησης</w:t>
            </w:r>
            <w:r>
              <w:rPr>
                <w:spacing w:val="-4"/>
              </w:rPr>
              <w:t> </w:t>
            </w:r>
            <w:r>
              <w:rPr/>
              <w:t>Υποχρεώσεων Δικαιούχων</w:t>
              <w:tab/>
              <w:t>68</w:t>
            </w:r>
          </w:hyperlink>
        </w:p>
        <w:p>
          <w:pPr>
            <w:pStyle w:val="TOC1"/>
            <w:numPr>
              <w:ilvl w:val="0"/>
              <w:numId w:val="6"/>
            </w:numPr>
            <w:tabs>
              <w:tab w:pos="820" w:val="left" w:leader="none"/>
              <w:tab w:pos="821" w:val="left" w:leader="none"/>
              <w:tab w:pos="9841" w:val="right" w:leader="dot"/>
            </w:tabs>
            <w:spacing w:line="240" w:lineRule="auto" w:before="139" w:after="0"/>
            <w:ind w:left="820" w:right="0" w:hanging="720"/>
            <w:jc w:val="left"/>
          </w:pPr>
          <w:hyperlink w:history="true" w:anchor="_TOC_250003">
            <w:r>
              <w:rPr/>
              <w:t>ΕΙΔΙΚΕΣ ΡΥΘΜΙΣΕΙΣ</w:t>
            </w:r>
            <w:r>
              <w:rPr>
                <w:spacing w:val="-7"/>
              </w:rPr>
              <w:t> </w:t>
            </w:r>
            <w:r>
              <w:rPr/>
              <w:t>ΚΑΝΟΝΙΣΜΟΥ</w:t>
            </w:r>
            <w:r>
              <w:rPr>
                <w:spacing w:val="-2"/>
              </w:rPr>
              <w:t> </w:t>
            </w:r>
            <w:r>
              <w:rPr/>
              <w:t>2016/679</w:t>
              <w:tab/>
              <w:t>69</w:t>
            </w:r>
          </w:hyperlink>
        </w:p>
        <w:p>
          <w:pPr>
            <w:pStyle w:val="TOC1"/>
            <w:numPr>
              <w:ilvl w:val="0"/>
              <w:numId w:val="6"/>
            </w:numPr>
            <w:tabs>
              <w:tab w:pos="820" w:val="left" w:leader="none"/>
              <w:tab w:pos="821" w:val="left" w:leader="none"/>
              <w:tab w:pos="9841" w:val="right" w:leader="dot"/>
            </w:tabs>
            <w:spacing w:line="240" w:lineRule="auto" w:before="41" w:after="0"/>
            <w:ind w:left="820" w:right="0" w:hanging="720"/>
            <w:jc w:val="left"/>
          </w:pPr>
          <w:hyperlink w:history="true" w:anchor="_TOC_250002">
            <w:r>
              <w:rPr/>
              <w:t>ΠΛΗΡΟΦΟΡΗΣΗ</w:t>
              <w:tab/>
              <w:t>69</w:t>
            </w:r>
          </w:hyperlink>
        </w:p>
        <w:p>
          <w:pPr>
            <w:pStyle w:val="TOC1"/>
            <w:numPr>
              <w:ilvl w:val="0"/>
              <w:numId w:val="6"/>
            </w:numPr>
            <w:tabs>
              <w:tab w:pos="820" w:val="left" w:leader="none"/>
              <w:tab w:pos="821" w:val="left" w:leader="none"/>
              <w:tab w:pos="9841" w:val="right" w:leader="dot"/>
            </w:tabs>
            <w:spacing w:line="240" w:lineRule="auto" w:before="39" w:after="0"/>
            <w:ind w:left="820" w:right="0" w:hanging="720"/>
            <w:jc w:val="left"/>
          </w:pPr>
          <w:hyperlink w:history="true" w:anchor="_TOC_250001">
            <w:r>
              <w:rPr/>
              <w:t>ΠΑΡΑΤΥΠΙΕΣ – ΔΙΑΚΟΠΗ ΕΝΙΣΧΥΣΗΣ</w:t>
            </w:r>
            <w:r>
              <w:rPr>
                <w:spacing w:val="-5"/>
              </w:rPr>
              <w:t> </w:t>
            </w:r>
            <w:r>
              <w:rPr/>
              <w:t>–</w:t>
            </w:r>
            <w:r>
              <w:rPr>
                <w:spacing w:val="1"/>
              </w:rPr>
              <w:t> </w:t>
            </w:r>
            <w:r>
              <w:rPr/>
              <w:t>ΑΝΑΚΤΗΣΗ</w:t>
              <w:tab/>
              <w:t>70</w:t>
            </w:r>
          </w:hyperlink>
        </w:p>
        <w:p>
          <w:pPr>
            <w:pStyle w:val="TOC1"/>
            <w:numPr>
              <w:ilvl w:val="0"/>
              <w:numId w:val="6"/>
            </w:numPr>
            <w:tabs>
              <w:tab w:pos="820" w:val="left" w:leader="none"/>
              <w:tab w:pos="821" w:val="left" w:leader="none"/>
              <w:tab w:pos="9840" w:val="right" w:leader="dot"/>
            </w:tabs>
            <w:spacing w:line="240" w:lineRule="auto" w:before="41" w:after="0"/>
            <w:ind w:left="820" w:right="0" w:hanging="720"/>
            <w:jc w:val="left"/>
          </w:pPr>
          <w:hyperlink w:history="true" w:anchor="_TOC_250000">
            <w:r>
              <w:rPr/>
              <w:t>ΚΑΤΑΛΟΓΟΣ</w:t>
            </w:r>
            <w:r>
              <w:rPr>
                <w:spacing w:val="-1"/>
              </w:rPr>
              <w:t> </w:t>
            </w:r>
            <w:r>
              <w:rPr/>
              <w:t>ΠΑΡΑΡΤΗΜΑΤΩΝ</w:t>
              <w:tab/>
              <w:t>71</w:t>
            </w:r>
          </w:hyperlink>
        </w:p>
      </w:sdtContent>
    </w:sdt>
    <w:p>
      <w:pPr>
        <w:spacing w:after="0" w:line="240" w:lineRule="auto"/>
        <w:jc w:val="left"/>
        <w:sectPr>
          <w:type w:val="continuous"/>
          <w:pgSz w:w="11910" w:h="16840"/>
          <w:pgMar w:top="1436" w:bottom="1586" w:left="980" w:right="980"/>
        </w:sectPr>
      </w:pPr>
    </w:p>
    <w:p>
      <w:pPr>
        <w:pStyle w:val="Heading2"/>
        <w:spacing w:before="274"/>
        <w:ind w:left="780" w:firstLine="0"/>
        <w:jc w:val="left"/>
      </w:pPr>
      <w:bookmarkStart w:name="_TOC_250055" w:id="1"/>
      <w:bookmarkEnd w:id="1"/>
      <w:r>
        <w:rPr/>
        <w:t>ΟΡΙΣΜΟΙ</w:t>
      </w:r>
    </w:p>
    <w:p>
      <w:pPr>
        <w:pStyle w:val="BodyText"/>
        <w:spacing w:line="276" w:lineRule="auto" w:before="237"/>
        <w:ind w:left="420" w:right="263"/>
      </w:pPr>
      <w:r>
        <w:rPr/>
        <w:t>Για τους σκοπούς της παρούσας πρόσκλησης, οι χρησιμοποιούμενοι όροι και συντμήσεις έχουν την έννοια που τους αποδίδεται κατωτέρω:</w:t>
      </w:r>
    </w:p>
    <w:p>
      <w:pPr>
        <w:pStyle w:val="BodyText"/>
        <w:spacing w:before="1"/>
        <w:rPr>
          <w:sz w:val="10"/>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3"/>
        <w:gridCol w:w="7134"/>
      </w:tblGrid>
      <w:tr>
        <w:trPr>
          <w:trHeight w:val="614" w:hRule="exact"/>
        </w:trPr>
        <w:tc>
          <w:tcPr>
            <w:tcW w:w="3243" w:type="dxa"/>
            <w:shd w:val="clear" w:color="auto" w:fill="C0C0C0"/>
          </w:tcPr>
          <w:p>
            <w:pPr>
              <w:pStyle w:val="TableParagraph"/>
              <w:spacing w:before="119"/>
              <w:ind w:left="1361" w:right="1361"/>
              <w:jc w:val="center"/>
              <w:rPr>
                <w:b/>
                <w:sz w:val="20"/>
              </w:rPr>
            </w:pPr>
            <w:r>
              <w:rPr>
                <w:b/>
                <w:sz w:val="20"/>
              </w:rPr>
              <w:t>ΟΡΟΣ</w:t>
            </w:r>
          </w:p>
        </w:tc>
        <w:tc>
          <w:tcPr>
            <w:tcW w:w="7134" w:type="dxa"/>
            <w:shd w:val="clear" w:color="auto" w:fill="C0C0C0"/>
          </w:tcPr>
          <w:p>
            <w:pPr>
              <w:pStyle w:val="TableParagraph"/>
              <w:spacing w:before="119"/>
              <w:ind w:left="2791" w:right="2793"/>
              <w:jc w:val="center"/>
              <w:rPr>
                <w:b/>
                <w:sz w:val="20"/>
              </w:rPr>
            </w:pPr>
            <w:r>
              <w:rPr>
                <w:b/>
                <w:sz w:val="20"/>
              </w:rPr>
              <w:t>ΕΠΕΞΗΓΗΣΗ ΟΡΟΥ</w:t>
            </w:r>
          </w:p>
        </w:tc>
      </w:tr>
      <w:tr>
        <w:trPr>
          <w:trHeight w:val="1056" w:hRule="exact"/>
        </w:trPr>
        <w:tc>
          <w:tcPr>
            <w:tcW w:w="3243" w:type="dxa"/>
          </w:tcPr>
          <w:p>
            <w:pPr>
              <w:pStyle w:val="TableParagraph"/>
              <w:spacing w:before="7"/>
              <w:rPr>
                <w:sz w:val="20"/>
              </w:rPr>
            </w:pPr>
          </w:p>
          <w:p>
            <w:pPr>
              <w:pStyle w:val="TableParagraph"/>
              <w:ind w:left="175" w:right="826"/>
              <w:rPr>
                <w:b/>
                <w:sz w:val="22"/>
              </w:rPr>
            </w:pPr>
            <w:r>
              <w:rPr>
                <w:b/>
                <w:sz w:val="22"/>
              </w:rPr>
              <w:t>Αίτημα Επαλήθευσης – Πιστοποίησης Δαπανών</w:t>
            </w:r>
          </w:p>
        </w:tc>
        <w:tc>
          <w:tcPr>
            <w:tcW w:w="7134" w:type="dxa"/>
          </w:tcPr>
          <w:p>
            <w:pPr>
              <w:pStyle w:val="TableParagraph"/>
              <w:spacing w:before="117"/>
              <w:ind w:left="103" w:right="104"/>
              <w:jc w:val="both"/>
              <w:rPr>
                <w:sz w:val="22"/>
              </w:rPr>
            </w:pPr>
            <w:r>
              <w:rPr>
                <w:sz w:val="22"/>
              </w:rPr>
              <w:t>Αίτημα του δικαιούχου που αποστέλλεται στον Ενδιάμεσο Φορέα (ΕΦ) για την επαλήθευση και πιστοποίηση του φυσικού και οικονομικού αντικειμένου του έργου</w:t>
            </w:r>
            <w:r>
              <w:rPr>
                <w:spacing w:val="-6"/>
                <w:sz w:val="22"/>
              </w:rPr>
              <w:t> </w:t>
            </w:r>
            <w:r>
              <w:rPr>
                <w:sz w:val="22"/>
              </w:rPr>
              <w:t>του.</w:t>
            </w:r>
          </w:p>
        </w:tc>
      </w:tr>
      <w:tr>
        <w:trPr>
          <w:trHeight w:val="1057" w:hRule="exact"/>
        </w:trPr>
        <w:tc>
          <w:tcPr>
            <w:tcW w:w="3243" w:type="dxa"/>
          </w:tcPr>
          <w:p>
            <w:pPr>
              <w:pStyle w:val="TableParagraph"/>
              <w:spacing w:before="7"/>
              <w:rPr>
                <w:sz w:val="31"/>
              </w:rPr>
            </w:pPr>
          </w:p>
          <w:p>
            <w:pPr>
              <w:pStyle w:val="TableParagraph"/>
              <w:spacing w:before="1"/>
              <w:ind w:left="175"/>
              <w:rPr>
                <w:b/>
                <w:sz w:val="22"/>
              </w:rPr>
            </w:pPr>
            <w:r>
              <w:rPr>
                <w:b/>
                <w:sz w:val="22"/>
              </w:rPr>
              <w:t>ΑμΕΑ</w:t>
            </w:r>
          </w:p>
        </w:tc>
        <w:tc>
          <w:tcPr>
            <w:tcW w:w="7134" w:type="dxa"/>
          </w:tcPr>
          <w:p>
            <w:pPr>
              <w:pStyle w:val="TableParagraph"/>
              <w:spacing w:before="117"/>
              <w:ind w:left="103" w:right="101"/>
              <w:jc w:val="both"/>
              <w:rPr>
                <w:sz w:val="22"/>
              </w:rPr>
            </w:pPr>
            <w:r>
              <w:rPr>
                <w:sz w:val="22"/>
              </w:rPr>
              <w:t>Άτομα με αναπηρία. Ο όρος αναφέρεται σε άτομα με κινητική ή/και αισθητηριακή αναπηρία (προβλήματα όρασης και ακοής) ή/και ψυχική/νοητική/ γνωστική κ.λπ. αναπηρίες.</w:t>
            </w:r>
          </w:p>
        </w:tc>
      </w:tr>
      <w:tr>
        <w:trPr>
          <w:trHeight w:val="787" w:hRule="exact"/>
        </w:trPr>
        <w:tc>
          <w:tcPr>
            <w:tcW w:w="3243" w:type="dxa"/>
          </w:tcPr>
          <w:p>
            <w:pPr>
              <w:pStyle w:val="TableParagraph"/>
              <w:spacing w:before="7"/>
              <w:rPr>
                <w:sz w:val="20"/>
              </w:rPr>
            </w:pPr>
          </w:p>
          <w:p>
            <w:pPr>
              <w:pStyle w:val="TableParagraph"/>
              <w:ind w:left="175"/>
              <w:rPr>
                <w:b/>
                <w:sz w:val="22"/>
              </w:rPr>
            </w:pPr>
            <w:r>
              <w:rPr>
                <w:b/>
                <w:sz w:val="22"/>
              </w:rPr>
              <w:t>Ανάκτηση</w:t>
            </w:r>
          </w:p>
        </w:tc>
        <w:tc>
          <w:tcPr>
            <w:tcW w:w="7134" w:type="dxa"/>
          </w:tcPr>
          <w:p>
            <w:pPr>
              <w:pStyle w:val="TableParagraph"/>
              <w:spacing w:before="117"/>
              <w:ind w:left="103" w:right="104"/>
              <w:rPr>
                <w:sz w:val="22"/>
              </w:rPr>
            </w:pPr>
            <w:r>
              <w:rPr>
                <w:sz w:val="22"/>
              </w:rPr>
              <w:t>Η επιστροφή των αχρεωστήτως ή παρανόμως καταβληθέντων ποσών από τον λαβόντα</w:t>
            </w:r>
          </w:p>
        </w:tc>
      </w:tr>
      <w:tr>
        <w:trPr>
          <w:trHeight w:val="1056" w:hRule="exact"/>
        </w:trPr>
        <w:tc>
          <w:tcPr>
            <w:tcW w:w="3243" w:type="dxa"/>
          </w:tcPr>
          <w:p>
            <w:pPr>
              <w:pStyle w:val="TableParagraph"/>
              <w:spacing w:before="7"/>
              <w:rPr>
                <w:sz w:val="31"/>
              </w:rPr>
            </w:pPr>
          </w:p>
          <w:p>
            <w:pPr>
              <w:pStyle w:val="TableParagraph"/>
              <w:ind w:left="175"/>
              <w:rPr>
                <w:b/>
                <w:sz w:val="22"/>
              </w:rPr>
            </w:pPr>
            <w:r>
              <w:rPr>
                <w:b/>
                <w:sz w:val="22"/>
              </w:rPr>
              <w:t>Ανεξάρτητη Επιχείρηση</w:t>
            </w:r>
          </w:p>
        </w:tc>
        <w:tc>
          <w:tcPr>
            <w:tcW w:w="7134" w:type="dxa"/>
          </w:tcPr>
          <w:p>
            <w:pPr>
              <w:pStyle w:val="TableParagraph"/>
              <w:spacing w:before="117"/>
              <w:ind w:left="103" w:right="101"/>
              <w:jc w:val="both"/>
              <w:rPr>
                <w:sz w:val="22"/>
              </w:rPr>
            </w:pPr>
            <w:r>
              <w:rPr>
                <w:sz w:val="22"/>
              </w:rPr>
              <w:t>Κάθε επιχείρηση που δεν χαρακτηρίζεται ως συνεργαζόμενη επιχείρηση κατά την έννοια της παραγράφου 2 ή ως συνδεδεμένη επιχείρηση κατά την έννοια της παραγράφου 3, του Παραρτήματος IV.</w:t>
            </w:r>
          </w:p>
        </w:tc>
      </w:tr>
      <w:tr>
        <w:trPr>
          <w:trHeight w:val="1860" w:hRule="exact"/>
        </w:trPr>
        <w:tc>
          <w:tcPr>
            <w:tcW w:w="3243" w:type="dxa"/>
          </w:tcPr>
          <w:p>
            <w:pPr>
              <w:pStyle w:val="TableParagraph"/>
              <w:rPr>
                <w:sz w:val="22"/>
              </w:rPr>
            </w:pPr>
          </w:p>
          <w:p>
            <w:pPr>
              <w:pStyle w:val="TableParagraph"/>
              <w:rPr>
                <w:sz w:val="22"/>
              </w:rPr>
            </w:pPr>
          </w:p>
          <w:p>
            <w:pPr>
              <w:pStyle w:val="TableParagraph"/>
              <w:spacing w:before="8"/>
              <w:rPr>
                <w:sz w:val="20"/>
              </w:rPr>
            </w:pPr>
          </w:p>
          <w:p>
            <w:pPr>
              <w:pStyle w:val="TableParagraph"/>
              <w:ind w:left="175"/>
              <w:rPr>
                <w:b/>
                <w:sz w:val="22"/>
              </w:rPr>
            </w:pPr>
            <w:r>
              <w:rPr>
                <w:b/>
                <w:sz w:val="22"/>
              </w:rPr>
              <w:t>Αριθμός εργαζομένων</w:t>
            </w:r>
          </w:p>
        </w:tc>
        <w:tc>
          <w:tcPr>
            <w:tcW w:w="7134" w:type="dxa"/>
          </w:tcPr>
          <w:p>
            <w:pPr>
              <w:pStyle w:val="TableParagraph"/>
              <w:spacing w:before="117"/>
              <w:ind w:left="103" w:right="100"/>
              <w:jc w:val="both"/>
              <w:rPr>
                <w:sz w:val="22"/>
              </w:rPr>
            </w:pPr>
            <w:r>
              <w:rPr>
                <w:sz w:val="22"/>
              </w:rPr>
              <w:t>Ο αριθμός των εργαζομένων αντιστοιχεί στον αριθμό Ετήσιων Μονάδων Εργασίας (ΕΜΕ), δηλαδή στον αριθμό εργαζομένων μόνιμης και πλήρους απασχόλησης, με σχέση εξαρτημένης εργασίας κατά ένα ημερολογιακό  έτος. Τα άτομα που δεν εργάστηκαν ολόκληρο το έτος, οι εργαζόμενοι μερικής απασχόλησης, ανεξάρτητα από τη διάρκεια, και οι εργαζόμενοι σε εποχική βάση αντιστοιχούν σε κλάσματα των</w:t>
            </w:r>
            <w:r>
              <w:rPr>
                <w:spacing w:val="-6"/>
                <w:sz w:val="22"/>
              </w:rPr>
              <w:t> </w:t>
            </w:r>
            <w:r>
              <w:rPr>
                <w:sz w:val="22"/>
              </w:rPr>
              <w:t>ΕΜΕ.</w:t>
            </w:r>
          </w:p>
        </w:tc>
      </w:tr>
      <w:tr>
        <w:trPr>
          <w:trHeight w:val="1862" w:hRule="exact"/>
        </w:trPr>
        <w:tc>
          <w:tcPr>
            <w:tcW w:w="3243" w:type="dxa"/>
          </w:tcPr>
          <w:p>
            <w:pPr>
              <w:pStyle w:val="TableParagraph"/>
              <w:rPr>
                <w:sz w:val="22"/>
              </w:rPr>
            </w:pPr>
          </w:p>
          <w:p>
            <w:pPr>
              <w:pStyle w:val="TableParagraph"/>
              <w:rPr>
                <w:sz w:val="22"/>
              </w:rPr>
            </w:pPr>
          </w:p>
          <w:p>
            <w:pPr>
              <w:pStyle w:val="TableParagraph"/>
              <w:spacing w:before="7"/>
              <w:rPr>
                <w:sz w:val="20"/>
              </w:rPr>
            </w:pPr>
          </w:p>
          <w:p>
            <w:pPr>
              <w:pStyle w:val="TableParagraph"/>
              <w:ind w:left="175"/>
              <w:rPr>
                <w:b/>
                <w:sz w:val="22"/>
              </w:rPr>
            </w:pPr>
            <w:r>
              <w:rPr>
                <w:b/>
                <w:sz w:val="22"/>
              </w:rPr>
              <w:t>Αρχή Ελέγχου</w:t>
            </w:r>
          </w:p>
        </w:tc>
        <w:tc>
          <w:tcPr>
            <w:tcW w:w="7134" w:type="dxa"/>
          </w:tcPr>
          <w:p>
            <w:pPr>
              <w:pStyle w:val="TableParagraph"/>
              <w:spacing w:before="119"/>
              <w:ind w:left="103" w:right="102"/>
              <w:jc w:val="both"/>
              <w:rPr>
                <w:sz w:val="22"/>
              </w:rPr>
            </w:pPr>
            <w:r>
              <w:rPr>
                <w:sz w:val="22"/>
              </w:rPr>
              <w:t>Εθνική, περιφερειακή ή τοπική δημόσια αρχή ή οντότητα, λειτουργικά ανεξάρτητη από τη διαχειριστική αρχή και την αρχή πιστοποίησης, η οποία ορίζεται από το κράτος μέλος για κάθε Επιχειρησιακό Πρόγραμμα και είναι υπεύθυνη για τον έλεγχο της ουσιαστικής λειτουργίας του συστήματος διαχείρισης και ελέγχου. Στην Ελλάδα είναι η Επιτροπή Δημοσιονομικού Ελέγχου (ΕΔΕΛ).</w:t>
            </w:r>
          </w:p>
        </w:tc>
      </w:tr>
      <w:tr>
        <w:trPr>
          <w:trHeight w:val="1325" w:hRule="exact"/>
        </w:trPr>
        <w:tc>
          <w:tcPr>
            <w:tcW w:w="3243" w:type="dxa"/>
          </w:tcPr>
          <w:p>
            <w:pPr>
              <w:pStyle w:val="TableParagraph"/>
              <w:rPr>
                <w:sz w:val="22"/>
              </w:rPr>
            </w:pPr>
          </w:p>
          <w:p>
            <w:pPr>
              <w:pStyle w:val="TableParagraph"/>
              <w:spacing w:before="8"/>
              <w:rPr>
                <w:sz w:val="20"/>
              </w:rPr>
            </w:pPr>
          </w:p>
          <w:p>
            <w:pPr>
              <w:pStyle w:val="TableParagraph"/>
              <w:ind w:left="175"/>
              <w:rPr>
                <w:b/>
                <w:sz w:val="22"/>
              </w:rPr>
            </w:pPr>
            <w:r>
              <w:rPr>
                <w:b/>
                <w:sz w:val="22"/>
              </w:rPr>
              <w:t>ΑΠ</w:t>
            </w:r>
          </w:p>
        </w:tc>
        <w:tc>
          <w:tcPr>
            <w:tcW w:w="7134" w:type="dxa"/>
          </w:tcPr>
          <w:p>
            <w:pPr>
              <w:pStyle w:val="TableParagraph"/>
              <w:spacing w:before="117"/>
              <w:ind w:left="103" w:right="104"/>
              <w:jc w:val="both"/>
              <w:rPr>
                <w:sz w:val="22"/>
              </w:rPr>
            </w:pPr>
            <w:r>
              <w:rPr>
                <w:sz w:val="22"/>
              </w:rPr>
              <w:t>Άξονας Προτεραιότητας: Μια από τις προτεραιότητες της στρατηγικής στο πλαίσιο Επιχειρησιακού Προγράμματος που έχει συγκεκριμένους μετρήσιμους στόχους και περιλαμβάνει ομάδα πράξεων, οι οποίες σχετίζονται μεταξύ τους.</w:t>
            </w:r>
          </w:p>
        </w:tc>
      </w:tr>
      <w:tr>
        <w:trPr>
          <w:trHeight w:val="1056" w:hRule="exact"/>
        </w:trPr>
        <w:tc>
          <w:tcPr>
            <w:tcW w:w="3243" w:type="dxa"/>
          </w:tcPr>
          <w:p>
            <w:pPr>
              <w:pStyle w:val="TableParagraph"/>
              <w:spacing w:before="7"/>
              <w:rPr>
                <w:sz w:val="31"/>
              </w:rPr>
            </w:pPr>
          </w:p>
          <w:p>
            <w:pPr>
              <w:pStyle w:val="TableParagraph"/>
              <w:ind w:left="175"/>
              <w:rPr>
                <w:b/>
                <w:sz w:val="22"/>
              </w:rPr>
            </w:pPr>
            <w:r>
              <w:rPr>
                <w:b/>
                <w:sz w:val="22"/>
              </w:rPr>
              <w:t>Άυλα στοιχεία ενεργητικού</w:t>
            </w:r>
          </w:p>
        </w:tc>
        <w:tc>
          <w:tcPr>
            <w:tcW w:w="7134" w:type="dxa"/>
          </w:tcPr>
          <w:p>
            <w:pPr>
              <w:pStyle w:val="TableParagraph"/>
              <w:spacing w:before="117"/>
              <w:ind w:left="103" w:right="104"/>
              <w:jc w:val="both"/>
              <w:rPr>
                <w:sz w:val="22"/>
              </w:rPr>
            </w:pPr>
            <w:r>
              <w:rPr>
                <w:sz w:val="22"/>
              </w:rPr>
              <w:t>Τα στοιχεία ενεργητικού που δεν έχουν φυσική ή χρηματοοικονομική υπόσταση, όπως δικαιώματα ευρεσιτεχνίας, άδειες εκμετάλλευσης, τεχνογνωσία ή άλλη διανοητική ιδιοκτησία.</w:t>
            </w:r>
          </w:p>
        </w:tc>
      </w:tr>
      <w:tr>
        <w:trPr>
          <w:trHeight w:val="1056" w:hRule="exact"/>
        </w:trPr>
        <w:tc>
          <w:tcPr>
            <w:tcW w:w="3243" w:type="dxa"/>
          </w:tcPr>
          <w:p>
            <w:pPr>
              <w:pStyle w:val="TableParagraph"/>
              <w:spacing w:before="7"/>
              <w:rPr>
                <w:sz w:val="20"/>
              </w:rPr>
            </w:pPr>
          </w:p>
          <w:p>
            <w:pPr>
              <w:pStyle w:val="TableParagraph"/>
              <w:tabs>
                <w:tab w:pos="2008" w:val="left" w:leader="none"/>
              </w:tabs>
              <w:ind w:left="175" w:right="100"/>
              <w:rPr>
                <w:b/>
                <w:sz w:val="22"/>
              </w:rPr>
            </w:pPr>
            <w:r>
              <w:rPr>
                <w:b/>
                <w:sz w:val="22"/>
              </w:rPr>
              <w:t>Αχρεωστήτως</w:t>
              <w:tab/>
            </w:r>
            <w:r>
              <w:rPr>
                <w:b/>
                <w:spacing w:val="-1"/>
                <w:sz w:val="22"/>
              </w:rPr>
              <w:t>καταβληθέν </w:t>
            </w:r>
            <w:r>
              <w:rPr>
                <w:b/>
                <w:sz w:val="22"/>
              </w:rPr>
              <w:t>ποσό</w:t>
            </w:r>
          </w:p>
        </w:tc>
        <w:tc>
          <w:tcPr>
            <w:tcW w:w="7134" w:type="dxa"/>
          </w:tcPr>
          <w:p>
            <w:pPr>
              <w:pStyle w:val="TableParagraph"/>
              <w:spacing w:before="117"/>
              <w:ind w:left="103" w:right="104"/>
              <w:jc w:val="both"/>
              <w:rPr>
                <w:sz w:val="22"/>
              </w:rPr>
            </w:pPr>
            <w:r>
              <w:rPr>
                <w:sz w:val="22"/>
              </w:rPr>
              <w:t>Κάθε δαπάνη στην οποία δεν αντιστοιχεί ίσης αξίας παραδοθέν  προϊόν, έργο ή υπηρεσία σύμφωνα με τους όρους της σχετικής σύμβασης ή απόφασης με την οποία αναλήφθηκε η υποχρέωση της δαπάνης.</w:t>
            </w:r>
          </w:p>
        </w:tc>
      </w:tr>
    </w:tbl>
    <w:p>
      <w:pPr>
        <w:spacing w:after="0"/>
        <w:jc w:val="both"/>
        <w:rPr>
          <w:sz w:val="22"/>
        </w:rPr>
        <w:sectPr>
          <w:pgSz w:w="11910" w:h="16840"/>
          <w:pgMar w:header="748" w:footer="734" w:top="1420" w:bottom="920" w:left="660" w:right="640"/>
        </w:sectPr>
      </w:pPr>
    </w:p>
    <w:p>
      <w:pPr>
        <w:pStyle w:val="BodyText"/>
        <w:spacing w:before="10"/>
        <w:rPr>
          <w:rFonts w:ascii="Times New Roman"/>
          <w:sz w:val="23"/>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3"/>
        <w:gridCol w:w="7134"/>
      </w:tblGrid>
      <w:tr>
        <w:trPr>
          <w:trHeight w:val="617" w:hRule="exact"/>
        </w:trPr>
        <w:tc>
          <w:tcPr>
            <w:tcW w:w="3243" w:type="dxa"/>
            <w:shd w:val="clear" w:color="auto" w:fill="C0C0C0"/>
          </w:tcPr>
          <w:p>
            <w:pPr>
              <w:pStyle w:val="TableParagraph"/>
              <w:spacing w:before="119"/>
              <w:ind w:left="1361" w:right="1361"/>
              <w:jc w:val="center"/>
              <w:rPr>
                <w:b/>
                <w:sz w:val="20"/>
              </w:rPr>
            </w:pPr>
            <w:r>
              <w:rPr>
                <w:b/>
                <w:sz w:val="20"/>
              </w:rPr>
              <w:t>ΟΡΟΣ</w:t>
            </w:r>
          </w:p>
        </w:tc>
        <w:tc>
          <w:tcPr>
            <w:tcW w:w="7134" w:type="dxa"/>
            <w:shd w:val="clear" w:color="auto" w:fill="C0C0C0"/>
          </w:tcPr>
          <w:p>
            <w:pPr>
              <w:pStyle w:val="TableParagraph"/>
              <w:spacing w:before="119"/>
              <w:ind w:left="2791" w:right="2793"/>
              <w:jc w:val="center"/>
              <w:rPr>
                <w:b/>
                <w:sz w:val="20"/>
              </w:rPr>
            </w:pPr>
            <w:r>
              <w:rPr>
                <w:b/>
                <w:sz w:val="20"/>
              </w:rPr>
              <w:t>ΕΠΕΞΗΓΗΣΗ ΟΡΟΥ</w:t>
            </w:r>
          </w:p>
        </w:tc>
      </w:tr>
      <w:tr>
        <w:trPr>
          <w:trHeight w:val="1591" w:hRule="exact"/>
        </w:trPr>
        <w:tc>
          <w:tcPr>
            <w:tcW w:w="3243" w:type="dxa"/>
          </w:tcPr>
          <w:p>
            <w:pPr>
              <w:pStyle w:val="TableParagraph"/>
              <w:rPr>
                <w:rFonts w:ascii="Times New Roman"/>
                <w:sz w:val="22"/>
              </w:rPr>
            </w:pPr>
          </w:p>
          <w:p>
            <w:pPr>
              <w:pStyle w:val="TableParagraph"/>
              <w:rPr>
                <w:rFonts w:ascii="Times New Roman"/>
                <w:sz w:val="22"/>
              </w:rPr>
            </w:pPr>
          </w:p>
          <w:p>
            <w:pPr>
              <w:pStyle w:val="TableParagraph"/>
              <w:spacing w:before="148"/>
              <w:ind w:left="175"/>
              <w:rPr>
                <w:b/>
                <w:sz w:val="22"/>
              </w:rPr>
            </w:pPr>
            <w:r>
              <w:rPr>
                <w:b/>
                <w:sz w:val="22"/>
              </w:rPr>
              <w:t>ΔΑ</w:t>
            </w:r>
          </w:p>
        </w:tc>
        <w:tc>
          <w:tcPr>
            <w:tcW w:w="7134" w:type="dxa"/>
          </w:tcPr>
          <w:p>
            <w:pPr>
              <w:pStyle w:val="TableParagraph"/>
              <w:spacing w:before="117"/>
              <w:ind w:left="103" w:right="101"/>
              <w:jc w:val="both"/>
              <w:rPr>
                <w:sz w:val="22"/>
              </w:rPr>
            </w:pPr>
            <w:r>
              <w:rPr>
                <w:sz w:val="22"/>
              </w:rPr>
              <w:t>Διαχειριστική Αρχή: Εθνική, περιφερειακή ή τοπική δημόσια αρχή ή δημόσιος ή ιδιωτικός φορέας, που ορίζεται από το κράτος µέλος για τη διαχείριση του Επιχειρησιακού Προγράμματος. Για την παρούσα Πρόσκληση, είναι η Ειδική Υπηρεσία Διαχείρισης Ε.Π. Περιφέρειας Θεσσαλίας.</w:t>
            </w:r>
          </w:p>
        </w:tc>
      </w:tr>
      <w:tr>
        <w:trPr>
          <w:trHeight w:val="3207" w:hRule="exact"/>
        </w:trPr>
        <w:tc>
          <w:tcPr>
            <w:tcW w:w="324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96"/>
              <w:ind w:left="175"/>
              <w:rPr>
                <w:b/>
                <w:sz w:val="22"/>
              </w:rPr>
            </w:pPr>
            <w:r>
              <w:rPr>
                <w:b/>
                <w:sz w:val="22"/>
              </w:rPr>
              <w:t>Δημόσια Δαπάνη</w:t>
            </w:r>
          </w:p>
        </w:tc>
        <w:tc>
          <w:tcPr>
            <w:tcW w:w="7134" w:type="dxa"/>
          </w:tcPr>
          <w:p>
            <w:pPr>
              <w:pStyle w:val="TableParagraph"/>
              <w:spacing w:before="119"/>
              <w:ind w:left="103" w:right="100"/>
              <w:jc w:val="both"/>
              <w:rPr>
                <w:sz w:val="22"/>
              </w:rPr>
            </w:pPr>
            <w:r>
              <w:rPr>
                <w:sz w:val="22"/>
              </w:rPr>
              <w:t>Κάθε δημόσια συνεισφορά στη χρηματοδότηση πράξεων από τον κρατικό προϋπολογισμό, τον προϋπολογισμό περιφερειακών ή τοπικών αρχών ή τον προϋπολογισμό των Ευρωπαϊκών Κοινοτήτων στα πλαίσια των διαρθρωτικών ταμείων και του Ταμείου Συνοχής, καθώς και κάθε παρόμοια δαπάνη. Κάθε συμμετοχή στη χρηματοδότηση από τον προϋπολογισμό πράξεων φορέων ή ενώσεων του δημόσιου τομέα, ενός ή περισσοτέρων περιφερειακών ή τοπικών αρχών ή φορέων του δημόσιου τομέα που ενεργούν σύμφωνα µε την οδηγία 2004/18/EΚ του Ευρωπαϊκού Κοινοβουλίου και του Συμβουλίου, ενός 31ης Μαρτίου 2004, περί συντονισμού των διαδικασιών σύναψης δημοσίων συμβάσεων έργων, προμηθειών και υπηρεσιών νοείται ως παρεμφερής δαπάνη.</w:t>
            </w:r>
          </w:p>
        </w:tc>
      </w:tr>
      <w:tr>
        <w:trPr>
          <w:trHeight w:val="785" w:hRule="exact"/>
        </w:trPr>
        <w:tc>
          <w:tcPr>
            <w:tcW w:w="3243" w:type="dxa"/>
          </w:tcPr>
          <w:p>
            <w:pPr>
              <w:pStyle w:val="TableParagraph"/>
              <w:spacing w:before="9"/>
              <w:rPr>
                <w:rFonts w:ascii="Times New Roman"/>
                <w:sz w:val="21"/>
              </w:rPr>
            </w:pPr>
          </w:p>
          <w:p>
            <w:pPr>
              <w:pStyle w:val="TableParagraph"/>
              <w:spacing w:before="1"/>
              <w:ind w:left="175"/>
              <w:rPr>
                <w:b/>
                <w:sz w:val="22"/>
              </w:rPr>
            </w:pPr>
            <w:r>
              <w:rPr>
                <w:b/>
                <w:sz w:val="22"/>
              </w:rPr>
              <w:t>Δημοσιονομική διόρθωση</w:t>
            </w:r>
          </w:p>
        </w:tc>
        <w:tc>
          <w:tcPr>
            <w:tcW w:w="7134" w:type="dxa"/>
          </w:tcPr>
          <w:p>
            <w:pPr>
              <w:pStyle w:val="TableParagraph"/>
              <w:spacing w:before="117"/>
              <w:ind w:left="103" w:right="104"/>
              <w:rPr>
                <w:sz w:val="22"/>
              </w:rPr>
            </w:pPr>
            <w:r>
              <w:rPr>
                <w:sz w:val="22"/>
              </w:rPr>
              <w:t>Η ακύρωση του συνόλου ή μέρους της Κοινοτικής ή/και της Εθνικής συμμετοχής σε ένα έργο ή σε μία πράξη</w:t>
            </w:r>
          </w:p>
        </w:tc>
      </w:tr>
      <w:tr>
        <w:trPr>
          <w:trHeight w:val="648" w:hRule="exact"/>
        </w:trPr>
        <w:tc>
          <w:tcPr>
            <w:tcW w:w="3243" w:type="dxa"/>
          </w:tcPr>
          <w:p>
            <w:pPr>
              <w:pStyle w:val="TableParagraph"/>
              <w:spacing w:before="184"/>
              <w:ind w:left="175"/>
              <w:rPr>
                <w:b/>
                <w:sz w:val="22"/>
              </w:rPr>
            </w:pPr>
            <w:r>
              <w:rPr>
                <w:b/>
                <w:sz w:val="22"/>
              </w:rPr>
              <w:t>ΔΙΑΠ ΠΘ</w:t>
            </w:r>
          </w:p>
        </w:tc>
        <w:tc>
          <w:tcPr>
            <w:tcW w:w="7134" w:type="dxa"/>
          </w:tcPr>
          <w:p>
            <w:pPr>
              <w:pStyle w:val="TableParagraph"/>
              <w:spacing w:before="184"/>
              <w:ind w:left="103"/>
              <w:rPr>
                <w:sz w:val="22"/>
              </w:rPr>
            </w:pPr>
            <w:r>
              <w:rPr>
                <w:sz w:val="22"/>
              </w:rPr>
              <w:t>Διεύθυνση Αναπτυξιακού Προγραμματισμού Περιφέρειας Θεσσαλίας</w:t>
            </w:r>
          </w:p>
        </w:tc>
      </w:tr>
      <w:tr>
        <w:trPr>
          <w:trHeight w:val="1325" w:hRule="exact"/>
        </w:trPr>
        <w:tc>
          <w:tcPr>
            <w:tcW w:w="3243" w:type="dxa"/>
          </w:tcPr>
          <w:p>
            <w:pPr>
              <w:pStyle w:val="TableParagraph"/>
              <w:rPr>
                <w:rFonts w:ascii="Times New Roman"/>
                <w:sz w:val="22"/>
              </w:rPr>
            </w:pPr>
          </w:p>
          <w:p>
            <w:pPr>
              <w:pStyle w:val="TableParagraph"/>
              <w:spacing w:before="5"/>
              <w:rPr>
                <w:rFonts w:ascii="Times New Roman"/>
                <w:sz w:val="23"/>
              </w:rPr>
            </w:pPr>
          </w:p>
          <w:p>
            <w:pPr>
              <w:pStyle w:val="TableParagraph"/>
              <w:ind w:left="175"/>
              <w:rPr>
                <w:b/>
                <w:sz w:val="22"/>
              </w:rPr>
            </w:pPr>
            <w:r>
              <w:rPr>
                <w:b/>
                <w:sz w:val="22"/>
              </w:rPr>
              <w:t>Δικαιούχος</w:t>
            </w:r>
          </w:p>
        </w:tc>
        <w:tc>
          <w:tcPr>
            <w:tcW w:w="7134" w:type="dxa"/>
          </w:tcPr>
          <w:p>
            <w:pPr>
              <w:pStyle w:val="TableParagraph"/>
              <w:spacing w:before="119"/>
              <w:ind w:left="103" w:right="101"/>
              <w:jc w:val="both"/>
              <w:rPr>
                <w:sz w:val="22"/>
              </w:rPr>
            </w:pPr>
            <w:r>
              <w:rPr>
                <w:sz w:val="22"/>
              </w:rPr>
              <w:t>Δημόσιος ή ιδιωτικός φορέας που εκτελεί έργο και λαμβάνει δημόσια ενίσχυση. Είναι ο τελικός αποδέκτης της δημόσιας δαπάνης. Στο πλαίσιο της παρούσας δράσης ως δικαιούχος νοείται κάθε φορέας που συνεργάζεται  για την υλοποίηση του</w:t>
            </w:r>
            <w:r>
              <w:rPr>
                <w:spacing w:val="-8"/>
                <w:sz w:val="22"/>
              </w:rPr>
              <w:t> </w:t>
            </w:r>
            <w:r>
              <w:rPr>
                <w:sz w:val="22"/>
              </w:rPr>
              <w:t>έργου.</w:t>
            </w:r>
          </w:p>
        </w:tc>
      </w:tr>
      <w:tr>
        <w:trPr>
          <w:trHeight w:val="1325" w:hRule="exact"/>
        </w:trPr>
        <w:tc>
          <w:tcPr>
            <w:tcW w:w="3243" w:type="dxa"/>
          </w:tcPr>
          <w:p>
            <w:pPr>
              <w:pStyle w:val="TableParagraph"/>
              <w:rPr>
                <w:rFonts w:ascii="Times New Roman"/>
                <w:sz w:val="22"/>
              </w:rPr>
            </w:pPr>
          </w:p>
          <w:p>
            <w:pPr>
              <w:pStyle w:val="TableParagraph"/>
              <w:spacing w:before="2"/>
              <w:rPr>
                <w:rFonts w:ascii="Times New Roman"/>
                <w:sz w:val="23"/>
              </w:rPr>
            </w:pPr>
          </w:p>
          <w:p>
            <w:pPr>
              <w:pStyle w:val="TableParagraph"/>
              <w:ind w:left="103"/>
              <w:rPr>
                <w:b/>
                <w:sz w:val="22"/>
              </w:rPr>
            </w:pPr>
            <w:r>
              <w:rPr>
                <w:b/>
                <w:sz w:val="22"/>
              </w:rPr>
              <w:t>Δράση</w:t>
            </w:r>
          </w:p>
        </w:tc>
        <w:tc>
          <w:tcPr>
            <w:tcW w:w="7134" w:type="dxa"/>
          </w:tcPr>
          <w:p>
            <w:pPr>
              <w:pStyle w:val="TableParagraph"/>
              <w:spacing w:before="117"/>
              <w:ind w:left="103" w:right="98"/>
              <w:jc w:val="both"/>
              <w:rPr>
                <w:sz w:val="22"/>
              </w:rPr>
            </w:pPr>
            <w:r>
              <w:rPr>
                <w:sz w:val="22"/>
              </w:rPr>
              <w:t>Σύνολο ενεργειών που πραγματοποιούνται για την υλοποίηση των στόχων που τίθενται από τους άξονες προτεραιότητας του ΕΠ Θεσσαλίας 2014- 2020. Κάθε δράση, μπορεί να υλοποιείται μέσω μίας ή περισσότερων πράξεων.</w:t>
            </w:r>
          </w:p>
        </w:tc>
      </w:tr>
      <w:tr>
        <w:trPr>
          <w:trHeight w:val="2129" w:hRule="exact"/>
        </w:trPr>
        <w:tc>
          <w:tcPr>
            <w:tcW w:w="324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5"/>
              <w:ind w:left="103"/>
              <w:rPr>
                <w:b/>
                <w:sz w:val="22"/>
              </w:rPr>
            </w:pPr>
            <w:r>
              <w:rPr>
                <w:b/>
                <w:sz w:val="22"/>
              </w:rPr>
              <w:t>ΕΔΕΤ</w:t>
            </w:r>
          </w:p>
        </w:tc>
        <w:tc>
          <w:tcPr>
            <w:tcW w:w="7134" w:type="dxa"/>
          </w:tcPr>
          <w:p>
            <w:pPr>
              <w:pStyle w:val="TableParagraph"/>
              <w:spacing w:before="117"/>
              <w:ind w:left="103" w:right="105"/>
              <w:jc w:val="both"/>
              <w:rPr>
                <w:sz w:val="22"/>
              </w:rPr>
            </w:pPr>
            <w:r>
              <w:rPr>
                <w:sz w:val="22"/>
              </w:rPr>
              <w:t>Ευρωπαϊκά Διαρθρωτικά και Επενδυτικά Ταμεία: τα Ευρωπαϊκά Διαρθρωτικά Ταμεία: α) Ευρωπαϊκό Ταμείο Περιφερειακής Ανάπτυξης (ΕΤΠΑ), β) Ευρωπαϊκό Κοινωνικό Ταμείο (ΕΚΤ), γ) Ταμείο Συνοχής και τα Επενδυτικά Ταμεία: α) Ευρωπαϊκό Γεωργικό Ταμείο Αγροτικής Ανάπτυξης (ΕΓΤΑΑ) και β) Ευρωπαϊκό Ταμείο Θάλασσας και Αλιείας (ΕΤΘΑ), τα οποία λειτουργούν βάσει ενός κοινού πλαισίου που ορίζεται από τους κανονισμούς της Ευρωπαϊκής</w:t>
            </w:r>
            <w:r>
              <w:rPr>
                <w:spacing w:val="-7"/>
                <w:sz w:val="22"/>
              </w:rPr>
              <w:t> </w:t>
            </w:r>
            <w:r>
              <w:rPr>
                <w:sz w:val="22"/>
              </w:rPr>
              <w:t>Ένωσης.</w:t>
            </w:r>
          </w:p>
        </w:tc>
      </w:tr>
      <w:tr>
        <w:trPr>
          <w:trHeight w:val="521" w:hRule="exact"/>
        </w:trPr>
        <w:tc>
          <w:tcPr>
            <w:tcW w:w="3243" w:type="dxa"/>
          </w:tcPr>
          <w:p>
            <w:pPr>
              <w:pStyle w:val="TableParagraph"/>
              <w:spacing w:before="119"/>
              <w:ind w:left="103"/>
              <w:rPr>
                <w:b/>
                <w:sz w:val="22"/>
              </w:rPr>
            </w:pPr>
            <w:r>
              <w:rPr>
                <w:b/>
                <w:sz w:val="22"/>
              </w:rPr>
              <w:t>ΕΕ</w:t>
            </w:r>
          </w:p>
        </w:tc>
        <w:tc>
          <w:tcPr>
            <w:tcW w:w="7134" w:type="dxa"/>
          </w:tcPr>
          <w:p>
            <w:pPr>
              <w:pStyle w:val="TableParagraph"/>
              <w:spacing w:before="119"/>
              <w:ind w:left="103"/>
              <w:rPr>
                <w:sz w:val="22"/>
              </w:rPr>
            </w:pPr>
            <w:r>
              <w:rPr>
                <w:sz w:val="22"/>
              </w:rPr>
              <w:t>Ευρωπαϊκή Ένωση</w:t>
            </w:r>
          </w:p>
        </w:tc>
      </w:tr>
    </w:tbl>
    <w:p>
      <w:pPr>
        <w:spacing w:after="0"/>
        <w:rPr>
          <w:sz w:val="22"/>
        </w:rPr>
        <w:sectPr>
          <w:pgSz w:w="11910" w:h="16840"/>
          <w:pgMar w:header="748" w:footer="734" w:top="1420" w:bottom="920" w:left="660" w:right="640"/>
        </w:sectPr>
      </w:pPr>
    </w:p>
    <w:p>
      <w:pPr>
        <w:pStyle w:val="BodyText"/>
        <w:spacing w:before="10"/>
        <w:rPr>
          <w:rFonts w:ascii="Times New Roman"/>
          <w:sz w:val="23"/>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3"/>
        <w:gridCol w:w="7134"/>
      </w:tblGrid>
      <w:tr>
        <w:trPr>
          <w:trHeight w:val="617" w:hRule="exact"/>
        </w:trPr>
        <w:tc>
          <w:tcPr>
            <w:tcW w:w="3243" w:type="dxa"/>
            <w:shd w:val="clear" w:color="auto" w:fill="C0C0C0"/>
          </w:tcPr>
          <w:p>
            <w:pPr>
              <w:pStyle w:val="TableParagraph"/>
              <w:spacing w:before="119"/>
              <w:ind w:left="1361" w:right="1361"/>
              <w:jc w:val="center"/>
              <w:rPr>
                <w:b/>
                <w:sz w:val="20"/>
              </w:rPr>
            </w:pPr>
            <w:r>
              <w:rPr>
                <w:b/>
                <w:sz w:val="20"/>
              </w:rPr>
              <w:t>ΟΡΟΣ</w:t>
            </w:r>
          </w:p>
        </w:tc>
        <w:tc>
          <w:tcPr>
            <w:tcW w:w="7134" w:type="dxa"/>
            <w:shd w:val="clear" w:color="auto" w:fill="C0C0C0"/>
          </w:tcPr>
          <w:p>
            <w:pPr>
              <w:pStyle w:val="TableParagraph"/>
              <w:spacing w:before="119"/>
              <w:ind w:left="2791" w:right="2793"/>
              <w:jc w:val="center"/>
              <w:rPr>
                <w:b/>
                <w:sz w:val="20"/>
              </w:rPr>
            </w:pPr>
            <w:r>
              <w:rPr>
                <w:b/>
                <w:sz w:val="20"/>
              </w:rPr>
              <w:t>ΕΠΕΞΗΓΗΣΗ ΟΡΟΥ</w:t>
            </w:r>
          </w:p>
        </w:tc>
      </w:tr>
      <w:tr>
        <w:trPr>
          <w:trHeight w:val="1860" w:hRule="exact"/>
        </w:trPr>
        <w:tc>
          <w:tcPr>
            <w:tcW w:w="3243"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4"/>
              </w:rPr>
            </w:pPr>
          </w:p>
          <w:p>
            <w:pPr>
              <w:pStyle w:val="TableParagraph"/>
              <w:ind w:left="103"/>
              <w:rPr>
                <w:b/>
                <w:sz w:val="22"/>
              </w:rPr>
            </w:pPr>
            <w:r>
              <w:rPr>
                <w:b/>
                <w:sz w:val="22"/>
              </w:rPr>
              <w:t>Έναρξη εργασιών</w:t>
            </w:r>
          </w:p>
        </w:tc>
        <w:tc>
          <w:tcPr>
            <w:tcW w:w="7134" w:type="dxa"/>
          </w:tcPr>
          <w:p>
            <w:pPr>
              <w:pStyle w:val="TableParagraph"/>
              <w:spacing w:before="117"/>
              <w:ind w:left="103" w:right="103"/>
              <w:jc w:val="both"/>
              <w:rPr>
                <w:sz w:val="22"/>
              </w:rPr>
            </w:pPr>
            <w:r>
              <w:rPr>
                <w:sz w:val="22"/>
              </w:rPr>
              <w:t>Το πρώτο χρονικά μεταξύ είτε της έναρξης των κατασκευαστικών εργασιών που αφορούν την επένδυση είτε της πρώτης νομικά δεσμευτικής ανάληψης υποχρέωσης για την παραγγελία εξοπλισμού είτε άλλης ανάληψης υποχρέωσης που καθιστά μη αναστρέψιμη την επένδυση. Η αγορά γης και οι προπαρασκευαστικές εργασίες, όπως η λήψη αδειών και η εκπόνηση μελετών σκοπιμότητας, δεν θεωρούνται έναρξη των</w:t>
            </w:r>
            <w:r>
              <w:rPr>
                <w:spacing w:val="-11"/>
                <w:sz w:val="22"/>
              </w:rPr>
              <w:t> </w:t>
            </w:r>
            <w:r>
              <w:rPr>
                <w:sz w:val="22"/>
              </w:rPr>
              <w:t>εργασιών.</w:t>
            </w:r>
          </w:p>
        </w:tc>
      </w:tr>
      <w:tr>
        <w:trPr>
          <w:trHeight w:val="5687" w:hRule="exact"/>
        </w:trPr>
        <w:tc>
          <w:tcPr>
            <w:tcW w:w="324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2"/>
              <w:ind w:left="103"/>
              <w:rPr>
                <w:b/>
                <w:sz w:val="22"/>
              </w:rPr>
            </w:pPr>
            <w:r>
              <w:rPr>
                <w:b/>
                <w:sz w:val="22"/>
              </w:rPr>
              <w:t>Ενιαία Επιχείρηση</w:t>
            </w:r>
          </w:p>
        </w:tc>
        <w:tc>
          <w:tcPr>
            <w:tcW w:w="7134" w:type="dxa"/>
          </w:tcPr>
          <w:p>
            <w:pPr>
              <w:pStyle w:val="TableParagraph"/>
              <w:spacing w:before="119"/>
              <w:ind w:left="103" w:right="100"/>
              <w:jc w:val="both"/>
              <w:rPr>
                <w:sz w:val="22"/>
              </w:rPr>
            </w:pPr>
            <w:r>
              <w:rPr>
                <w:sz w:val="22"/>
              </w:rPr>
              <w:t>Στην «ενιαία επιχείρηση» περιλαμβάνονται, για τους σκοπούς του κανονισμού Ε.Ε. 1407/2013, όλες οι επιχειρήσεις που έχουν τουλάχιστον μία από τις ακόλουθες σχέσεις μεταξύ τους:</w:t>
            </w:r>
          </w:p>
          <w:p>
            <w:pPr>
              <w:pStyle w:val="TableParagraph"/>
              <w:spacing w:before="120"/>
              <w:ind w:left="103" w:right="101"/>
              <w:jc w:val="both"/>
              <w:rPr>
                <w:sz w:val="22"/>
              </w:rPr>
            </w:pPr>
            <w:r>
              <w:rPr>
                <w:sz w:val="22"/>
              </w:rPr>
              <w:t>α) μια επιχείρηση κατέχει την πλειοψηφία των δικαιωμάτων ψήφου των μετόχων ή των εταίρων άλλης επιχείρησης·</w:t>
            </w:r>
          </w:p>
          <w:p>
            <w:pPr>
              <w:pStyle w:val="TableParagraph"/>
              <w:spacing w:before="120"/>
              <w:ind w:left="103" w:right="101"/>
              <w:jc w:val="both"/>
              <w:rPr>
                <w:sz w:val="22"/>
              </w:rPr>
            </w:pPr>
            <w:r>
              <w:rPr>
                <w:sz w:val="22"/>
              </w:rPr>
              <w:t>β) μια επιχείρηση έχει το δικαίωμα να διορίζει ή να παύει την πλειοψηφία των μελών του διοικητικού, διαχειριστικού ή εποπτικού οργάνου άλλης επιχείρησης·</w:t>
            </w:r>
          </w:p>
          <w:p>
            <w:pPr>
              <w:pStyle w:val="TableParagraph"/>
              <w:spacing w:before="120"/>
              <w:ind w:left="103" w:right="100"/>
              <w:jc w:val="both"/>
              <w:rPr>
                <w:sz w:val="22"/>
              </w:rPr>
            </w:pPr>
            <w:r>
              <w:rPr>
                <w:sz w:val="22"/>
              </w:rPr>
              <w:t>γ) μια επιχείρηση έχει το δικαίωμα να ασκεί δεσπόζουσα επιρροή σε άλλη επιχείρηση βάσει σύμβασης που έχει συνάψει με αυτήν ή δυνάμει ρήτρας του καταστατικού αυτής της τελευταίας·</w:t>
            </w:r>
          </w:p>
          <w:p>
            <w:pPr>
              <w:pStyle w:val="TableParagraph"/>
              <w:spacing w:before="118"/>
              <w:ind w:left="103" w:right="100"/>
              <w:jc w:val="both"/>
              <w:rPr>
                <w:sz w:val="22"/>
              </w:rPr>
            </w:pPr>
            <w:r>
              <w:rPr>
                <w:sz w:val="22"/>
              </w:rPr>
              <w:t>δ) μια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w:t>
            </w:r>
            <w:r>
              <w:rPr>
                <w:spacing w:val="-9"/>
                <w:sz w:val="22"/>
              </w:rPr>
              <w:t> </w:t>
            </w:r>
            <w:r>
              <w:rPr>
                <w:sz w:val="22"/>
              </w:rPr>
              <w:t>επιχείρησης.</w:t>
            </w:r>
          </w:p>
          <w:p>
            <w:pPr>
              <w:pStyle w:val="TableParagraph"/>
              <w:spacing w:before="120"/>
              <w:ind w:left="103" w:right="100"/>
              <w:jc w:val="both"/>
              <w:rPr>
                <w:sz w:val="22"/>
              </w:rPr>
            </w:pPr>
            <w:r>
              <w:rPr>
                <w:sz w:val="22"/>
              </w:rPr>
              <w:t>Οι επιχειρήσεις που έχουν οποιαδήποτε από τις σχέσεις που αναφέρονται στα στοιχεία α) έως δ) του πρώτου εδαφίου με μία ή περισσότερες άλλες επιχειρήσεις θεωρούνται, επίσης ενιαία επιχείρηση.</w:t>
            </w:r>
          </w:p>
        </w:tc>
      </w:tr>
      <w:tr>
        <w:trPr>
          <w:trHeight w:val="787" w:hRule="exact"/>
        </w:trPr>
        <w:tc>
          <w:tcPr>
            <w:tcW w:w="3243" w:type="dxa"/>
          </w:tcPr>
          <w:p>
            <w:pPr>
              <w:pStyle w:val="TableParagraph"/>
              <w:spacing w:before="9"/>
              <w:rPr>
                <w:rFonts w:ascii="Times New Roman"/>
                <w:sz w:val="21"/>
              </w:rPr>
            </w:pPr>
          </w:p>
          <w:p>
            <w:pPr>
              <w:pStyle w:val="TableParagraph"/>
              <w:spacing w:before="1"/>
              <w:ind w:left="103"/>
              <w:rPr>
                <w:b/>
                <w:sz w:val="22"/>
              </w:rPr>
            </w:pPr>
            <w:r>
              <w:rPr>
                <w:b/>
                <w:sz w:val="22"/>
              </w:rPr>
              <w:t>Ενίσχυση/Δημόσια Δαπάνη</w:t>
            </w:r>
          </w:p>
        </w:tc>
        <w:tc>
          <w:tcPr>
            <w:tcW w:w="7134" w:type="dxa"/>
          </w:tcPr>
          <w:p>
            <w:pPr>
              <w:pStyle w:val="TableParagraph"/>
              <w:spacing w:before="117"/>
              <w:ind w:left="103" w:right="104"/>
              <w:rPr>
                <w:sz w:val="22"/>
              </w:rPr>
            </w:pPr>
            <w:r>
              <w:rPr>
                <w:sz w:val="22"/>
              </w:rPr>
              <w:t>Κάθε δημόσια συνεισφορά στη χρηματοδότηση πράξεων/έργων. (βλ. Δημόσια Δαπάνη)</w:t>
            </w:r>
          </w:p>
        </w:tc>
      </w:tr>
      <w:tr>
        <w:trPr>
          <w:trHeight w:val="1057" w:hRule="exact"/>
        </w:trPr>
        <w:tc>
          <w:tcPr>
            <w:tcW w:w="3243" w:type="dxa"/>
          </w:tcPr>
          <w:p>
            <w:pPr>
              <w:pStyle w:val="TableParagraph"/>
              <w:rPr>
                <w:rFonts w:ascii="Times New Roman"/>
                <w:sz w:val="22"/>
              </w:rPr>
            </w:pPr>
          </w:p>
          <w:p>
            <w:pPr>
              <w:pStyle w:val="TableParagraph"/>
              <w:spacing w:before="132"/>
              <w:ind w:left="103"/>
              <w:rPr>
                <w:b/>
                <w:sz w:val="22"/>
              </w:rPr>
            </w:pPr>
            <w:r>
              <w:rPr>
                <w:b/>
                <w:sz w:val="22"/>
              </w:rPr>
              <w:t>Ενισχύσεις Ήσσονος Σημασίας</w:t>
            </w:r>
          </w:p>
        </w:tc>
        <w:tc>
          <w:tcPr>
            <w:tcW w:w="7134" w:type="dxa"/>
          </w:tcPr>
          <w:p>
            <w:pPr>
              <w:pStyle w:val="TableParagraph"/>
              <w:spacing w:before="117"/>
              <w:ind w:left="103" w:right="100"/>
              <w:jc w:val="both"/>
              <w:rPr>
                <w:sz w:val="22"/>
              </w:rPr>
            </w:pPr>
            <w:r>
              <w:rPr>
                <w:sz w:val="22"/>
              </w:rPr>
              <w:t>Το συνολικό ποσό των ενισχύσεων ήσσονος σημασίας που χορηγούνται ανά κράτος μέλος σε μία ενιαία επιχείρηση δεν υπερβαίνει το ποσό των 200,000 ευρώ σε οποιαδήποτε περίοδο τριών οικονομικών ετών.</w:t>
            </w:r>
          </w:p>
        </w:tc>
      </w:tr>
      <w:tr>
        <w:trPr>
          <w:trHeight w:val="785" w:hRule="exact"/>
        </w:trPr>
        <w:tc>
          <w:tcPr>
            <w:tcW w:w="3243" w:type="dxa"/>
          </w:tcPr>
          <w:p>
            <w:pPr>
              <w:pStyle w:val="TableParagraph"/>
              <w:spacing w:before="9"/>
              <w:rPr>
                <w:rFonts w:ascii="Times New Roman"/>
                <w:sz w:val="21"/>
              </w:rPr>
            </w:pPr>
          </w:p>
          <w:p>
            <w:pPr>
              <w:pStyle w:val="TableParagraph"/>
              <w:spacing w:before="1"/>
              <w:ind w:left="103"/>
              <w:rPr>
                <w:b/>
                <w:sz w:val="22"/>
              </w:rPr>
            </w:pPr>
            <w:r>
              <w:rPr>
                <w:b/>
                <w:sz w:val="22"/>
              </w:rPr>
              <w:t>Ενσώματα στοιχεία ενεργητικού</w:t>
            </w:r>
          </w:p>
        </w:tc>
        <w:tc>
          <w:tcPr>
            <w:tcW w:w="7134" w:type="dxa"/>
          </w:tcPr>
          <w:p>
            <w:pPr>
              <w:pStyle w:val="TableParagraph"/>
              <w:spacing w:before="117"/>
              <w:ind w:left="103" w:right="104"/>
              <w:rPr>
                <w:sz w:val="22"/>
              </w:rPr>
            </w:pPr>
            <w:r>
              <w:rPr>
                <w:sz w:val="22"/>
              </w:rPr>
              <w:t>Τα στοιχεία ενεργητικού που συνίστανται σε γήπεδα, κτίρια και μονάδα παραγωγής, μηχανήματα και εξοπλισμό.</w:t>
            </w:r>
          </w:p>
        </w:tc>
      </w:tr>
      <w:tr>
        <w:trPr>
          <w:trHeight w:val="1594" w:hRule="exact"/>
        </w:trPr>
        <w:tc>
          <w:tcPr>
            <w:tcW w:w="3243" w:type="dxa"/>
          </w:tcPr>
          <w:p>
            <w:pPr>
              <w:pStyle w:val="TableParagraph"/>
              <w:rPr>
                <w:rFonts w:ascii="Times New Roman"/>
                <w:sz w:val="22"/>
              </w:rPr>
            </w:pPr>
          </w:p>
          <w:p>
            <w:pPr>
              <w:pStyle w:val="TableParagraph"/>
              <w:rPr>
                <w:rFonts w:ascii="Times New Roman"/>
                <w:sz w:val="22"/>
              </w:rPr>
            </w:pPr>
          </w:p>
          <w:p>
            <w:pPr>
              <w:pStyle w:val="TableParagraph"/>
              <w:spacing w:before="148"/>
              <w:ind w:left="103"/>
              <w:rPr>
                <w:b/>
                <w:sz w:val="22"/>
              </w:rPr>
            </w:pPr>
            <w:r>
              <w:rPr>
                <w:b/>
                <w:sz w:val="22"/>
              </w:rPr>
              <w:t>ΕΠ</w:t>
            </w:r>
          </w:p>
        </w:tc>
        <w:tc>
          <w:tcPr>
            <w:tcW w:w="7134" w:type="dxa"/>
          </w:tcPr>
          <w:p>
            <w:pPr>
              <w:pStyle w:val="TableParagraph"/>
              <w:spacing w:before="119"/>
              <w:ind w:left="103" w:right="102"/>
              <w:jc w:val="both"/>
              <w:rPr>
                <w:sz w:val="22"/>
              </w:rPr>
            </w:pPr>
            <w:r>
              <w:rPr>
                <w:sz w:val="22"/>
              </w:rPr>
              <w:t>Επιχειρησιακό Πρόγραμμα: Έγγραφο το οποίο καταρτίζεται από τα αρμόδια Υπουργεία, Περιφέρειες και τους λοιπούς αρμόδιους εταίρους και εγκρίνεται από την Ευρωπαϊκή Επιτροπή και το οποίο καθορίζει µία αναπτυξιακή στρατηγική που θα επιτευχθεί µε τη συνδρομή ενός ή περισσοτέρων</w:t>
            </w:r>
            <w:r>
              <w:rPr>
                <w:spacing w:val="-1"/>
                <w:sz w:val="22"/>
              </w:rPr>
              <w:t> </w:t>
            </w:r>
            <w:r>
              <w:rPr>
                <w:sz w:val="22"/>
              </w:rPr>
              <w:t>ΕΔΕΤ.</w:t>
            </w:r>
          </w:p>
        </w:tc>
      </w:tr>
      <w:tr>
        <w:trPr>
          <w:trHeight w:val="518" w:hRule="exact"/>
        </w:trPr>
        <w:tc>
          <w:tcPr>
            <w:tcW w:w="3243" w:type="dxa"/>
          </w:tcPr>
          <w:p>
            <w:pPr>
              <w:pStyle w:val="TableParagraph"/>
              <w:spacing w:before="117"/>
              <w:ind w:left="103"/>
              <w:rPr>
                <w:b/>
                <w:sz w:val="22"/>
              </w:rPr>
            </w:pPr>
            <w:r>
              <w:rPr>
                <w:b/>
                <w:sz w:val="22"/>
              </w:rPr>
              <w:t>ΕΠ ΠΘ</w:t>
            </w:r>
          </w:p>
        </w:tc>
        <w:tc>
          <w:tcPr>
            <w:tcW w:w="7134" w:type="dxa"/>
          </w:tcPr>
          <w:p>
            <w:pPr>
              <w:pStyle w:val="TableParagraph"/>
              <w:spacing w:before="117"/>
              <w:ind w:left="103"/>
              <w:rPr>
                <w:sz w:val="22"/>
              </w:rPr>
            </w:pPr>
            <w:r>
              <w:rPr>
                <w:sz w:val="22"/>
              </w:rPr>
              <w:t>Επιχειρησιακό Πρόγραμμα Περιφέρειας Θεσσαλίας</w:t>
            </w:r>
          </w:p>
        </w:tc>
      </w:tr>
    </w:tbl>
    <w:p>
      <w:pPr>
        <w:spacing w:after="0"/>
        <w:rPr>
          <w:sz w:val="22"/>
        </w:rPr>
        <w:sectPr>
          <w:pgSz w:w="11910" w:h="16840"/>
          <w:pgMar w:header="748" w:footer="734" w:top="1420" w:bottom="920" w:left="660" w:right="640"/>
        </w:sectPr>
      </w:pPr>
    </w:p>
    <w:p>
      <w:pPr>
        <w:pStyle w:val="BodyText"/>
        <w:spacing w:before="10"/>
        <w:rPr>
          <w:rFonts w:ascii="Times New Roman"/>
          <w:sz w:val="23"/>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3"/>
        <w:gridCol w:w="7134"/>
      </w:tblGrid>
      <w:tr>
        <w:trPr>
          <w:trHeight w:val="617" w:hRule="exact"/>
        </w:trPr>
        <w:tc>
          <w:tcPr>
            <w:tcW w:w="3243" w:type="dxa"/>
            <w:shd w:val="clear" w:color="auto" w:fill="C0C0C0"/>
          </w:tcPr>
          <w:p>
            <w:pPr>
              <w:pStyle w:val="TableParagraph"/>
              <w:spacing w:before="119"/>
              <w:ind w:left="1361" w:right="1361"/>
              <w:jc w:val="center"/>
              <w:rPr>
                <w:b/>
                <w:sz w:val="20"/>
              </w:rPr>
            </w:pPr>
            <w:r>
              <w:rPr>
                <w:b/>
                <w:sz w:val="20"/>
              </w:rPr>
              <w:t>ΟΡΟΣ</w:t>
            </w:r>
          </w:p>
        </w:tc>
        <w:tc>
          <w:tcPr>
            <w:tcW w:w="7134" w:type="dxa"/>
            <w:shd w:val="clear" w:color="auto" w:fill="C0C0C0"/>
          </w:tcPr>
          <w:p>
            <w:pPr>
              <w:pStyle w:val="TableParagraph"/>
              <w:spacing w:before="119"/>
              <w:ind w:left="2791" w:right="2793"/>
              <w:jc w:val="center"/>
              <w:rPr>
                <w:b/>
                <w:sz w:val="20"/>
              </w:rPr>
            </w:pPr>
            <w:r>
              <w:rPr>
                <w:b/>
                <w:sz w:val="20"/>
              </w:rPr>
              <w:t>ΕΠΕΞΗΓΗΣΗ ΟΡΟΥ</w:t>
            </w:r>
          </w:p>
        </w:tc>
      </w:tr>
      <w:tr>
        <w:trPr>
          <w:trHeight w:val="787" w:hRule="exact"/>
        </w:trPr>
        <w:tc>
          <w:tcPr>
            <w:tcW w:w="3243" w:type="dxa"/>
          </w:tcPr>
          <w:p>
            <w:pPr>
              <w:pStyle w:val="TableParagraph"/>
              <w:spacing w:before="9"/>
              <w:rPr>
                <w:rFonts w:ascii="Times New Roman"/>
                <w:sz w:val="21"/>
              </w:rPr>
            </w:pPr>
          </w:p>
          <w:p>
            <w:pPr>
              <w:pStyle w:val="TableParagraph"/>
              <w:spacing w:before="1"/>
              <w:ind w:left="103"/>
              <w:rPr>
                <w:b/>
                <w:sz w:val="22"/>
              </w:rPr>
            </w:pPr>
            <w:r>
              <w:rPr>
                <w:b/>
                <w:sz w:val="22"/>
              </w:rPr>
              <w:t>Επενδυτικό Σχέδιο (Ε/Σ)</w:t>
            </w:r>
          </w:p>
        </w:tc>
        <w:tc>
          <w:tcPr>
            <w:tcW w:w="7134" w:type="dxa"/>
          </w:tcPr>
          <w:p>
            <w:pPr>
              <w:pStyle w:val="TableParagraph"/>
              <w:tabs>
                <w:tab w:pos="539" w:val="left" w:leader="none"/>
                <w:tab w:pos="1417" w:val="left" w:leader="none"/>
                <w:tab w:pos="1966" w:val="left" w:leader="none"/>
                <w:tab w:pos="3061" w:val="left" w:leader="none"/>
                <w:tab w:pos="3629" w:val="left" w:leader="none"/>
                <w:tab w:pos="5764" w:val="left" w:leader="none"/>
                <w:tab w:pos="6392" w:val="left" w:leader="none"/>
              </w:tabs>
              <w:spacing w:before="117"/>
              <w:ind w:left="103" w:right="104"/>
              <w:rPr>
                <w:sz w:val="22"/>
              </w:rPr>
            </w:pPr>
            <w:r>
              <w:rPr>
                <w:sz w:val="22"/>
              </w:rPr>
              <w:t>Το</w:t>
              <w:tab/>
              <w:t>σύνολο</w:t>
              <w:tab/>
              <w:t>των</w:t>
              <w:tab/>
              <w:t>στοιχείων</w:t>
              <w:tab/>
              <w:t>που</w:t>
              <w:tab/>
              <w:t>συμπεριλαμβάνονται</w:t>
              <w:tab/>
              <w:t>στην</w:t>
              <w:tab/>
              <w:t>αίτηση χρηματοδότησης του δικαιούχου στο πλαίσιο της προκήρυξης της</w:t>
            </w:r>
            <w:r>
              <w:rPr>
                <w:spacing w:val="-12"/>
                <w:sz w:val="22"/>
              </w:rPr>
              <w:t> </w:t>
            </w:r>
            <w:r>
              <w:rPr>
                <w:sz w:val="22"/>
              </w:rPr>
              <w:t>δράσης</w:t>
            </w:r>
          </w:p>
        </w:tc>
      </w:tr>
      <w:tr>
        <w:trPr>
          <w:trHeight w:val="787" w:hRule="exact"/>
        </w:trPr>
        <w:tc>
          <w:tcPr>
            <w:tcW w:w="3243" w:type="dxa"/>
          </w:tcPr>
          <w:p>
            <w:pPr>
              <w:pStyle w:val="TableParagraph"/>
              <w:spacing w:before="117"/>
              <w:ind w:left="103" w:right="1481"/>
              <w:rPr>
                <w:b/>
                <w:sz w:val="22"/>
              </w:rPr>
            </w:pPr>
            <w:r>
              <w:rPr>
                <w:b/>
                <w:sz w:val="22"/>
              </w:rPr>
              <w:t>Επιχορηγούμενος Προϋπολογισμός</w:t>
            </w:r>
          </w:p>
        </w:tc>
        <w:tc>
          <w:tcPr>
            <w:tcW w:w="7134" w:type="dxa"/>
          </w:tcPr>
          <w:p>
            <w:pPr>
              <w:pStyle w:val="TableParagraph"/>
              <w:spacing w:before="9"/>
              <w:rPr>
                <w:rFonts w:ascii="Times New Roman"/>
                <w:sz w:val="21"/>
              </w:rPr>
            </w:pPr>
          </w:p>
          <w:p>
            <w:pPr>
              <w:pStyle w:val="TableParagraph"/>
              <w:spacing w:before="1"/>
              <w:ind w:left="103"/>
              <w:rPr>
                <w:sz w:val="22"/>
              </w:rPr>
            </w:pPr>
            <w:r>
              <w:rPr>
                <w:sz w:val="22"/>
              </w:rPr>
              <w:t>Δημόσια δαπάνη και ιδιωτική συμμετοχή</w:t>
            </w:r>
          </w:p>
        </w:tc>
      </w:tr>
      <w:tr>
        <w:trPr>
          <w:trHeight w:val="787" w:hRule="exact"/>
        </w:trPr>
        <w:tc>
          <w:tcPr>
            <w:tcW w:w="3243" w:type="dxa"/>
          </w:tcPr>
          <w:p>
            <w:pPr>
              <w:pStyle w:val="TableParagraph"/>
              <w:spacing w:before="9"/>
              <w:rPr>
                <w:rFonts w:ascii="Times New Roman"/>
                <w:sz w:val="21"/>
              </w:rPr>
            </w:pPr>
          </w:p>
          <w:p>
            <w:pPr>
              <w:pStyle w:val="TableParagraph"/>
              <w:spacing w:before="1"/>
              <w:ind w:left="103"/>
              <w:rPr>
                <w:b/>
                <w:sz w:val="22"/>
              </w:rPr>
            </w:pPr>
            <w:r>
              <w:rPr>
                <w:b/>
                <w:sz w:val="22"/>
              </w:rPr>
              <w:t>ΕΥΔ ΕΠ Θεσσαλίας</w:t>
            </w:r>
          </w:p>
        </w:tc>
        <w:tc>
          <w:tcPr>
            <w:tcW w:w="7134" w:type="dxa"/>
          </w:tcPr>
          <w:p>
            <w:pPr>
              <w:pStyle w:val="TableParagraph"/>
              <w:spacing w:before="117"/>
              <w:ind w:left="103" w:right="104"/>
              <w:rPr>
                <w:sz w:val="22"/>
              </w:rPr>
            </w:pPr>
            <w:r>
              <w:rPr>
                <w:sz w:val="22"/>
              </w:rPr>
              <w:t>Ειδική Υπηρεσία Διαχείρισης Επιχειρησιακού Προγράμματος Περιφέρειας Θεσσαλίας.</w:t>
            </w:r>
          </w:p>
        </w:tc>
      </w:tr>
      <w:tr>
        <w:trPr>
          <w:trHeight w:val="519" w:hRule="exact"/>
        </w:trPr>
        <w:tc>
          <w:tcPr>
            <w:tcW w:w="3243" w:type="dxa"/>
          </w:tcPr>
          <w:p>
            <w:pPr>
              <w:pStyle w:val="TableParagraph"/>
              <w:spacing w:before="117"/>
              <w:ind w:left="103"/>
              <w:rPr>
                <w:b/>
                <w:sz w:val="22"/>
              </w:rPr>
            </w:pPr>
            <w:r>
              <w:rPr>
                <w:b/>
                <w:sz w:val="22"/>
              </w:rPr>
              <w:t>Ευρωπαϊκή Επιτροπή</w:t>
            </w:r>
          </w:p>
        </w:tc>
        <w:tc>
          <w:tcPr>
            <w:tcW w:w="7134" w:type="dxa"/>
          </w:tcPr>
          <w:p>
            <w:pPr>
              <w:pStyle w:val="TableParagraph"/>
              <w:spacing w:before="117"/>
              <w:ind w:left="103"/>
              <w:rPr>
                <w:sz w:val="22"/>
              </w:rPr>
            </w:pPr>
            <w:r>
              <w:rPr>
                <w:sz w:val="22"/>
              </w:rPr>
              <w:t>Ευρωπαϊκή Επιτροπή (εφεξής Επιτροπή).</w:t>
            </w:r>
          </w:p>
        </w:tc>
      </w:tr>
      <w:tr>
        <w:trPr>
          <w:trHeight w:val="1325" w:hRule="exact"/>
        </w:trPr>
        <w:tc>
          <w:tcPr>
            <w:tcW w:w="3243" w:type="dxa"/>
          </w:tcPr>
          <w:p>
            <w:pPr>
              <w:pStyle w:val="TableParagraph"/>
              <w:rPr>
                <w:rFonts w:ascii="Times New Roman"/>
                <w:sz w:val="22"/>
              </w:rPr>
            </w:pPr>
          </w:p>
          <w:p>
            <w:pPr>
              <w:pStyle w:val="TableParagraph"/>
              <w:spacing w:before="2"/>
              <w:rPr>
                <w:rFonts w:ascii="Times New Roman"/>
                <w:sz w:val="23"/>
              </w:rPr>
            </w:pPr>
          </w:p>
          <w:p>
            <w:pPr>
              <w:pStyle w:val="TableParagraph"/>
              <w:ind w:left="103"/>
              <w:rPr>
                <w:b/>
                <w:sz w:val="22"/>
              </w:rPr>
            </w:pPr>
            <w:r>
              <w:rPr>
                <w:b/>
                <w:sz w:val="22"/>
              </w:rPr>
              <w:t>ΕΦ</w:t>
            </w:r>
          </w:p>
        </w:tc>
        <w:tc>
          <w:tcPr>
            <w:tcW w:w="7134" w:type="dxa"/>
          </w:tcPr>
          <w:p>
            <w:pPr>
              <w:pStyle w:val="TableParagraph"/>
              <w:spacing w:before="117"/>
              <w:ind w:left="103" w:right="104"/>
              <w:jc w:val="both"/>
              <w:rPr>
                <w:sz w:val="22"/>
              </w:rPr>
            </w:pPr>
            <w:r>
              <w:rPr>
                <w:sz w:val="22"/>
              </w:rPr>
              <w:t>Ενδιάμεσος Φορέας: Κάθε δημόσιος ή ιδιωτικός φορέας, που ενεργεί υπό την ευθύνη μιας διαχειριστικής αρχής ή αρχής πιστοποίησης ή εκτελεί καθήκοντα εξ ονόματος μίας τέτοιας αρχής σε σχέση µε δικαιούχους που υλοποιούν πράξεις. Για την παρούσα Πρόσκληση, είναι η ΔΙΑΠ ΠΘ.</w:t>
            </w:r>
          </w:p>
        </w:tc>
      </w:tr>
      <w:tr>
        <w:trPr>
          <w:trHeight w:val="518" w:hRule="exact"/>
        </w:trPr>
        <w:tc>
          <w:tcPr>
            <w:tcW w:w="3243" w:type="dxa"/>
          </w:tcPr>
          <w:p>
            <w:pPr>
              <w:pStyle w:val="TableParagraph"/>
              <w:spacing w:before="117"/>
              <w:ind w:left="103"/>
              <w:rPr>
                <w:b/>
                <w:sz w:val="22"/>
              </w:rPr>
            </w:pPr>
            <w:r>
              <w:rPr>
                <w:b/>
                <w:sz w:val="22"/>
              </w:rPr>
              <w:t>Ιδιωτική συμμετοχή</w:t>
            </w:r>
          </w:p>
        </w:tc>
        <w:tc>
          <w:tcPr>
            <w:tcW w:w="7134" w:type="dxa"/>
          </w:tcPr>
          <w:p>
            <w:pPr>
              <w:pStyle w:val="TableParagraph"/>
              <w:spacing w:before="117"/>
              <w:ind w:left="103"/>
              <w:rPr>
                <w:sz w:val="22"/>
              </w:rPr>
            </w:pPr>
            <w:r>
              <w:rPr>
                <w:sz w:val="22"/>
              </w:rPr>
              <w:t>Κάθε συμμετοχή από ιδιωτικά κεφάλαια για την υλοποίηση έργου</w:t>
            </w:r>
          </w:p>
        </w:tc>
      </w:tr>
      <w:tr>
        <w:trPr>
          <w:trHeight w:val="2398" w:hRule="exact"/>
        </w:trPr>
        <w:tc>
          <w:tcPr>
            <w:tcW w:w="324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5"/>
              </w:rPr>
            </w:pPr>
          </w:p>
          <w:p>
            <w:pPr>
              <w:pStyle w:val="TableParagraph"/>
              <w:ind w:left="103"/>
              <w:rPr>
                <w:b/>
                <w:sz w:val="22"/>
              </w:rPr>
            </w:pPr>
            <w:r>
              <w:rPr>
                <w:b/>
                <w:sz w:val="22"/>
              </w:rPr>
              <w:t>Καινοτομία</w:t>
            </w:r>
          </w:p>
        </w:tc>
        <w:tc>
          <w:tcPr>
            <w:tcW w:w="7134" w:type="dxa"/>
          </w:tcPr>
          <w:p>
            <w:pPr>
              <w:pStyle w:val="TableParagraph"/>
              <w:spacing w:before="117"/>
              <w:ind w:left="103" w:right="100"/>
              <w:jc w:val="both"/>
              <w:rPr>
                <w:sz w:val="22"/>
              </w:rPr>
            </w:pPr>
            <w:r>
              <w:rPr>
                <w:sz w:val="22"/>
              </w:rPr>
              <w:t>Η αξιοποίηση υφιστάμενης ή/και νέας γνώσης ή/και η μετατροπή μιας ιδέας σε προϊόν ή υπηρεσία, λειτουργική μέθοδο παραγωγής ή διανομής − νέα ή βελτιωμένη − ή νέα μέθοδο παροχής κοινωνικής υπηρεσίας ή η διαδικασία με την οποία νέες ιδέες δίνουν απαντήσεις στα αιτήματα της κοινωνίας και της οικονομίας και δημιουργούν νέα προϊόντα, βιομηχανικά πρωτότυπα, υπηρεσίες ή επιχειρηματικά κι οργανωτικά μοντέλα που εισάγονται με επιτυχία σε μια υφιστάμενη αγορά ή που μπορούν να δημιουργήσουν νέες αγορές, καθώς και τα αποτελέσματα της διαδικασίας αυτής.</w:t>
            </w:r>
          </w:p>
        </w:tc>
      </w:tr>
      <w:tr>
        <w:trPr>
          <w:trHeight w:val="787" w:hRule="exact"/>
        </w:trPr>
        <w:tc>
          <w:tcPr>
            <w:tcW w:w="3243" w:type="dxa"/>
          </w:tcPr>
          <w:p>
            <w:pPr>
              <w:pStyle w:val="TableParagraph"/>
              <w:spacing w:before="9"/>
              <w:rPr>
                <w:rFonts w:ascii="Times New Roman"/>
                <w:sz w:val="21"/>
              </w:rPr>
            </w:pPr>
          </w:p>
          <w:p>
            <w:pPr>
              <w:pStyle w:val="TableParagraph"/>
              <w:spacing w:before="1"/>
              <w:ind w:left="103"/>
              <w:rPr>
                <w:b/>
                <w:sz w:val="22"/>
              </w:rPr>
            </w:pPr>
            <w:r>
              <w:rPr>
                <w:b/>
                <w:sz w:val="22"/>
              </w:rPr>
              <w:t>Κρατική ενίσχυση</w:t>
            </w:r>
          </w:p>
        </w:tc>
        <w:tc>
          <w:tcPr>
            <w:tcW w:w="7134" w:type="dxa"/>
          </w:tcPr>
          <w:p>
            <w:pPr>
              <w:pStyle w:val="TableParagraph"/>
              <w:spacing w:before="117"/>
              <w:ind w:left="103" w:right="104"/>
              <w:rPr>
                <w:sz w:val="22"/>
              </w:rPr>
            </w:pPr>
            <w:r>
              <w:rPr>
                <w:sz w:val="22"/>
              </w:rPr>
              <w:t>Ενίσχυση που εμπίπτει στο πεδίο του άρθρου 107 της Συνθήκης για τη Λειτουργία της Ευρωπαϊκής Ένωσης (ΣΛΕΕ).</w:t>
            </w:r>
          </w:p>
        </w:tc>
      </w:tr>
      <w:tr>
        <w:trPr>
          <w:trHeight w:val="1863" w:hRule="exact"/>
        </w:trPr>
        <w:tc>
          <w:tcPr>
            <w:tcW w:w="3243" w:type="dxa"/>
          </w:tcPr>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4"/>
              </w:rPr>
            </w:pPr>
          </w:p>
          <w:p>
            <w:pPr>
              <w:pStyle w:val="TableParagraph"/>
              <w:ind w:left="103"/>
              <w:rPr>
                <w:b/>
                <w:sz w:val="22"/>
              </w:rPr>
            </w:pPr>
            <w:r>
              <w:rPr>
                <w:b/>
                <w:sz w:val="22"/>
              </w:rPr>
              <w:t>Μελέτη σκοπιμότητας</w:t>
            </w:r>
          </w:p>
        </w:tc>
        <w:tc>
          <w:tcPr>
            <w:tcW w:w="7134" w:type="dxa"/>
          </w:tcPr>
          <w:p>
            <w:pPr>
              <w:pStyle w:val="TableParagraph"/>
              <w:spacing w:before="117"/>
              <w:ind w:left="103" w:right="100"/>
              <w:jc w:val="both"/>
              <w:rPr>
                <w:sz w:val="22"/>
              </w:rPr>
            </w:pPr>
            <w:r>
              <w:rPr>
                <w:sz w:val="22"/>
              </w:rPr>
              <w:t>Η αξιολόγηση και ανάλυση του δυναμικού ενός σχεδίου, με στόχο την υποστήριξη της διαδικασίας λήψης αποφάσεων, αποκαλύπτοντας κατά τρόπο αντικειμενικό και ορθολογικό τα πλεονεκτήματα και τις αδυναμίες του, τις ευκαιρίες και τις απειλές που προκύπτουν από αυτό, καθώς και προσδιορίζοντας τους πόρους που απαιτούνται για την εκτέλεσή του και, τελικά, τις προοπτικές επιτυχίας του.</w:t>
            </w:r>
          </w:p>
        </w:tc>
      </w:tr>
    </w:tbl>
    <w:p>
      <w:pPr>
        <w:spacing w:after="0"/>
        <w:jc w:val="both"/>
        <w:rPr>
          <w:sz w:val="22"/>
        </w:rPr>
        <w:sectPr>
          <w:pgSz w:w="11910" w:h="16840"/>
          <w:pgMar w:header="748" w:footer="734" w:top="1420" w:bottom="920" w:left="660" w:right="640"/>
        </w:sectPr>
      </w:pPr>
    </w:p>
    <w:p>
      <w:pPr>
        <w:pStyle w:val="BodyText"/>
        <w:spacing w:before="10"/>
        <w:rPr>
          <w:rFonts w:ascii="Times New Roman"/>
          <w:sz w:val="23"/>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3"/>
        <w:gridCol w:w="7134"/>
      </w:tblGrid>
      <w:tr>
        <w:trPr>
          <w:trHeight w:val="617" w:hRule="exact"/>
        </w:trPr>
        <w:tc>
          <w:tcPr>
            <w:tcW w:w="3243" w:type="dxa"/>
            <w:shd w:val="clear" w:color="auto" w:fill="C0C0C0"/>
          </w:tcPr>
          <w:p>
            <w:pPr>
              <w:pStyle w:val="TableParagraph"/>
              <w:spacing w:before="119"/>
              <w:ind w:left="1361" w:right="1361"/>
              <w:jc w:val="center"/>
              <w:rPr>
                <w:b/>
                <w:sz w:val="20"/>
              </w:rPr>
            </w:pPr>
            <w:r>
              <w:rPr>
                <w:b/>
                <w:sz w:val="20"/>
              </w:rPr>
              <w:t>ΟΡΟΣ</w:t>
            </w:r>
          </w:p>
        </w:tc>
        <w:tc>
          <w:tcPr>
            <w:tcW w:w="7134" w:type="dxa"/>
            <w:shd w:val="clear" w:color="auto" w:fill="C0C0C0"/>
          </w:tcPr>
          <w:p>
            <w:pPr>
              <w:pStyle w:val="TableParagraph"/>
              <w:spacing w:before="119"/>
              <w:ind w:left="2791" w:right="2793"/>
              <w:jc w:val="center"/>
              <w:rPr>
                <w:b/>
                <w:sz w:val="20"/>
              </w:rPr>
            </w:pPr>
            <w:r>
              <w:rPr>
                <w:b/>
                <w:sz w:val="20"/>
              </w:rPr>
              <w:t>ΕΠΕΞΗΓΗΣΗ ΟΡΟΥ</w:t>
            </w:r>
          </w:p>
        </w:tc>
      </w:tr>
      <w:tr>
        <w:trPr>
          <w:trHeight w:val="3742" w:hRule="exact"/>
        </w:trPr>
        <w:tc>
          <w:tcPr>
            <w:tcW w:w="3243" w:type="dxa"/>
          </w:tcPr>
          <w:p>
            <w:pPr>
              <w:pStyle w:val="TableParagraph"/>
              <w:spacing w:before="117"/>
              <w:ind w:left="103"/>
              <w:rPr>
                <w:b/>
                <w:sz w:val="22"/>
              </w:rPr>
            </w:pPr>
            <w:r>
              <w:rPr>
                <w:b/>
                <w:sz w:val="22"/>
              </w:rPr>
              <w:t>Μεταφορά γνώσης</w:t>
            </w:r>
          </w:p>
        </w:tc>
        <w:tc>
          <w:tcPr>
            <w:tcW w:w="7134" w:type="dxa"/>
          </w:tcPr>
          <w:p>
            <w:pPr>
              <w:pStyle w:val="TableParagraph"/>
              <w:spacing w:before="117"/>
              <w:ind w:left="103" w:right="100"/>
              <w:jc w:val="both"/>
              <w:rPr>
                <w:sz w:val="22"/>
              </w:rPr>
            </w:pPr>
            <w:r>
              <w:rPr>
                <w:sz w:val="22"/>
              </w:rPr>
              <w:t>Κάθε διαδικασία με στόχο την απόκτηση, συγκέντρωση και ανταλλαγή  ρητής και σιωπηρής γνώσης, καθώς και δεξιοτήτων και προσόντων, σε οικονομικές και μη οικονομικές δραστηριότητες, όπως είναι η ερευνητική συνεργασία, η παροχή συμβουλευτικών υπηρεσιών, η αδειοδότηση, η δημιουργία τεχνοβλαστών, οι δημοσιεύσεις και η κινητικότητα των ερευνητών και λοιπού προσωπικού που συμμετέχει στις εν λόγω δραστηριότητες. Πέραν της επιστημονικής και τεχνολογικής γνώσης, περιλαμβάνει και άλλα είδη γνώσης, όπως γνώση χρήσης προτύπων και κανονισμών που τα περιλαμβάνουν και γνώση περιβαλλόντων πραγματικών συνθηκών λειτουργίας και μεθόδων οργανωτικής καινοτομίας, καθώς και διαχείριση γνώσεων σχετικά με τον καθορισμό, την απόκτηση, την προστασία, την προάσπιση και την εκμετάλλευση άυλων περιουσιακών στοιχείων.</w:t>
            </w:r>
          </w:p>
        </w:tc>
      </w:tr>
      <w:tr>
        <w:trPr>
          <w:trHeight w:val="518" w:hRule="exact"/>
        </w:trPr>
        <w:tc>
          <w:tcPr>
            <w:tcW w:w="3243" w:type="dxa"/>
          </w:tcPr>
          <w:p>
            <w:pPr>
              <w:pStyle w:val="TableParagraph"/>
              <w:spacing w:before="117"/>
              <w:ind w:left="103"/>
              <w:rPr>
                <w:b/>
                <w:sz w:val="22"/>
              </w:rPr>
            </w:pPr>
            <w:r>
              <w:rPr>
                <w:b/>
                <w:sz w:val="22"/>
              </w:rPr>
              <w:t>ΠΔΕ</w:t>
            </w:r>
          </w:p>
        </w:tc>
        <w:tc>
          <w:tcPr>
            <w:tcW w:w="7134" w:type="dxa"/>
          </w:tcPr>
          <w:p>
            <w:pPr>
              <w:pStyle w:val="TableParagraph"/>
              <w:spacing w:before="117"/>
              <w:ind w:left="103"/>
              <w:rPr>
                <w:sz w:val="22"/>
              </w:rPr>
            </w:pPr>
            <w:r>
              <w:rPr>
                <w:sz w:val="22"/>
              </w:rPr>
              <w:t>Πρόγραμμα Δημοσίων Επενδύσεων.</w:t>
            </w:r>
          </w:p>
        </w:tc>
      </w:tr>
      <w:tr>
        <w:trPr>
          <w:trHeight w:val="1592" w:hRule="exact"/>
        </w:trPr>
        <w:tc>
          <w:tcPr>
            <w:tcW w:w="3243" w:type="dxa"/>
          </w:tcPr>
          <w:p>
            <w:pPr>
              <w:pStyle w:val="TableParagraph"/>
              <w:rPr>
                <w:rFonts w:ascii="Times New Roman"/>
                <w:sz w:val="22"/>
              </w:rPr>
            </w:pPr>
          </w:p>
          <w:p>
            <w:pPr>
              <w:pStyle w:val="TableParagraph"/>
              <w:rPr>
                <w:rFonts w:ascii="Times New Roman"/>
                <w:sz w:val="22"/>
              </w:rPr>
            </w:pPr>
          </w:p>
          <w:p>
            <w:pPr>
              <w:pStyle w:val="TableParagraph"/>
              <w:spacing w:before="148"/>
              <w:ind w:left="103"/>
              <w:rPr>
                <w:b/>
                <w:sz w:val="22"/>
              </w:rPr>
            </w:pPr>
            <w:r>
              <w:rPr>
                <w:b/>
                <w:sz w:val="22"/>
              </w:rPr>
              <w:t>Πράξη / Έργο</w:t>
            </w:r>
          </w:p>
        </w:tc>
        <w:tc>
          <w:tcPr>
            <w:tcW w:w="7134" w:type="dxa"/>
          </w:tcPr>
          <w:p>
            <w:pPr>
              <w:pStyle w:val="TableParagraph"/>
              <w:spacing w:before="117"/>
              <w:ind w:left="103" w:right="104"/>
              <w:jc w:val="both"/>
              <w:rPr>
                <w:sz w:val="22"/>
              </w:rPr>
            </w:pPr>
            <w:r>
              <w:rPr>
                <w:sz w:val="22"/>
              </w:rPr>
              <w:t>Έργο ή ομάδα έργων που επιλέγονται από τη διαχειριστική αρχή του οικείου επιχειρησιακού προγράμματος ή με ευθύνη της, σύμφωνα µε κριτήρια που καθορίζονται από την επιτροπή παρακολούθησης και υλοποιούνται από έναν ή περισσότερους δικαιούχους, προκειμένου να επιτευχθούν οι στόχοι του άξονα προτεραιότητας µε τον οποίο σχετίζονται.</w:t>
            </w:r>
          </w:p>
        </w:tc>
      </w:tr>
      <w:tr>
        <w:trPr>
          <w:trHeight w:val="787" w:hRule="exact"/>
        </w:trPr>
        <w:tc>
          <w:tcPr>
            <w:tcW w:w="3243" w:type="dxa"/>
          </w:tcPr>
          <w:p>
            <w:pPr>
              <w:pStyle w:val="TableParagraph"/>
              <w:spacing w:before="119"/>
              <w:ind w:left="103"/>
              <w:rPr>
                <w:b/>
                <w:sz w:val="22"/>
              </w:rPr>
            </w:pPr>
            <w:r>
              <w:rPr>
                <w:b/>
                <w:sz w:val="22"/>
              </w:rPr>
              <w:t>Πράξη του ΕΠ</w:t>
            </w:r>
          </w:p>
        </w:tc>
        <w:tc>
          <w:tcPr>
            <w:tcW w:w="7134" w:type="dxa"/>
          </w:tcPr>
          <w:p>
            <w:pPr>
              <w:pStyle w:val="TableParagraph"/>
              <w:spacing w:line="266" w:lineRule="exact" w:before="116"/>
              <w:ind w:left="103" w:right="104"/>
              <w:rPr>
                <w:sz w:val="22"/>
              </w:rPr>
            </w:pPr>
            <w:r>
              <w:rPr>
                <w:sz w:val="22"/>
              </w:rPr>
              <w:t>Έργο που υλοποιείται από έναν ή περισσότερους δικαιούχους, στο πλαίσιο του συγκεκριμένου Επιχειρησιακού Προγράμματος.</w:t>
            </w:r>
          </w:p>
        </w:tc>
      </w:tr>
      <w:tr>
        <w:trPr>
          <w:trHeight w:val="2131" w:hRule="exact"/>
        </w:trPr>
        <w:tc>
          <w:tcPr>
            <w:tcW w:w="3243" w:type="dxa"/>
          </w:tcPr>
          <w:p>
            <w:pPr>
              <w:pStyle w:val="TableParagraph"/>
              <w:spacing w:before="119"/>
              <w:ind w:left="103"/>
              <w:rPr>
                <w:b/>
                <w:sz w:val="22"/>
              </w:rPr>
            </w:pPr>
            <w:r>
              <w:rPr>
                <w:b/>
                <w:sz w:val="22"/>
              </w:rPr>
              <w:t>ΠΣΚΕ</w:t>
            </w:r>
          </w:p>
        </w:tc>
        <w:tc>
          <w:tcPr>
            <w:tcW w:w="7134" w:type="dxa"/>
          </w:tcPr>
          <w:p>
            <w:pPr>
              <w:pStyle w:val="TableParagraph"/>
              <w:spacing w:before="119"/>
              <w:ind w:left="103" w:right="101"/>
              <w:jc w:val="both"/>
              <w:rPr>
                <w:sz w:val="22"/>
              </w:rPr>
            </w:pPr>
            <w:r>
              <w:rPr>
                <w:sz w:val="22"/>
              </w:rPr>
              <w:t>Πληροφοριακό Σύστημα Διαχείρισης Κρατικών Ενισχύσεων: το πληροφοριακό σύστημα του Υπουργείου Οικονομίας και Ανάπτυξης, περιλαμβάνει τις διαδικασίες και τα δεδομένα που απαιτούνται για τη διαχείριση, έλεγχο και υλοποίηση των δράσεων ενίσχυσης και στήριξης της επιχειρηματικότητας. Οι διαδικασίες περιγράφονται σύμφωνα με τους ενωσιακούς κανόνες των διαρθρωτικών ταμείων και των Κρατικών Ενισχύσεων.</w:t>
            </w:r>
          </w:p>
        </w:tc>
      </w:tr>
      <w:tr>
        <w:trPr>
          <w:trHeight w:val="519" w:hRule="exact"/>
        </w:trPr>
        <w:tc>
          <w:tcPr>
            <w:tcW w:w="3243" w:type="dxa"/>
          </w:tcPr>
          <w:p>
            <w:pPr>
              <w:pStyle w:val="TableParagraph"/>
              <w:spacing w:before="117"/>
              <w:ind w:left="103"/>
              <w:rPr>
                <w:b/>
                <w:sz w:val="22"/>
              </w:rPr>
            </w:pPr>
            <w:r>
              <w:rPr>
                <w:b/>
                <w:sz w:val="22"/>
              </w:rPr>
              <w:t>ΣΔΕ</w:t>
            </w:r>
          </w:p>
        </w:tc>
        <w:tc>
          <w:tcPr>
            <w:tcW w:w="7134" w:type="dxa"/>
          </w:tcPr>
          <w:p>
            <w:pPr>
              <w:pStyle w:val="TableParagraph"/>
              <w:spacing w:before="117"/>
              <w:ind w:left="103"/>
              <w:rPr>
                <w:sz w:val="22"/>
              </w:rPr>
            </w:pPr>
            <w:r>
              <w:rPr>
                <w:sz w:val="22"/>
              </w:rPr>
              <w:t>Σύστημα Διαχείρισης Ελέγχου.</w:t>
            </w:r>
          </w:p>
        </w:tc>
      </w:tr>
      <w:tr>
        <w:trPr>
          <w:trHeight w:val="1325" w:hRule="exact"/>
        </w:trPr>
        <w:tc>
          <w:tcPr>
            <w:tcW w:w="3243" w:type="dxa"/>
          </w:tcPr>
          <w:p>
            <w:pPr>
              <w:pStyle w:val="TableParagraph"/>
              <w:spacing w:before="117"/>
              <w:ind w:left="103"/>
              <w:rPr>
                <w:b/>
                <w:sz w:val="22"/>
              </w:rPr>
            </w:pPr>
            <w:r>
              <w:rPr>
                <w:b/>
                <w:sz w:val="22"/>
              </w:rPr>
              <w:t>Συμβουλευτικές υπηρεσίες στον τομέα της καινοτομίας</w:t>
            </w:r>
          </w:p>
        </w:tc>
        <w:tc>
          <w:tcPr>
            <w:tcW w:w="7134" w:type="dxa"/>
          </w:tcPr>
          <w:p>
            <w:pPr>
              <w:pStyle w:val="TableParagraph"/>
              <w:spacing w:before="117"/>
              <w:ind w:left="103" w:right="103"/>
              <w:jc w:val="both"/>
              <w:rPr>
                <w:sz w:val="22"/>
              </w:rPr>
            </w:pPr>
            <w:r>
              <w:rPr>
                <w:sz w:val="22"/>
              </w:rPr>
              <w:t>Οι συμβουλευτικές υπηρεσίες, η συνδρομή και η επαγγελματική κατάρτιση στους τομείς της μεταφοράς γνώσεων, της απόκτησης, της προστασίας και της εκμετάλλευσης άυλων στοιχείων ενεργητικού, της χρήσης προτύπων και κανονισμών που τα εμπεριέχουν.</w:t>
            </w:r>
          </w:p>
        </w:tc>
      </w:tr>
    </w:tbl>
    <w:p>
      <w:pPr>
        <w:spacing w:after="0"/>
        <w:jc w:val="both"/>
        <w:rPr>
          <w:sz w:val="22"/>
        </w:rPr>
        <w:sectPr>
          <w:pgSz w:w="11910" w:h="16840"/>
          <w:pgMar w:header="748" w:footer="734" w:top="1420" w:bottom="920" w:left="660" w:right="640"/>
        </w:sectPr>
      </w:pPr>
    </w:p>
    <w:p>
      <w:pPr>
        <w:pStyle w:val="BodyText"/>
        <w:spacing w:before="10"/>
        <w:rPr>
          <w:rFonts w:ascii="Times New Roman"/>
          <w:sz w:val="23"/>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3"/>
        <w:gridCol w:w="7134"/>
      </w:tblGrid>
      <w:tr>
        <w:trPr>
          <w:trHeight w:val="617" w:hRule="exact"/>
        </w:trPr>
        <w:tc>
          <w:tcPr>
            <w:tcW w:w="3243" w:type="dxa"/>
            <w:shd w:val="clear" w:color="auto" w:fill="C0C0C0"/>
          </w:tcPr>
          <w:p>
            <w:pPr>
              <w:pStyle w:val="TableParagraph"/>
              <w:spacing w:before="119"/>
              <w:ind w:left="1361" w:right="1361"/>
              <w:jc w:val="center"/>
              <w:rPr>
                <w:b/>
                <w:sz w:val="20"/>
              </w:rPr>
            </w:pPr>
            <w:r>
              <w:rPr>
                <w:b/>
                <w:sz w:val="20"/>
              </w:rPr>
              <w:t>ΟΡΟΣ</w:t>
            </w:r>
          </w:p>
        </w:tc>
        <w:tc>
          <w:tcPr>
            <w:tcW w:w="7134" w:type="dxa"/>
            <w:shd w:val="clear" w:color="auto" w:fill="C0C0C0"/>
          </w:tcPr>
          <w:p>
            <w:pPr>
              <w:pStyle w:val="TableParagraph"/>
              <w:spacing w:before="119"/>
              <w:ind w:left="2791" w:right="2793"/>
              <w:jc w:val="center"/>
              <w:rPr>
                <w:b/>
                <w:sz w:val="20"/>
              </w:rPr>
            </w:pPr>
            <w:r>
              <w:rPr>
                <w:b/>
                <w:sz w:val="20"/>
              </w:rPr>
              <w:t>ΕΠΕΞΗΓΗΣΗ ΟΡΟΥ</w:t>
            </w:r>
          </w:p>
        </w:tc>
      </w:tr>
      <w:tr>
        <w:trPr>
          <w:trHeight w:val="2936" w:hRule="exact"/>
        </w:trPr>
        <w:tc>
          <w:tcPr>
            <w:tcW w:w="3243" w:type="dxa"/>
          </w:tcPr>
          <w:p>
            <w:pPr>
              <w:pStyle w:val="TableParagraph"/>
              <w:spacing w:before="117"/>
              <w:ind w:left="103" w:right="98"/>
              <w:jc w:val="both"/>
              <w:rPr>
                <w:b/>
                <w:sz w:val="22"/>
              </w:rPr>
            </w:pPr>
            <w:r>
              <w:rPr>
                <w:b/>
                <w:sz w:val="22"/>
              </w:rPr>
              <w:t>Σύμφωνο Εταιρικής Σχέσης 2014−2020 (Εταιρικό Σύμφωνο για το Πλαίσιο Ανάπτυξης-  ΕΣΠΑ)</w:t>
            </w:r>
          </w:p>
        </w:tc>
        <w:tc>
          <w:tcPr>
            <w:tcW w:w="7134" w:type="dxa"/>
          </w:tcPr>
          <w:p>
            <w:pPr>
              <w:pStyle w:val="TableParagraph"/>
              <w:spacing w:before="117"/>
              <w:ind w:left="103" w:right="101"/>
              <w:jc w:val="both"/>
              <w:rPr>
                <w:sz w:val="22"/>
              </w:rPr>
            </w:pPr>
            <w:r>
              <w:rPr>
                <w:sz w:val="22"/>
              </w:rPr>
              <w:t>Το έγγραφο που καταρτίζεται από το Υπουργείο Οικονομίας και Ανάπτυξης με τη συνεργασία των συναρμόδιων Υπουργείων, Περιφερειών και των λοιπών οικείων εταίρων, και εγκρίνεται, μετά από διάλογο, από την Επιτροπή των Ευρωπαϊκών Κοινοτήτων (εφεξής Επιτροπή) και το οποίο αποτελεί το πλαίσιο για την κατάρτιση του προγραμματισμού του Ευρωπαϊκού Ταμείου Περιφερειακής Ανάπτυξης (ΕΤΠΑ), του Ευρωπαϊκού Κοινωνικού Ταμείου (ΕΚΤ), του Ταμείου Συνοχής, του Ευρωπαϊκού Γεωργικού Ταμείου Αγροτικής Ανάπτυξης (ΕΓΤΑΑ) και του Ευρωπαϊκού Ταμείου Θάλασσας και Αλιείας (ΕΤΘΑ) για την επίτευξη των στόχων της στρατηγικής για έξυπνη, διατηρήσιμη και χωρίς αποκλεισμούς</w:t>
            </w:r>
            <w:r>
              <w:rPr>
                <w:spacing w:val="-15"/>
                <w:sz w:val="22"/>
              </w:rPr>
              <w:t> </w:t>
            </w:r>
            <w:r>
              <w:rPr>
                <w:sz w:val="22"/>
              </w:rPr>
              <w:t>ανάπτυξη.</w:t>
            </w:r>
          </w:p>
        </w:tc>
      </w:tr>
      <w:tr>
        <w:trPr>
          <w:trHeight w:val="787" w:hRule="exact"/>
        </w:trPr>
        <w:tc>
          <w:tcPr>
            <w:tcW w:w="3243" w:type="dxa"/>
          </w:tcPr>
          <w:p>
            <w:pPr>
              <w:pStyle w:val="TableParagraph"/>
              <w:spacing w:before="117"/>
              <w:ind w:left="103"/>
              <w:rPr>
                <w:b/>
                <w:sz w:val="22"/>
              </w:rPr>
            </w:pPr>
            <w:r>
              <w:rPr>
                <w:b/>
                <w:sz w:val="22"/>
              </w:rPr>
              <w:t>Συνδεδεμένες Επιχειρήσεις</w:t>
            </w:r>
          </w:p>
        </w:tc>
        <w:tc>
          <w:tcPr>
            <w:tcW w:w="7134" w:type="dxa"/>
          </w:tcPr>
          <w:p>
            <w:pPr>
              <w:pStyle w:val="TableParagraph"/>
              <w:spacing w:before="117"/>
              <w:ind w:left="103" w:right="104"/>
              <w:rPr>
                <w:sz w:val="22"/>
              </w:rPr>
            </w:pPr>
            <w:r>
              <w:rPr>
                <w:sz w:val="22"/>
              </w:rPr>
              <w:t>Τύπος επιχειρήσεων όπως προσδιορίζεται στο αρ. 3 παρ. 3 του Παραρτήματος IV της παρούσας πρόσκλησης.</w:t>
            </w:r>
          </w:p>
        </w:tc>
      </w:tr>
      <w:tr>
        <w:trPr>
          <w:trHeight w:val="787" w:hRule="exact"/>
        </w:trPr>
        <w:tc>
          <w:tcPr>
            <w:tcW w:w="3243" w:type="dxa"/>
          </w:tcPr>
          <w:p>
            <w:pPr>
              <w:pStyle w:val="TableParagraph"/>
              <w:spacing w:before="117"/>
              <w:ind w:left="103"/>
              <w:rPr>
                <w:b/>
                <w:sz w:val="22"/>
              </w:rPr>
            </w:pPr>
            <w:r>
              <w:rPr>
                <w:b/>
                <w:sz w:val="22"/>
              </w:rPr>
              <w:t>Συνεργαζόμενες Επιχειρήσεις</w:t>
            </w:r>
          </w:p>
        </w:tc>
        <w:tc>
          <w:tcPr>
            <w:tcW w:w="7134" w:type="dxa"/>
          </w:tcPr>
          <w:p>
            <w:pPr>
              <w:pStyle w:val="TableParagraph"/>
              <w:spacing w:before="117"/>
              <w:ind w:left="103" w:right="104"/>
              <w:rPr>
                <w:sz w:val="22"/>
              </w:rPr>
            </w:pPr>
            <w:r>
              <w:rPr>
                <w:sz w:val="22"/>
              </w:rPr>
              <w:t>Τύπος επιχειρήσεων όπως προσδιορίζεται στο αρ. 3 παρ. 2 του Παραρτήματος IV της παρούσας πρόσκλησης.</w:t>
            </w:r>
          </w:p>
        </w:tc>
      </w:tr>
      <w:tr>
        <w:trPr>
          <w:trHeight w:val="518" w:hRule="exact"/>
        </w:trPr>
        <w:tc>
          <w:tcPr>
            <w:tcW w:w="3243" w:type="dxa"/>
          </w:tcPr>
          <w:p>
            <w:pPr>
              <w:pStyle w:val="TableParagraph"/>
              <w:spacing w:before="117"/>
              <w:ind w:left="103"/>
              <w:rPr>
                <w:b/>
                <w:sz w:val="22"/>
              </w:rPr>
            </w:pPr>
            <w:r>
              <w:rPr>
                <w:b/>
                <w:sz w:val="22"/>
              </w:rPr>
              <w:t>ΤΠΕ</w:t>
            </w:r>
          </w:p>
        </w:tc>
        <w:tc>
          <w:tcPr>
            <w:tcW w:w="7134" w:type="dxa"/>
          </w:tcPr>
          <w:p>
            <w:pPr>
              <w:pStyle w:val="TableParagraph"/>
              <w:spacing w:before="117"/>
              <w:ind w:left="103"/>
              <w:rPr>
                <w:sz w:val="22"/>
              </w:rPr>
            </w:pPr>
            <w:r>
              <w:rPr>
                <w:sz w:val="22"/>
              </w:rPr>
              <w:t>Τεχνολογίες Πληροφορικής και Επικοινωνίας.</w:t>
            </w:r>
          </w:p>
        </w:tc>
      </w:tr>
      <w:tr>
        <w:trPr>
          <w:trHeight w:val="1325" w:hRule="exact"/>
        </w:trPr>
        <w:tc>
          <w:tcPr>
            <w:tcW w:w="3243" w:type="dxa"/>
          </w:tcPr>
          <w:p>
            <w:pPr>
              <w:pStyle w:val="TableParagraph"/>
              <w:rPr>
                <w:rFonts w:ascii="Times New Roman"/>
                <w:sz w:val="22"/>
              </w:rPr>
            </w:pPr>
          </w:p>
          <w:p>
            <w:pPr>
              <w:pStyle w:val="TableParagraph"/>
              <w:spacing w:before="2"/>
              <w:rPr>
                <w:rFonts w:ascii="Times New Roman"/>
                <w:sz w:val="23"/>
              </w:rPr>
            </w:pPr>
          </w:p>
          <w:p>
            <w:pPr>
              <w:pStyle w:val="TableParagraph"/>
              <w:ind w:left="103"/>
              <w:rPr>
                <w:b/>
                <w:sz w:val="22"/>
              </w:rPr>
            </w:pPr>
            <w:r>
              <w:rPr>
                <w:b/>
                <w:sz w:val="22"/>
              </w:rPr>
              <w:t>Υπεύθυνος του Έργου</w:t>
            </w:r>
          </w:p>
        </w:tc>
        <w:tc>
          <w:tcPr>
            <w:tcW w:w="7134" w:type="dxa"/>
          </w:tcPr>
          <w:p>
            <w:pPr>
              <w:pStyle w:val="TableParagraph"/>
              <w:spacing w:before="117"/>
              <w:ind w:left="103" w:right="101"/>
              <w:jc w:val="both"/>
              <w:rPr>
                <w:sz w:val="22"/>
              </w:rPr>
            </w:pPr>
            <w:r>
              <w:rPr>
                <w:sz w:val="22"/>
              </w:rPr>
              <w:t>Φυσικό πρόσωπο το οποίο έχει την ευθύνη για την υλοποίηση της πράξης, τον συντονισμό του έργου σε επίπεδο διοικητικό και σε επίπεδο επικοινωνίας μεταξύ της επιχείρησης και του Ενδιάμεσου Φορέα ή της Ειδικής Υπηρεσίας Διαχείρισης του Προγράμματος.</w:t>
            </w:r>
          </w:p>
        </w:tc>
      </w:tr>
      <w:tr>
        <w:trPr>
          <w:trHeight w:val="2666" w:hRule="exact"/>
        </w:trPr>
        <w:tc>
          <w:tcPr>
            <w:tcW w:w="3243" w:type="dxa"/>
          </w:tcPr>
          <w:p>
            <w:pPr>
              <w:pStyle w:val="TableParagraph"/>
              <w:spacing w:before="117"/>
              <w:ind w:left="103" w:right="342"/>
              <w:rPr>
                <w:b/>
                <w:sz w:val="22"/>
              </w:rPr>
            </w:pPr>
            <w:r>
              <w:rPr>
                <w:b/>
                <w:sz w:val="22"/>
              </w:rPr>
              <w:t>ΥΑΕΚΕΔ (Υπουργική Απόφαση Εθνικών Κανόνων Επιλεξιμότητας Δαπανών)</w:t>
            </w:r>
          </w:p>
        </w:tc>
        <w:tc>
          <w:tcPr>
            <w:tcW w:w="7134" w:type="dxa"/>
          </w:tcPr>
          <w:p>
            <w:pPr>
              <w:pStyle w:val="TableParagraph"/>
              <w:spacing w:before="117"/>
              <w:ind w:left="103" w:right="100" w:firstLine="50"/>
              <w:jc w:val="both"/>
              <w:rPr>
                <w:sz w:val="22"/>
              </w:rPr>
            </w:pPr>
            <w:r>
              <w:rPr>
                <w:sz w:val="22"/>
              </w:rPr>
              <w:t>Η Απόφαση του Υφυπουργού Οικονομίας και Ανάπτυξης με αρ. 137675/EΥΘΥ1016/19-12/2018  (ΦΕΚ  5968/Β/31-12-2018)  «Αντικατάσταση</w:t>
            </w:r>
          </w:p>
          <w:p>
            <w:pPr>
              <w:pStyle w:val="TableParagraph"/>
              <w:ind w:left="103" w:right="100"/>
              <w:jc w:val="both"/>
              <w:rPr>
                <w:sz w:val="22"/>
              </w:rPr>
            </w:pPr>
            <w:r>
              <w:rPr>
                <w:sz w:val="22"/>
              </w:rPr>
              <w:t>της υπ’ αριθμ. 110427/EΥΘΥ/ 1020/20.10.2016 (ΦΕΚ Β΄ 3521) υπουργικής απόφασης με τίτλο «Τροποποίηση και αντικατάσταση της υπ’ αριθμ. 81986/ΕΥΘΥ712/31.7.2015 (ΦΕΚ Β΄ 1822) υπουργικής απόφασης “Εθνικοί κανόνες επιλεξιμότητας δαπανών για τα προ γράμματα του ΕΣΠΑ 2014 - 2020 -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πράξεων”».</w:t>
            </w:r>
          </w:p>
        </w:tc>
      </w:tr>
      <w:tr>
        <w:trPr>
          <w:trHeight w:val="1057" w:hRule="exact"/>
        </w:trPr>
        <w:tc>
          <w:tcPr>
            <w:tcW w:w="3243" w:type="dxa"/>
          </w:tcPr>
          <w:p>
            <w:pPr>
              <w:pStyle w:val="TableParagraph"/>
              <w:spacing w:before="192"/>
              <w:ind w:left="103"/>
              <w:rPr>
                <w:b/>
                <w:sz w:val="22"/>
              </w:rPr>
            </w:pPr>
            <w:r>
              <w:rPr>
                <w:b/>
                <w:sz w:val="22"/>
              </w:rPr>
              <w:t>Φορέας Χρηματοδότησης</w:t>
            </w:r>
          </w:p>
        </w:tc>
        <w:tc>
          <w:tcPr>
            <w:tcW w:w="7134" w:type="dxa"/>
          </w:tcPr>
          <w:p>
            <w:pPr>
              <w:pStyle w:val="TableParagraph"/>
              <w:spacing w:before="117"/>
              <w:ind w:left="103" w:right="104"/>
              <w:jc w:val="both"/>
              <w:rPr>
                <w:sz w:val="22"/>
              </w:rPr>
            </w:pPr>
            <w:r>
              <w:rPr>
                <w:sz w:val="22"/>
              </w:rPr>
              <w:t>Το Υπουργείο ή η Περιφέρεια που έχει την ευθύνη απόδοσης  των πιστώσεων στο δικαιούχο ή στον ενδιάμεσο φορέα στην περίπτωση πράξεων κρατικών</w:t>
            </w:r>
            <w:r>
              <w:rPr>
                <w:spacing w:val="-4"/>
                <w:sz w:val="22"/>
              </w:rPr>
              <w:t> </w:t>
            </w:r>
            <w:r>
              <w:rPr>
                <w:sz w:val="22"/>
              </w:rPr>
              <w:t>ενισχύσεων.</w:t>
            </w:r>
          </w:p>
        </w:tc>
      </w:tr>
      <w:tr>
        <w:trPr>
          <w:trHeight w:val="787" w:hRule="exact"/>
        </w:trPr>
        <w:tc>
          <w:tcPr>
            <w:tcW w:w="3243" w:type="dxa"/>
          </w:tcPr>
          <w:p>
            <w:pPr>
              <w:pStyle w:val="TableParagraph"/>
              <w:tabs>
                <w:tab w:pos="1067" w:val="left" w:leader="none"/>
                <w:tab w:pos="2398" w:val="left" w:leader="none"/>
              </w:tabs>
              <w:spacing w:before="117"/>
              <w:ind w:left="103" w:right="99"/>
              <w:rPr>
                <w:b/>
                <w:sz w:val="22"/>
              </w:rPr>
            </w:pPr>
            <w:r>
              <w:rPr>
                <w:b/>
                <w:sz w:val="22"/>
              </w:rPr>
              <w:t>Φορέας</w:t>
              <w:tab/>
              <w:t>Επένδυσης/</w:t>
              <w:tab/>
              <w:t>Φορέας Υλοποίησης</w:t>
            </w:r>
          </w:p>
        </w:tc>
        <w:tc>
          <w:tcPr>
            <w:tcW w:w="7134" w:type="dxa"/>
          </w:tcPr>
          <w:p>
            <w:pPr>
              <w:pStyle w:val="TableParagraph"/>
              <w:spacing w:before="117"/>
              <w:ind w:left="103" w:right="104"/>
              <w:rPr>
                <w:sz w:val="22"/>
              </w:rPr>
            </w:pPr>
            <w:r>
              <w:rPr>
                <w:sz w:val="22"/>
              </w:rPr>
              <w:t>Άτυπος, εναλλακτικός τρόπος περιγραφής των δικαιούχων στο πλαίσιο των καθεστώτων ενίσχυσης δυνάμει του άρθρου 107 της Συνθήκης.</w:t>
            </w:r>
          </w:p>
        </w:tc>
      </w:tr>
    </w:tbl>
    <w:p>
      <w:pPr>
        <w:spacing w:after="0"/>
        <w:rPr>
          <w:sz w:val="22"/>
        </w:rPr>
        <w:sectPr>
          <w:pgSz w:w="11910" w:h="16840"/>
          <w:pgMar w:header="748" w:footer="734" w:top="1420" w:bottom="920" w:left="660" w:right="640"/>
        </w:sectPr>
      </w:pPr>
    </w:p>
    <w:p>
      <w:pPr>
        <w:pStyle w:val="BodyText"/>
        <w:spacing w:before="4"/>
        <w:rPr>
          <w:rFonts w:ascii="Times New Roman"/>
          <w:sz w:val="19"/>
        </w:rPr>
      </w:pPr>
    </w:p>
    <w:p>
      <w:pPr>
        <w:pStyle w:val="Heading2"/>
        <w:spacing w:before="51"/>
        <w:ind w:left="180" w:firstLine="0"/>
        <w:jc w:val="left"/>
      </w:pPr>
      <w:bookmarkStart w:name="_TOC_250054" w:id="2"/>
      <w:bookmarkEnd w:id="2"/>
      <w:r>
        <w:rPr/>
        <w:t>ΕΙΣΑΓΩΓΗ</w:t>
      </w:r>
    </w:p>
    <w:p>
      <w:pPr>
        <w:pStyle w:val="BodyText"/>
        <w:spacing w:before="5"/>
        <w:rPr>
          <w:b/>
          <w:sz w:val="19"/>
        </w:rPr>
      </w:pPr>
    </w:p>
    <w:p>
      <w:pPr>
        <w:spacing w:line="276" w:lineRule="auto" w:before="0"/>
        <w:ind w:left="180" w:right="117" w:firstLine="0"/>
        <w:jc w:val="both"/>
        <w:rPr>
          <w:sz w:val="22"/>
        </w:rPr>
      </w:pPr>
      <w:r>
        <w:rPr>
          <w:sz w:val="22"/>
        </w:rPr>
        <w:t>Η δράση </w:t>
      </w:r>
      <w:r>
        <w:rPr>
          <w:b/>
          <w:sz w:val="22"/>
        </w:rPr>
        <w:t>«Ενίσχυση υφιστάμενων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w:t>
      </w:r>
      <w:r>
        <w:rPr>
          <w:sz w:val="22"/>
        </w:rPr>
        <w:t>χρηματοδοτείται από το Ευρωπαϊκό Ταμείο Περιφερειακής Ανάπτυξης (ΕΤΠΑ) στα πλαίσια του Επιχειρησιακού Προγράμματος «Περιφερειακό Επιχειρησιακό Πρόγραμμα Θεσσαλίας 2014-2020» (ΕΠ «Θεσσαλία» 2014-2020) του ΕΣΠΑ 2014-2020.</w:t>
      </w:r>
    </w:p>
    <w:p>
      <w:pPr>
        <w:pStyle w:val="BodyText"/>
        <w:spacing w:line="276" w:lineRule="auto" w:before="120"/>
        <w:ind w:left="180" w:right="116"/>
        <w:jc w:val="both"/>
      </w:pPr>
      <w:r>
        <w:rPr/>
        <w:t>Εντάσσεται στον Άξονα 01 του ΕΠ «Θεσσαλία» 2014-2020, «Ενίσχυση της ανταγωνιστικότητας και της εξωστρέφειας των επιχειρήσεων (ιδιαίτερα των ΜΜΕ), μετάβαση στην ποιοτική επιχειρηματικότητα, με αιχμή την καινοτομία και αύξηση της Περιφερειακής Προστιθέμενης Αξίας» και συγκεκριμένα στο Θεματικό στόχο 3 «Βελτίωση της ανταγωνιστικότητας των μικρομεσαίων επιχειρήσεων», Επενδυτική Προτεραιότητα 3α «Προαγωγής της επιχειρηματικότητας, ιδίως με τη διευκόλυνση της οικονομικής αξιοποίησης  νέων ιδεών και ενίσχυσης της δημιουργίας νέων επιχειρήσεων, μεταξύ άλλων και μέσω θερμοκοιτίδων επιχειρήσεων».</w:t>
      </w:r>
    </w:p>
    <w:p>
      <w:pPr>
        <w:pStyle w:val="BodyText"/>
      </w:pPr>
    </w:p>
    <w:p>
      <w:pPr>
        <w:pStyle w:val="BodyText"/>
        <w:spacing w:before="11"/>
        <w:rPr>
          <w:sz w:val="32"/>
        </w:rPr>
      </w:pPr>
    </w:p>
    <w:p>
      <w:pPr>
        <w:pStyle w:val="Heading2"/>
        <w:tabs>
          <w:tab w:pos="746" w:val="left" w:leader="none"/>
        </w:tabs>
        <w:spacing w:before="0"/>
        <w:ind w:left="180" w:firstLine="0"/>
        <w:jc w:val="left"/>
      </w:pPr>
      <w:bookmarkStart w:name="_TOC_250053" w:id="3"/>
      <w:r>
        <w:rPr/>
        <w:t>1.</w:t>
        <w:tab/>
        <w:t>ΝΟΜΟΘΕΤΙΚΟ – ΚΑΝΟΝΙΣΤΙΚΟ ΠΛΑΙΣΙΟ ΥΛΟΠΟΙΗΣΗΣ ΤΗΣ</w:t>
      </w:r>
      <w:r>
        <w:rPr>
          <w:spacing w:val="-14"/>
        </w:rPr>
        <w:t> </w:t>
      </w:r>
      <w:bookmarkEnd w:id="3"/>
      <w:r>
        <w:rPr/>
        <w:t>ΔΡΑΣΗΣ</w:t>
      </w:r>
    </w:p>
    <w:p>
      <w:pPr>
        <w:pStyle w:val="BodyText"/>
        <w:spacing w:before="5"/>
        <w:rPr>
          <w:b/>
          <w:sz w:val="19"/>
        </w:rPr>
      </w:pPr>
    </w:p>
    <w:p>
      <w:pPr>
        <w:pStyle w:val="BodyText"/>
        <w:tabs>
          <w:tab w:pos="607" w:val="left" w:leader="none"/>
        </w:tabs>
        <w:ind w:left="180"/>
      </w:pPr>
      <w:r>
        <w:rPr>
          <w:b/>
        </w:rPr>
        <w:t>Α.</w:t>
        <w:tab/>
      </w:r>
      <w:r>
        <w:rPr/>
        <w:t>Το βασικό νομοθετικό πλαίσιο βάσει του οποίου θα υλοποιηθεί η δράση</w:t>
      </w:r>
      <w:r>
        <w:rPr>
          <w:spacing w:val="-13"/>
        </w:rPr>
        <w:t> </w:t>
      </w:r>
      <w:r>
        <w:rPr/>
        <w:t>είναι:</w:t>
      </w:r>
    </w:p>
    <w:p>
      <w:pPr>
        <w:pStyle w:val="ListParagraph"/>
        <w:numPr>
          <w:ilvl w:val="0"/>
          <w:numId w:val="7"/>
        </w:numPr>
        <w:tabs>
          <w:tab w:pos="464" w:val="left" w:leader="none"/>
        </w:tabs>
        <w:spacing w:line="240" w:lineRule="auto" w:before="161" w:after="0"/>
        <w:ind w:left="463" w:right="224" w:hanging="360"/>
        <w:jc w:val="both"/>
        <w:rPr>
          <w:sz w:val="22"/>
        </w:rPr>
      </w:pPr>
      <w:r>
        <w:rPr>
          <w:sz w:val="22"/>
        </w:rPr>
        <w:t>Το άρθρο 90 του «Κώδικα Νομοθεσίας για την Κυβέρνηση και Κυβερνητικά Όργανα» που κυρώθηκε με το άρθρο πρώτο του π.δ. 63/2005 (ΦΕΚ</w:t>
      </w:r>
      <w:r>
        <w:rPr>
          <w:spacing w:val="-17"/>
          <w:sz w:val="22"/>
        </w:rPr>
        <w:t> </w:t>
      </w:r>
      <w:r>
        <w:rPr>
          <w:sz w:val="22"/>
        </w:rPr>
        <w:t>98/Α/22-4-2005).</w:t>
      </w:r>
    </w:p>
    <w:p>
      <w:pPr>
        <w:pStyle w:val="ListParagraph"/>
        <w:numPr>
          <w:ilvl w:val="0"/>
          <w:numId w:val="7"/>
        </w:numPr>
        <w:tabs>
          <w:tab w:pos="464" w:val="left" w:leader="none"/>
        </w:tabs>
        <w:spacing w:line="240" w:lineRule="auto" w:before="60" w:after="0"/>
        <w:ind w:left="463" w:right="0" w:hanging="360"/>
        <w:jc w:val="left"/>
        <w:rPr>
          <w:sz w:val="22"/>
        </w:rPr>
      </w:pPr>
      <w:r>
        <w:rPr>
          <w:sz w:val="22"/>
        </w:rPr>
        <w:t>Το Π.Δ. 22/2018 (ΦΕΚ 37Α) «Διορισμός Υπουργών, Αναπληρωτή Υπουργού και</w:t>
      </w:r>
      <w:r>
        <w:rPr>
          <w:spacing w:val="-22"/>
          <w:sz w:val="22"/>
        </w:rPr>
        <w:t> </w:t>
      </w:r>
      <w:r>
        <w:rPr>
          <w:sz w:val="22"/>
        </w:rPr>
        <w:t>Υφυπουργών»</w:t>
      </w:r>
    </w:p>
    <w:p>
      <w:pPr>
        <w:pStyle w:val="ListParagraph"/>
        <w:numPr>
          <w:ilvl w:val="0"/>
          <w:numId w:val="7"/>
        </w:numPr>
        <w:tabs>
          <w:tab w:pos="464" w:val="left" w:leader="none"/>
        </w:tabs>
        <w:spacing w:line="240" w:lineRule="auto" w:before="58" w:after="0"/>
        <w:ind w:left="463" w:right="224" w:hanging="360"/>
        <w:jc w:val="both"/>
        <w:rPr>
          <w:sz w:val="22"/>
        </w:rPr>
      </w:pPr>
      <w:r>
        <w:rPr>
          <w:sz w:val="22"/>
        </w:rPr>
        <w:t>Το Π.Δ. 87/2018 (ΦΕΚ 160Α) «Αποδοχή παραίτησης Υπουργών, Αναπληρωτών  Υπουργών, Υφυπουργών»</w:t>
      </w:r>
    </w:p>
    <w:p>
      <w:pPr>
        <w:pStyle w:val="ListParagraph"/>
        <w:numPr>
          <w:ilvl w:val="0"/>
          <w:numId w:val="7"/>
        </w:numPr>
        <w:tabs>
          <w:tab w:pos="464" w:val="left" w:leader="none"/>
        </w:tabs>
        <w:spacing w:line="240" w:lineRule="auto" w:before="60" w:after="0"/>
        <w:ind w:left="463" w:right="219" w:hanging="360"/>
        <w:jc w:val="both"/>
        <w:rPr>
          <w:sz w:val="22"/>
        </w:rPr>
      </w:pPr>
      <w:r>
        <w:rPr>
          <w:sz w:val="22"/>
        </w:rPr>
        <w:t>Το Π.Δ. 88/2018 (ΦΕΚ 160/τ.Α/29-08-2018) «Διορισμός Υπουργών, Αναπληρωτών Υπουργών και Υφυπουργών</w:t>
      </w:r>
    </w:p>
    <w:p>
      <w:pPr>
        <w:pStyle w:val="ListParagraph"/>
        <w:numPr>
          <w:ilvl w:val="0"/>
          <w:numId w:val="7"/>
        </w:numPr>
        <w:tabs>
          <w:tab w:pos="464" w:val="left" w:leader="none"/>
        </w:tabs>
        <w:spacing w:line="240" w:lineRule="auto" w:before="60" w:after="0"/>
        <w:ind w:left="463" w:right="226" w:hanging="360"/>
        <w:jc w:val="both"/>
        <w:rPr>
          <w:sz w:val="22"/>
        </w:rPr>
      </w:pPr>
      <w:r>
        <w:rPr>
          <w:sz w:val="22"/>
        </w:rPr>
        <w:t>Την YA 91589/03.09.2018 (ΦΕΚ 3814/Β/04.09.2018) Ανάθεση αρμοδιοτήτων στον Υφυπουργό Οικονομίας και Ανάπτυξης, Ευστάθιο</w:t>
      </w:r>
      <w:r>
        <w:rPr>
          <w:spacing w:val="-9"/>
          <w:sz w:val="22"/>
        </w:rPr>
        <w:t> </w:t>
      </w:r>
      <w:r>
        <w:rPr>
          <w:sz w:val="22"/>
        </w:rPr>
        <w:t>Γιαννακίδη</w:t>
      </w:r>
    </w:p>
    <w:p>
      <w:pPr>
        <w:pStyle w:val="ListParagraph"/>
        <w:numPr>
          <w:ilvl w:val="0"/>
          <w:numId w:val="7"/>
        </w:numPr>
        <w:tabs>
          <w:tab w:pos="464" w:val="left" w:leader="none"/>
        </w:tabs>
        <w:spacing w:line="240" w:lineRule="auto" w:before="60" w:after="0"/>
        <w:ind w:left="463" w:right="222" w:hanging="360"/>
        <w:jc w:val="both"/>
        <w:rPr>
          <w:sz w:val="22"/>
        </w:rPr>
      </w:pPr>
      <w:r>
        <w:rPr>
          <w:sz w:val="22"/>
        </w:rPr>
        <w:t>Το εγκεκριμένο από την Ευρωπαϊκή Επιτροπή «Σύμφωνο Εταιρικής Σχέσης (Εταιρικό Σύμφωνο για το Πλαίσιο Ανάπτυξης) 2014-2020, αρ. απόφασης C(2014)3542.final/23.05.2014, όπως</w:t>
      </w:r>
      <w:r>
        <w:rPr>
          <w:spacing w:val="-24"/>
          <w:sz w:val="22"/>
        </w:rPr>
        <w:t> </w:t>
      </w:r>
      <w:r>
        <w:rPr>
          <w:sz w:val="22"/>
        </w:rPr>
        <w:t>ισχύει.</w:t>
      </w:r>
    </w:p>
    <w:p>
      <w:pPr>
        <w:pStyle w:val="ListParagraph"/>
        <w:numPr>
          <w:ilvl w:val="0"/>
          <w:numId w:val="7"/>
        </w:numPr>
        <w:tabs>
          <w:tab w:pos="464" w:val="left" w:leader="none"/>
        </w:tabs>
        <w:spacing w:line="240" w:lineRule="auto" w:before="60" w:after="0"/>
        <w:ind w:left="463" w:right="221" w:hanging="360"/>
        <w:jc w:val="both"/>
        <w:rPr>
          <w:sz w:val="22"/>
        </w:rPr>
      </w:pPr>
      <w:r>
        <w:rPr>
          <w:sz w:val="22"/>
        </w:rPr>
        <w:t>Ο Κανονισμός (ΕΕ) αριθ. 1303/2013 του Ευρωπαϊκού Κοινοβουλίου και Συμβουλίου της 17ης Δεκεμβρίου 2013 περί καθορισμού κοινών διατάξεων για το Ευρωπαϊκό Ταμείο Περιφερειακής Ανάπτυξης, το Ευρωπαϊκό Κοινωνικό Ταμείο, το Ταμείο Συνοχής, το Ευρωπαϊκό Γεωργικό Ταμείο Αγροτικής Ανάπτυξης και το Ευρωπαϊκό Ταμείο Θάλασσας και Αλιείας και περί καθορισμού γενικών διατάξεων για το Ευρωπαϊκό Ταμείο Περιφερειακής Ανάπτυξης, το Ευρωπαϊκό Κοινωνικό Ταμείο, το Ταμείο Συνοχής και το Ευρωπαϊκό Ταμείο Θάλασσας και Αλιείας και για την κατάργηση του  Κανονισμού (ΕΚ) αριθ. 1083/2006, όπως</w:t>
      </w:r>
      <w:r>
        <w:rPr>
          <w:spacing w:val="-11"/>
          <w:sz w:val="22"/>
        </w:rPr>
        <w:t> </w:t>
      </w:r>
      <w:r>
        <w:rPr>
          <w:sz w:val="22"/>
        </w:rPr>
        <w:t>ισχύει.</w:t>
      </w:r>
    </w:p>
    <w:p>
      <w:pPr>
        <w:pStyle w:val="ListParagraph"/>
        <w:numPr>
          <w:ilvl w:val="0"/>
          <w:numId w:val="7"/>
        </w:numPr>
        <w:tabs>
          <w:tab w:pos="464" w:val="left" w:leader="none"/>
        </w:tabs>
        <w:spacing w:line="240" w:lineRule="auto" w:before="60" w:after="0"/>
        <w:ind w:left="463" w:right="222" w:hanging="360"/>
        <w:jc w:val="both"/>
        <w:rPr>
          <w:sz w:val="22"/>
        </w:rPr>
      </w:pPr>
      <w:r>
        <w:rPr>
          <w:sz w:val="22"/>
        </w:rPr>
        <w:t>Ο Κανονισμός (ΕΕ) αριθ. 1301/2013 του Ευρωπαϊκού Κοινοβουλίου και του Συμβουλίου της 17ης Δεκεμβρίου 2013 σχετικά με το Ευρωπαϊκό Ταμείο Περιφερειακής Ανάπτυξης και για τη θέσπιση ειδικών διατάξεων σχετικά με τον στόχο «Επενδύσεις στην ανάπτυξη και την απασχόληση» και για την κατάργηση του κανονισμού (ΕΚ) αριθ. 1080/2006, όπως</w:t>
      </w:r>
      <w:r>
        <w:rPr>
          <w:spacing w:val="-13"/>
          <w:sz w:val="22"/>
        </w:rPr>
        <w:t> </w:t>
      </w:r>
      <w:r>
        <w:rPr>
          <w:sz w:val="22"/>
        </w:rPr>
        <w:t>ισχύει.</w:t>
      </w:r>
    </w:p>
    <w:p>
      <w:pPr>
        <w:pStyle w:val="ListParagraph"/>
        <w:numPr>
          <w:ilvl w:val="0"/>
          <w:numId w:val="7"/>
        </w:numPr>
        <w:tabs>
          <w:tab w:pos="464" w:val="left" w:leader="none"/>
        </w:tabs>
        <w:spacing w:line="240" w:lineRule="auto" w:before="60" w:after="0"/>
        <w:ind w:left="463" w:right="220" w:hanging="360"/>
        <w:jc w:val="both"/>
        <w:rPr>
          <w:sz w:val="22"/>
        </w:rPr>
      </w:pPr>
      <w:r>
        <w:rPr>
          <w:sz w:val="22"/>
        </w:rPr>
        <w:t>Ο Κανονισμός (ΕΕ) αριθ. 1304/2013 του Ευρωπαϊκού Κοινοβουλίου και του Συμβουλίου της 17ης Δεκεμβρίου 2013 για το Ευρωπαϊκό Κοινωνικό Ταμείο και την κατάργηση του υπ. αρ. 1081/2006 Κανονισμού του Συμβουλίου, όπως τροποποιείται και</w:t>
      </w:r>
      <w:r>
        <w:rPr>
          <w:spacing w:val="-10"/>
          <w:sz w:val="22"/>
        </w:rPr>
        <w:t> </w:t>
      </w:r>
      <w:r>
        <w:rPr>
          <w:sz w:val="22"/>
        </w:rPr>
        <w:t>ισχύει.</w:t>
      </w:r>
    </w:p>
    <w:p>
      <w:pPr>
        <w:pStyle w:val="ListParagraph"/>
        <w:numPr>
          <w:ilvl w:val="0"/>
          <w:numId w:val="7"/>
        </w:numPr>
        <w:tabs>
          <w:tab w:pos="464" w:val="left" w:leader="none"/>
        </w:tabs>
        <w:spacing w:line="240" w:lineRule="auto" w:before="60" w:after="0"/>
        <w:ind w:left="463" w:right="0" w:hanging="360"/>
        <w:jc w:val="left"/>
        <w:rPr>
          <w:sz w:val="22"/>
        </w:rPr>
      </w:pPr>
      <w:r>
        <w:rPr>
          <w:sz w:val="22"/>
        </w:rPr>
        <w:t>Ο</w:t>
      </w:r>
      <w:r>
        <w:rPr>
          <w:spacing w:val="28"/>
          <w:sz w:val="22"/>
        </w:rPr>
        <w:t> </w:t>
      </w:r>
      <w:r>
        <w:rPr>
          <w:sz w:val="22"/>
        </w:rPr>
        <w:t>Κανονισμός</w:t>
      </w:r>
      <w:r>
        <w:rPr>
          <w:spacing w:val="29"/>
          <w:sz w:val="22"/>
        </w:rPr>
        <w:t> </w:t>
      </w:r>
      <w:r>
        <w:rPr>
          <w:sz w:val="22"/>
        </w:rPr>
        <w:t>(ΕΕ)</w:t>
      </w:r>
      <w:r>
        <w:rPr>
          <w:spacing w:val="29"/>
          <w:sz w:val="22"/>
        </w:rPr>
        <w:t> </w:t>
      </w:r>
      <w:r>
        <w:rPr>
          <w:sz w:val="22"/>
        </w:rPr>
        <w:t>αριθ.</w:t>
      </w:r>
      <w:r>
        <w:rPr>
          <w:spacing w:val="27"/>
          <w:sz w:val="22"/>
        </w:rPr>
        <w:t> </w:t>
      </w:r>
      <w:r>
        <w:rPr>
          <w:sz w:val="22"/>
        </w:rPr>
        <w:t>821/2014</w:t>
      </w:r>
      <w:r>
        <w:rPr>
          <w:spacing w:val="29"/>
          <w:sz w:val="22"/>
        </w:rPr>
        <w:t> </w:t>
      </w:r>
      <w:r>
        <w:rPr>
          <w:sz w:val="22"/>
        </w:rPr>
        <w:t>της</w:t>
      </w:r>
      <w:r>
        <w:rPr>
          <w:spacing w:val="29"/>
          <w:sz w:val="22"/>
        </w:rPr>
        <w:t> </w:t>
      </w:r>
      <w:r>
        <w:rPr>
          <w:sz w:val="22"/>
        </w:rPr>
        <w:t>Επιτροπής</w:t>
      </w:r>
      <w:r>
        <w:rPr>
          <w:spacing w:val="31"/>
          <w:sz w:val="22"/>
        </w:rPr>
        <w:t> </w:t>
      </w:r>
      <w:r>
        <w:rPr>
          <w:sz w:val="22"/>
        </w:rPr>
        <w:t>της</w:t>
      </w:r>
      <w:r>
        <w:rPr>
          <w:spacing w:val="29"/>
          <w:sz w:val="22"/>
        </w:rPr>
        <w:t> </w:t>
      </w:r>
      <w:r>
        <w:rPr>
          <w:sz w:val="22"/>
        </w:rPr>
        <w:t>28ης</w:t>
      </w:r>
      <w:r>
        <w:rPr>
          <w:spacing w:val="29"/>
          <w:sz w:val="22"/>
        </w:rPr>
        <w:t> </w:t>
      </w:r>
      <w:r>
        <w:rPr>
          <w:sz w:val="22"/>
        </w:rPr>
        <w:t>Ιουλίου</w:t>
      </w:r>
      <w:r>
        <w:rPr>
          <w:spacing w:val="28"/>
          <w:sz w:val="22"/>
        </w:rPr>
        <w:t> </w:t>
      </w:r>
      <w:r>
        <w:rPr>
          <w:sz w:val="22"/>
        </w:rPr>
        <w:t>2014,</w:t>
      </w:r>
      <w:r>
        <w:rPr>
          <w:spacing w:val="28"/>
          <w:sz w:val="22"/>
        </w:rPr>
        <w:t> </w:t>
      </w:r>
      <w:r>
        <w:rPr>
          <w:sz w:val="22"/>
        </w:rPr>
        <w:t>περί</w:t>
      </w:r>
      <w:r>
        <w:rPr>
          <w:spacing w:val="25"/>
          <w:sz w:val="22"/>
        </w:rPr>
        <w:t> </w:t>
      </w:r>
      <w:r>
        <w:rPr>
          <w:sz w:val="22"/>
        </w:rPr>
        <w:t>καθορισμού</w:t>
      </w:r>
      <w:r>
        <w:rPr>
          <w:spacing w:val="28"/>
          <w:sz w:val="22"/>
        </w:rPr>
        <w:t> </w:t>
      </w:r>
      <w:r>
        <w:rPr>
          <w:sz w:val="22"/>
        </w:rPr>
        <w:t>κανόνων</w:t>
      </w:r>
    </w:p>
    <w:p>
      <w:pPr>
        <w:spacing w:after="0" w:line="240" w:lineRule="auto"/>
        <w:jc w:val="left"/>
        <w:rPr>
          <w:sz w:val="22"/>
        </w:rPr>
        <w:sectPr>
          <w:footerReference w:type="default" r:id="rId20"/>
          <w:pgSz w:w="11910" w:h="16840"/>
          <w:pgMar w:footer="734" w:header="748" w:top="1420" w:bottom="920" w:left="900" w:right="960"/>
        </w:sectPr>
      </w:pPr>
    </w:p>
    <w:p>
      <w:pPr>
        <w:pStyle w:val="BodyText"/>
        <w:spacing w:before="7"/>
        <w:rPr>
          <w:sz w:val="17"/>
        </w:rPr>
      </w:pPr>
    </w:p>
    <w:p>
      <w:pPr>
        <w:pStyle w:val="BodyText"/>
        <w:spacing w:before="57"/>
        <w:ind w:left="463" w:right="218"/>
        <w:jc w:val="both"/>
      </w:pPr>
      <w:r>
        <w:rPr/>
        <w:t>εφαρμογής του κανονισμού (ΕΕ) αριθ.1303/2013 του Ευρωπαϊκού Κοινοβουλίου και του Συμβουλίου όσον αφορά τις λεπτομέρειες για την μεταβίβαση και διαχείριση των συνεισφορών των  προγραμμάτων, την υποβολή εκθέσεων σχετικά με τα μέσα χρηματοοικονομικής τεχνικής, τα τεχνικά χαρακτηριστικά των μέτρων πληροφόρησης και επικοινωνίας για τις πράξεις και το σύστημα καταγραφής και αποθήκευσης των δεδομένων, όπως τροποποιείται και</w:t>
      </w:r>
      <w:r>
        <w:rPr>
          <w:spacing w:val="-10"/>
        </w:rPr>
        <w:t> </w:t>
      </w:r>
      <w:r>
        <w:rPr/>
        <w:t>ισχύει.</w:t>
      </w:r>
    </w:p>
    <w:p>
      <w:pPr>
        <w:pStyle w:val="ListParagraph"/>
        <w:numPr>
          <w:ilvl w:val="0"/>
          <w:numId w:val="7"/>
        </w:numPr>
        <w:tabs>
          <w:tab w:pos="464" w:val="left" w:leader="none"/>
        </w:tabs>
        <w:spacing w:line="240" w:lineRule="auto" w:before="60" w:after="0"/>
        <w:ind w:left="463" w:right="224" w:hanging="360"/>
        <w:jc w:val="both"/>
        <w:rPr>
          <w:sz w:val="22"/>
        </w:rPr>
      </w:pPr>
      <w:r>
        <w:rPr>
          <w:sz w:val="22"/>
        </w:rPr>
        <w:t>Ο Κανονισμός (ΕΕ) αριθ. 1407/2013 της Επιτροπής της 18ης Δεκεμβρίου 2013 σχετικά με την εφαρμογή των άρθρων 107 και 108 της Συνθήκης για τη λειτουργία της Ευρωπαϊκής Ένωσης στις ενισχύσεις ήσσονος σημασίας, όπως τροποποιείται και ισχύει (O.J ΕΕ L 352/1 της</w:t>
      </w:r>
      <w:r>
        <w:rPr>
          <w:spacing w:val="-25"/>
          <w:sz w:val="22"/>
        </w:rPr>
        <w:t> </w:t>
      </w:r>
      <w:r>
        <w:rPr>
          <w:sz w:val="22"/>
        </w:rPr>
        <w:t>24.12.2013).</w:t>
      </w:r>
    </w:p>
    <w:p>
      <w:pPr>
        <w:pStyle w:val="ListParagraph"/>
        <w:numPr>
          <w:ilvl w:val="0"/>
          <w:numId w:val="7"/>
        </w:numPr>
        <w:tabs>
          <w:tab w:pos="464" w:val="left" w:leader="none"/>
        </w:tabs>
        <w:spacing w:line="240" w:lineRule="auto" w:before="60" w:after="0"/>
        <w:ind w:left="463" w:right="222" w:hanging="360"/>
        <w:jc w:val="both"/>
        <w:rPr>
          <w:sz w:val="22"/>
        </w:rPr>
      </w:pPr>
      <w:r>
        <w:rPr>
          <w:sz w:val="22"/>
        </w:rPr>
        <w:t>Η Ανακοίνωση της Ευρωπαϊκής Επιτροπής σχετικά με την έννοια της κρατικής ενίσχυσης όπως αναφέρεται στο άρθρο 107 παράγραφος 1 της Συνθήκης για τη λειτουργία της Ευρωπαϊκής Ένωσης (2016/C</w:t>
      </w:r>
      <w:r>
        <w:rPr>
          <w:spacing w:val="-10"/>
          <w:sz w:val="22"/>
        </w:rPr>
        <w:t> </w:t>
      </w:r>
      <w:r>
        <w:rPr>
          <w:sz w:val="22"/>
        </w:rPr>
        <w:t>262/01).</w:t>
      </w:r>
    </w:p>
    <w:p>
      <w:pPr>
        <w:pStyle w:val="ListParagraph"/>
        <w:numPr>
          <w:ilvl w:val="0"/>
          <w:numId w:val="7"/>
        </w:numPr>
        <w:tabs>
          <w:tab w:pos="464" w:val="left" w:leader="none"/>
        </w:tabs>
        <w:spacing w:line="240" w:lineRule="auto" w:before="61" w:after="0"/>
        <w:ind w:left="463" w:right="217" w:hanging="360"/>
        <w:jc w:val="both"/>
        <w:rPr>
          <w:sz w:val="22"/>
        </w:rPr>
      </w:pPr>
      <w:r>
        <w:rPr>
          <w:sz w:val="22"/>
        </w:rPr>
        <w:t>Την υπ’ αρ. C(2014) 10183 final/18.12.2014 Απόφαση της Ε.Ε. για την έγκριση ορισμένων στοιχείων του επιχειρησιακού προγράμματος «Περιφερειακό Επιχειρησιακό Πρόγραμμα Θεσσαλίας 2014-2020» για στήριξη από το Ευρωπαϊκό Ταμείο Περιφερειακής Ανάπτυξης και το Ευρωπαϊκό Κοινωνικό Ταμείο στο πλαίσιο του στόχου «Επενδύσεις στην ανάπτυξη και την απασχόληση» για την Περιφέρεια Θεσσαλίας στην Ελλάδα (Κωδικός CCI 2014GR16M2OP003), όπως τροποποιείται και</w:t>
      </w:r>
      <w:r>
        <w:rPr>
          <w:spacing w:val="-19"/>
          <w:sz w:val="22"/>
        </w:rPr>
        <w:t> </w:t>
      </w:r>
      <w:r>
        <w:rPr>
          <w:sz w:val="22"/>
        </w:rPr>
        <w:t>ισχύει.</w:t>
      </w:r>
    </w:p>
    <w:p>
      <w:pPr>
        <w:pStyle w:val="ListParagraph"/>
        <w:numPr>
          <w:ilvl w:val="0"/>
          <w:numId w:val="7"/>
        </w:numPr>
        <w:tabs>
          <w:tab w:pos="464" w:val="left" w:leader="none"/>
        </w:tabs>
        <w:spacing w:line="240" w:lineRule="auto" w:before="58" w:after="0"/>
        <w:ind w:left="463" w:right="0" w:hanging="360"/>
        <w:jc w:val="left"/>
        <w:rPr>
          <w:sz w:val="22"/>
        </w:rPr>
      </w:pPr>
      <w:r>
        <w:rPr>
          <w:sz w:val="22"/>
        </w:rPr>
        <w:t>Ο  Ν.  3852/07.06.2010  «Νέα  Αρχιτεκτονική της  Αυτοδιοίκησης  και  της  Αποκεντρωμένης  Διοίκησης</w:t>
      </w:r>
      <w:r>
        <w:rPr>
          <w:spacing w:val="2"/>
          <w:sz w:val="22"/>
        </w:rPr>
        <w:t> </w:t>
      </w:r>
      <w:r>
        <w:rPr>
          <w:sz w:val="22"/>
        </w:rPr>
        <w:t>-</w:t>
      </w:r>
    </w:p>
    <w:p>
      <w:pPr>
        <w:pStyle w:val="BodyText"/>
        <w:ind w:left="463"/>
        <w:jc w:val="both"/>
      </w:pPr>
      <w:r>
        <w:rPr/>
        <w:t>Πρόγραμμα Καλλικράτης» (ΦΕΚ 87Α’) ), όπως ισχύει.</w:t>
      </w:r>
    </w:p>
    <w:p>
      <w:pPr>
        <w:pStyle w:val="ListParagraph"/>
        <w:numPr>
          <w:ilvl w:val="0"/>
          <w:numId w:val="7"/>
        </w:numPr>
        <w:tabs>
          <w:tab w:pos="464" w:val="left" w:leader="none"/>
        </w:tabs>
        <w:spacing w:line="240" w:lineRule="auto" w:before="60" w:after="0"/>
        <w:ind w:left="463" w:right="222" w:hanging="360"/>
        <w:jc w:val="both"/>
        <w:rPr>
          <w:sz w:val="22"/>
        </w:rPr>
      </w:pPr>
      <w:r>
        <w:rPr>
          <w:sz w:val="22"/>
        </w:rPr>
        <w:t>Την υπ’ αρ. 56/2014 και την υπ' αρ. 68/2014 διορθωτική αυτής Απόφαση του Πολυμελούς Πρωτοδικείου Λάρισας με την οποία ανακηρύχτηκαν ο Περιφερειάρχης, οι Αντιπεριφερειάρχες Περιφερειακών Ενοτήτων και οι Περιφερειακοί Σύμβουλοι της Περιφέρειας Θεσσαλίας για την περίοδο 01-09-2014 έως και</w:t>
      </w:r>
      <w:r>
        <w:rPr>
          <w:spacing w:val="-11"/>
          <w:sz w:val="22"/>
        </w:rPr>
        <w:t> </w:t>
      </w:r>
      <w:r>
        <w:rPr>
          <w:sz w:val="22"/>
        </w:rPr>
        <w:t>31-08-2019.</w:t>
      </w:r>
    </w:p>
    <w:p>
      <w:pPr>
        <w:pStyle w:val="ListParagraph"/>
        <w:numPr>
          <w:ilvl w:val="0"/>
          <w:numId w:val="7"/>
        </w:numPr>
        <w:tabs>
          <w:tab w:pos="464" w:val="left" w:leader="none"/>
        </w:tabs>
        <w:spacing w:line="240" w:lineRule="auto" w:before="60" w:after="0"/>
        <w:ind w:left="463" w:right="219" w:hanging="360"/>
        <w:jc w:val="both"/>
        <w:rPr>
          <w:sz w:val="22"/>
        </w:rPr>
      </w:pPr>
      <w:r>
        <w:rPr>
          <w:sz w:val="22"/>
        </w:rPr>
        <w:t>Η Υπουργική Απόφαση με αριθ. 3357/ΕΥΣ/1338/27.01.2011 και θέμα: "Στοιχεία συστήματος για τον έλεγχο σώρευσης κρατικών ενισχύσεων", όπως τροποποιείται και</w:t>
      </w:r>
      <w:r>
        <w:rPr>
          <w:spacing w:val="-9"/>
          <w:sz w:val="22"/>
        </w:rPr>
        <w:t> </w:t>
      </w:r>
      <w:r>
        <w:rPr>
          <w:sz w:val="22"/>
        </w:rPr>
        <w:t>ισχύει.</w:t>
      </w:r>
    </w:p>
    <w:p>
      <w:pPr>
        <w:pStyle w:val="ListParagraph"/>
        <w:numPr>
          <w:ilvl w:val="0"/>
          <w:numId w:val="7"/>
        </w:numPr>
        <w:tabs>
          <w:tab w:pos="464" w:val="left" w:leader="none"/>
        </w:tabs>
        <w:spacing w:line="240" w:lineRule="auto" w:before="60" w:after="0"/>
        <w:ind w:left="463" w:right="114" w:hanging="360"/>
        <w:jc w:val="both"/>
        <w:rPr>
          <w:sz w:val="22"/>
        </w:rPr>
      </w:pPr>
      <w:r>
        <w:rPr>
          <w:sz w:val="22"/>
        </w:rPr>
        <w:t>Η Κοινή Υπουργική Απόφαση με αριθμ. 134453/23-12-2015 (ΦΕΚ 2857Β΄) και θέμα: «Ρυθμίσεις για τις πληρωμές των δαπανών του συγχρηματοδοτούμενου σκέλους του Προγράμματος Δημοσίων Επενδύσεων», όπως</w:t>
      </w:r>
      <w:r>
        <w:rPr>
          <w:spacing w:val="-5"/>
          <w:sz w:val="22"/>
        </w:rPr>
        <w:t> </w:t>
      </w:r>
      <w:r>
        <w:rPr>
          <w:sz w:val="22"/>
        </w:rPr>
        <w:t>ισχύει.</w:t>
      </w:r>
    </w:p>
    <w:p>
      <w:pPr>
        <w:pStyle w:val="ListParagraph"/>
        <w:numPr>
          <w:ilvl w:val="0"/>
          <w:numId w:val="7"/>
        </w:numPr>
        <w:tabs>
          <w:tab w:pos="464" w:val="left" w:leader="none"/>
        </w:tabs>
        <w:spacing w:line="240" w:lineRule="auto" w:before="60" w:after="0"/>
        <w:ind w:left="463" w:right="119" w:hanging="360"/>
        <w:jc w:val="both"/>
        <w:rPr>
          <w:sz w:val="22"/>
        </w:rPr>
      </w:pPr>
      <w:r>
        <w:rPr>
          <w:sz w:val="22"/>
        </w:rPr>
        <w:t>Ο Ν. 4314/23.12.2014 για τη διαχείριση, τον έλεγχο και εφαρμογή αναπτυξιακών παρεμβάσεων για την προγραμματική περίοδο 2014-2020» (ΦΕΚ 265 Α), όπως</w:t>
      </w:r>
      <w:r>
        <w:rPr>
          <w:spacing w:val="-15"/>
          <w:sz w:val="22"/>
        </w:rPr>
        <w:t> </w:t>
      </w:r>
      <w:r>
        <w:rPr>
          <w:sz w:val="22"/>
        </w:rPr>
        <w:t>ισχύει.</w:t>
      </w:r>
    </w:p>
    <w:p>
      <w:pPr>
        <w:pStyle w:val="ListParagraph"/>
        <w:numPr>
          <w:ilvl w:val="0"/>
          <w:numId w:val="7"/>
        </w:numPr>
        <w:tabs>
          <w:tab w:pos="464" w:val="left" w:leader="none"/>
        </w:tabs>
        <w:spacing w:line="240" w:lineRule="auto" w:before="60" w:after="0"/>
        <w:ind w:left="463" w:right="218" w:hanging="360"/>
        <w:jc w:val="both"/>
        <w:rPr>
          <w:sz w:val="22"/>
        </w:rPr>
      </w:pPr>
      <w:r>
        <w:rPr>
          <w:sz w:val="22"/>
        </w:rPr>
        <w:t>Την Υπουργική Απόφαση 32675/ΕΥΘΥ 331/23.03.2015 (ΦΕΚ 713/Β/24.4.2015) «Αναδιάρθρωση της Ειδικής Υπηρεσίας Διαχείρισης του ΕΠ Περιφέρειας Θεσσαλίας», σύμφωνα με το άρθρο 7 του Ν. 4314/2014 και αντικατάσταση της αριθμ. 41545/Γ΄ΚΠΣ/280ΚΥΑ/08.12.2000 (ΦΕΚ 1501/Β΄) ΚΥΑ όπως έχει τροποποιηθεί και</w:t>
      </w:r>
      <w:r>
        <w:rPr>
          <w:spacing w:val="-6"/>
          <w:sz w:val="22"/>
        </w:rPr>
        <w:t> </w:t>
      </w:r>
      <w:r>
        <w:rPr>
          <w:sz w:val="22"/>
        </w:rPr>
        <w:t>ισχύει.</w:t>
      </w:r>
    </w:p>
    <w:p>
      <w:pPr>
        <w:pStyle w:val="ListParagraph"/>
        <w:numPr>
          <w:ilvl w:val="0"/>
          <w:numId w:val="7"/>
        </w:numPr>
        <w:tabs>
          <w:tab w:pos="464" w:val="left" w:leader="none"/>
        </w:tabs>
        <w:spacing w:line="240" w:lineRule="auto" w:before="60" w:after="0"/>
        <w:ind w:left="463" w:right="220" w:hanging="360"/>
        <w:jc w:val="both"/>
        <w:rPr>
          <w:sz w:val="22"/>
        </w:rPr>
      </w:pPr>
      <w:r>
        <w:rPr>
          <w:sz w:val="22"/>
        </w:rPr>
        <w:t>Η Κοινή Υπουργική Απόφαση με αρ. πρ. 145734/27-01-2015 και θέμα: «Έγκριση Στρατηγικής Μελέτης Περιβαλλοντικών Επιπτώσεων του Περιφερειακού Επιχειρησιακού Προγράμματός Θεσσαλίας 2014-2020», όπως τροποποιείται και</w:t>
      </w:r>
      <w:r>
        <w:rPr>
          <w:spacing w:val="-7"/>
          <w:sz w:val="22"/>
        </w:rPr>
        <w:t> </w:t>
      </w:r>
      <w:r>
        <w:rPr>
          <w:sz w:val="22"/>
        </w:rPr>
        <w:t>ισχύει.</w:t>
      </w:r>
    </w:p>
    <w:p>
      <w:pPr>
        <w:pStyle w:val="BodyText"/>
        <w:spacing w:line="276" w:lineRule="auto" w:before="60"/>
        <w:ind w:left="463" w:right="115" w:hanging="361"/>
        <w:jc w:val="both"/>
      </w:pPr>
      <w:r>
        <w:rPr/>
        <w:t>21) Η με αρ. πρωτ. 137675/EΥΘΥ1016/19-12/2018 (ΦΕΚ 5968/Β/31-12-2018) Απόφαση του Υφυπουργού Οικονομίας και Ανάπτυξης «Αντικατάσταση της υπ’ αριθμ. 110427/EΥΘΥ/ 1020/20.10.2016 (ΦΕΚ Β΄  3521) υπουργικής απόφασης με τίτλο «Τροποποίηση και αντικατάσταση της υπ’ αριθμ. 81986/ΕΥΘΥ712/31.7.2015 (ΦΕΚ Β΄ 1822) υπουργικής απόφασης “Εθνικοί κανόνες επιλεξιμότητας δαπανών για τα προ γράμματα του ΕΣΠΑ 2014 - 2020 -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w:t>
      </w:r>
      <w:r>
        <w:rPr>
          <w:spacing w:val="-13"/>
        </w:rPr>
        <w:t> </w:t>
      </w:r>
      <w:r>
        <w:rPr/>
        <w:t>πράξεων”».</w:t>
      </w:r>
    </w:p>
    <w:p>
      <w:pPr>
        <w:pStyle w:val="ListParagraph"/>
        <w:numPr>
          <w:ilvl w:val="0"/>
          <w:numId w:val="8"/>
        </w:numPr>
        <w:tabs>
          <w:tab w:pos="464" w:val="left" w:leader="none"/>
        </w:tabs>
        <w:spacing w:line="240" w:lineRule="auto" w:before="0" w:after="0"/>
        <w:ind w:left="463" w:right="216" w:hanging="360"/>
        <w:jc w:val="both"/>
        <w:rPr>
          <w:sz w:val="22"/>
        </w:rPr>
      </w:pPr>
      <w:r>
        <w:rPr>
          <w:sz w:val="22"/>
        </w:rPr>
        <w:t>Το Σύστημα Διαχείρισης και Ελέγχου για τα ΕΠ του ΕΣΠΑ 2014-2020 που χρηματοδοτούνται από το ΕΤΠΑ, το ΕΚΤ και το ΤΣ στο πλαίσιο του Στόχου: «Επενδύσεις στην Ανάπτυξη και την Απασχόληση», όπως τροποποιείται και ισχύει κάθε</w:t>
      </w:r>
      <w:r>
        <w:rPr>
          <w:spacing w:val="-6"/>
          <w:sz w:val="22"/>
        </w:rPr>
        <w:t> </w:t>
      </w:r>
      <w:r>
        <w:rPr>
          <w:sz w:val="22"/>
        </w:rPr>
        <w:t>φορά.</w:t>
      </w:r>
    </w:p>
    <w:p>
      <w:pPr>
        <w:spacing w:after="0" w:line="240" w:lineRule="auto"/>
        <w:jc w:val="both"/>
        <w:rPr>
          <w:sz w:val="22"/>
        </w:rPr>
        <w:sectPr>
          <w:footerReference w:type="default" r:id="rId21"/>
          <w:pgSz w:w="11910" w:h="16840"/>
          <w:pgMar w:footer="734" w:header="748" w:top="1420" w:bottom="920" w:left="900" w:right="960"/>
          <w:pgNumType w:start="11"/>
        </w:sectPr>
      </w:pPr>
    </w:p>
    <w:p>
      <w:pPr>
        <w:pStyle w:val="BodyText"/>
        <w:spacing w:before="7"/>
        <w:rPr>
          <w:sz w:val="17"/>
        </w:rPr>
      </w:pPr>
    </w:p>
    <w:p>
      <w:pPr>
        <w:pStyle w:val="ListParagraph"/>
        <w:numPr>
          <w:ilvl w:val="0"/>
          <w:numId w:val="8"/>
        </w:numPr>
        <w:tabs>
          <w:tab w:pos="464" w:val="left" w:leader="none"/>
        </w:tabs>
        <w:spacing w:line="240" w:lineRule="auto" w:before="57" w:after="0"/>
        <w:ind w:left="463" w:right="118" w:hanging="360"/>
        <w:jc w:val="both"/>
        <w:rPr>
          <w:sz w:val="22"/>
        </w:rPr>
      </w:pPr>
      <w:r>
        <w:rPr>
          <w:sz w:val="22"/>
        </w:rPr>
        <w:t>Η Κοινή Υπουργική Απόφαση με αριθμ. 126829/ΕΥΘΥ1217/21.12.2015 (ΦΕΚ 2784 Β’) «Σύστημα δημοσιονομικών διορθώσεων και διαδικασίες ανάκτησης αχρεωστήτως ή παρανόμως καταβληθέντων ποσών από πόρους του κρατικού προϋπολογισμού για την υλοποίηση προγραμμάτων συγχρηματοδοτούμενων στο πλαίσιο του ΕΣΠΑ 2014-2020 σύμφωνα με το αρ. 22 του</w:t>
      </w:r>
      <w:r>
        <w:rPr>
          <w:spacing w:val="-25"/>
          <w:sz w:val="22"/>
        </w:rPr>
        <w:t> </w:t>
      </w:r>
      <w:r>
        <w:rPr>
          <w:sz w:val="22"/>
        </w:rPr>
        <w:t>Ν.4314/2014».</w:t>
      </w:r>
    </w:p>
    <w:p>
      <w:pPr>
        <w:pStyle w:val="ListParagraph"/>
        <w:numPr>
          <w:ilvl w:val="0"/>
          <w:numId w:val="8"/>
        </w:numPr>
        <w:tabs>
          <w:tab w:pos="464" w:val="left" w:leader="none"/>
        </w:tabs>
        <w:spacing w:line="240" w:lineRule="auto" w:before="60" w:after="0"/>
        <w:ind w:left="463" w:right="223" w:hanging="360"/>
        <w:jc w:val="both"/>
        <w:rPr>
          <w:sz w:val="22"/>
        </w:rPr>
      </w:pPr>
      <w:r>
        <w:rPr>
          <w:sz w:val="22"/>
        </w:rPr>
        <w:t>Η Υπουργική Απόφαση με αριθ. 62550 (ΦΕΚ Β' 1738/15.06.2016) για Σύσταση Ανοιχτού Καταπιστευτικού (Δεσμευμένου) Λογαριασμού (Escrow</w:t>
      </w:r>
      <w:r>
        <w:rPr>
          <w:spacing w:val="-16"/>
          <w:sz w:val="22"/>
        </w:rPr>
        <w:t> </w:t>
      </w:r>
      <w:r>
        <w:rPr>
          <w:sz w:val="22"/>
        </w:rPr>
        <w:t>Account).</w:t>
      </w:r>
    </w:p>
    <w:p>
      <w:pPr>
        <w:pStyle w:val="ListParagraph"/>
        <w:numPr>
          <w:ilvl w:val="0"/>
          <w:numId w:val="8"/>
        </w:numPr>
        <w:tabs>
          <w:tab w:pos="464" w:val="left" w:leader="none"/>
        </w:tabs>
        <w:spacing w:line="240" w:lineRule="auto" w:before="58" w:after="0"/>
        <w:ind w:left="463" w:right="218" w:hanging="360"/>
        <w:jc w:val="both"/>
        <w:rPr>
          <w:sz w:val="22"/>
        </w:rPr>
      </w:pPr>
      <w:r>
        <w:rPr>
          <w:sz w:val="22"/>
        </w:rPr>
        <w:t>O N. 4403/07.07.2016 (ΦΕΚ 125) “Προσαρμογή της ελληνικής νομοθεσίας στις διατάξεις των άρθρων 19, 20, 29, 30, 33, 35, 40 έως 46 της Οδηγίας 2013/34/ΕΕ σχετικά με «τις ετήσιες οικονομικές καταστάσεις, τις ενοποιημένες οικονομικές καταστάσεις και συναφείς εκθέσεις επιχειρήσεων ορισμένων μορφών, την τροποποίηση της Οδηγίας 2006/43/ΕΚ του Ευρωπαϊκού Κοινοβουλίου και του Συμβουλίου και την κατάργηση των Οδηγιών 78/660/EOK και 83/349/ ΕΟΚ του Συμβουλίου» (Ε.Ε. L 189 της 29ης Ιουνίου 2013) και στις διατάξεις της Οδηγίας 2014/95/ΕΕ του Ευρωπαϊκού Κοινοβουλίου και του Συμβουλίου (Ε.Ε. L 330/1 της 15ης Νοεμβρίου 2014) «για την τροποποίηση της Οδηγίας  2013/34/ΕΕ όσον αφορά τη δημοσιοποίηση μη χρηματοοικονομικών πληροφοριών και πληροφοριών για την πολυμορφία από ορισμένες μεγάλες επιχειρήσεις και ομίλους» και άλλες διατάξεις αρμοδιότητας Υπουργείου Οικονομίας, Ανάπτυξης και</w:t>
      </w:r>
      <w:r>
        <w:rPr>
          <w:spacing w:val="-14"/>
          <w:sz w:val="22"/>
        </w:rPr>
        <w:t> </w:t>
      </w:r>
      <w:r>
        <w:rPr>
          <w:sz w:val="22"/>
        </w:rPr>
        <w:t>Τουρισμού”.</w:t>
      </w:r>
    </w:p>
    <w:p>
      <w:pPr>
        <w:pStyle w:val="ListParagraph"/>
        <w:numPr>
          <w:ilvl w:val="0"/>
          <w:numId w:val="8"/>
        </w:numPr>
        <w:tabs>
          <w:tab w:pos="464" w:val="left" w:leader="none"/>
        </w:tabs>
        <w:spacing w:line="240" w:lineRule="auto" w:before="58" w:after="0"/>
        <w:ind w:left="463" w:right="217" w:hanging="360"/>
        <w:jc w:val="both"/>
        <w:rPr>
          <w:sz w:val="22"/>
        </w:rPr>
      </w:pPr>
      <w:r>
        <w:rPr>
          <w:sz w:val="22"/>
        </w:rPr>
        <w:t>Η από 24-06-2015 απόφαση της 1ης Επιτροπής Παρακολούθησης του Ε.Π. Θεσσαλίας 2014-2020, με  την οποία εγκρίθηκαν η μεθοδολογία, η διαδικασία και το περιεχόμενο του εντύπου εξειδίκευσης του Περιφερειακού Επιχειρησιακού Προγράμματος Θεσσαλίας 2014-2020, και ειδικότερα ως προς τις Δράσεις του Άξονα</w:t>
      </w:r>
      <w:r>
        <w:rPr>
          <w:spacing w:val="-2"/>
          <w:sz w:val="22"/>
        </w:rPr>
        <w:t> </w:t>
      </w:r>
      <w:r>
        <w:rPr>
          <w:sz w:val="22"/>
        </w:rPr>
        <w:t>1.</w:t>
      </w:r>
    </w:p>
    <w:p>
      <w:pPr>
        <w:pStyle w:val="ListParagraph"/>
        <w:numPr>
          <w:ilvl w:val="0"/>
          <w:numId w:val="8"/>
        </w:numPr>
        <w:tabs>
          <w:tab w:pos="464" w:val="left" w:leader="none"/>
        </w:tabs>
        <w:spacing w:line="240" w:lineRule="auto" w:before="60" w:after="0"/>
        <w:ind w:left="463" w:right="217" w:hanging="360"/>
        <w:jc w:val="both"/>
        <w:rPr>
          <w:sz w:val="22"/>
        </w:rPr>
      </w:pPr>
      <w:r>
        <w:rPr>
          <w:sz w:val="22"/>
        </w:rPr>
        <w:t>Η με αρ. πρ. 3282/14-11-2018 Έγκριση της 15ης Γραπτής Διαδικασίας για την έγκριση Επικαιροποίησης Εξειδίκευσης Δράσεων του ΠΕΠ Θεσσαλίας 2014-2020 και ειδικότερα της δράσης που αφορά στην παρούσα.</w:t>
      </w:r>
    </w:p>
    <w:p>
      <w:pPr>
        <w:pStyle w:val="ListParagraph"/>
        <w:numPr>
          <w:ilvl w:val="0"/>
          <w:numId w:val="8"/>
        </w:numPr>
        <w:tabs>
          <w:tab w:pos="464" w:val="left" w:leader="none"/>
        </w:tabs>
        <w:spacing w:line="240" w:lineRule="auto" w:before="60" w:after="0"/>
        <w:ind w:left="463" w:right="223" w:hanging="360"/>
        <w:jc w:val="both"/>
        <w:rPr>
          <w:sz w:val="22"/>
        </w:rPr>
      </w:pPr>
      <w:r>
        <w:rPr>
          <w:sz w:val="22"/>
        </w:rPr>
        <w:t>Η με αρ. πρ. 656/25-02-2019 Έγκριση της 16ης Γραπτής Διαδικασίας για την έγκριση των κριτηρίων της δράσης που αφορά στην</w:t>
      </w:r>
      <w:r>
        <w:rPr>
          <w:spacing w:val="-4"/>
          <w:sz w:val="22"/>
        </w:rPr>
        <w:t> </w:t>
      </w:r>
      <w:r>
        <w:rPr>
          <w:sz w:val="22"/>
        </w:rPr>
        <w:t>παρούσα.</w:t>
      </w:r>
    </w:p>
    <w:p>
      <w:pPr>
        <w:pStyle w:val="ListParagraph"/>
        <w:numPr>
          <w:ilvl w:val="0"/>
          <w:numId w:val="8"/>
        </w:numPr>
        <w:tabs>
          <w:tab w:pos="464" w:val="left" w:leader="none"/>
        </w:tabs>
        <w:spacing w:line="240" w:lineRule="auto" w:before="60" w:after="0"/>
        <w:ind w:left="463" w:right="221" w:hanging="360"/>
        <w:jc w:val="both"/>
        <w:rPr>
          <w:sz w:val="22"/>
        </w:rPr>
      </w:pPr>
      <w:r>
        <w:rPr>
          <w:sz w:val="22"/>
        </w:rPr>
        <w:t>Το N.4488/13.09.2017, «Συνταξιοδοτικές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 (ΦΕΚ Α 137), και ειδικότερα τα άρθρα 39 &amp; 40, σχετικά με τον «Αποκλεισμό από δημόσιες συμβάσεις και χρηματοδοτήσεις λόγω παραβάσεων της εργατικής</w:t>
      </w:r>
      <w:r>
        <w:rPr>
          <w:spacing w:val="-15"/>
          <w:sz w:val="22"/>
        </w:rPr>
        <w:t> </w:t>
      </w:r>
      <w:r>
        <w:rPr>
          <w:sz w:val="22"/>
        </w:rPr>
        <w:t>νομοθεσίας».</w:t>
      </w:r>
    </w:p>
    <w:p>
      <w:pPr>
        <w:pStyle w:val="ListParagraph"/>
        <w:numPr>
          <w:ilvl w:val="0"/>
          <w:numId w:val="8"/>
        </w:numPr>
        <w:tabs>
          <w:tab w:pos="464" w:val="left" w:leader="none"/>
        </w:tabs>
        <w:spacing w:line="240" w:lineRule="auto" w:before="60" w:after="0"/>
        <w:ind w:left="463" w:right="0" w:hanging="360"/>
        <w:jc w:val="left"/>
        <w:rPr>
          <w:sz w:val="22"/>
        </w:rPr>
      </w:pPr>
      <w:r>
        <w:rPr>
          <w:sz w:val="22"/>
        </w:rPr>
        <w:t>Το με αριθ. 8217/ΕΥΚΕ100/23.01.2018 έγγραφο της Ειδικής Υπηρεσίας Κρατικών Ενισχύσεων με  </w:t>
      </w:r>
      <w:r>
        <w:rPr>
          <w:spacing w:val="35"/>
          <w:sz w:val="22"/>
        </w:rPr>
        <w:t> </w:t>
      </w:r>
      <w:r>
        <w:rPr>
          <w:sz w:val="22"/>
        </w:rPr>
        <w:t>θέμα:</w:t>
      </w:r>
    </w:p>
    <w:p>
      <w:pPr>
        <w:pStyle w:val="BodyText"/>
        <w:ind w:left="463" w:right="221"/>
        <w:jc w:val="both"/>
      </w:pPr>
      <w:r>
        <w:rPr/>
        <w:t>«Εναλλακτική λειτουργία Πληροφοριακού Συστήματος Κρατικών Ενισχύσεων (ΠΣΚΕ) και προσαρμογή των διαδικασιών, ροών εργασίας και ρόλων στην λειτουργία αυτή όσον αφορά στη  διαχείριση  δράσεων κρατικών ενισχύσεων κατά την προγραμματική περίοδο</w:t>
      </w:r>
      <w:r>
        <w:rPr>
          <w:spacing w:val="-11"/>
        </w:rPr>
        <w:t> </w:t>
      </w:r>
      <w:r>
        <w:rPr/>
        <w:t>2014-2020».</w:t>
      </w:r>
    </w:p>
    <w:p>
      <w:pPr>
        <w:pStyle w:val="ListParagraph"/>
        <w:numPr>
          <w:ilvl w:val="0"/>
          <w:numId w:val="8"/>
        </w:numPr>
        <w:tabs>
          <w:tab w:pos="464" w:val="left" w:leader="none"/>
        </w:tabs>
        <w:spacing w:line="240" w:lineRule="auto" w:before="60" w:after="0"/>
        <w:ind w:left="463" w:right="218" w:hanging="360"/>
        <w:jc w:val="both"/>
        <w:rPr>
          <w:sz w:val="22"/>
        </w:rPr>
      </w:pPr>
      <w:r>
        <w:rPr>
          <w:sz w:val="22"/>
        </w:rPr>
        <w:t>Η υπ’ αριθμ. 603/21-02-2019 (ΦΕΚ 828 Β 2019) Απόφαση του Περιφερειάρχη Θεσσαλίας, με την οποία ορίζεται η Διεύθυνση Αναπτυξιακού Προγραμματισμού της Περιφέρειας Θεσσαλίας ως Ενδιάμεσος Φορέας (ΕΦ) του Ε.Π. Θεσσαλίας</w:t>
      </w:r>
      <w:r>
        <w:rPr>
          <w:spacing w:val="-6"/>
          <w:sz w:val="22"/>
        </w:rPr>
        <w:t> </w:t>
      </w:r>
      <w:r>
        <w:rPr>
          <w:sz w:val="22"/>
        </w:rPr>
        <w:t>2014-2020.</w:t>
      </w:r>
    </w:p>
    <w:p>
      <w:pPr>
        <w:pStyle w:val="ListParagraph"/>
        <w:numPr>
          <w:ilvl w:val="0"/>
          <w:numId w:val="8"/>
        </w:numPr>
        <w:tabs>
          <w:tab w:pos="464" w:val="left" w:leader="none"/>
        </w:tabs>
        <w:spacing w:line="240" w:lineRule="auto" w:before="60" w:after="0"/>
        <w:ind w:left="463" w:right="220" w:hanging="360"/>
        <w:jc w:val="both"/>
        <w:rPr>
          <w:sz w:val="22"/>
        </w:rPr>
      </w:pPr>
      <w:r>
        <w:rPr>
          <w:sz w:val="22"/>
        </w:rPr>
        <w:t>Το με αριθ. 45291/ΕΥΚΕ 756/23-04-2019 έγγραφο της Ειδικής Υπηρεσίας Κρατικών  Ενισχύσεων  με θέμα: «Έκφραση γνώμης για Σχέδιο Πρόσκλησης», με το οποίο διατυπώνεται σύμφωνη γνώμη για την προκήρυξη της</w:t>
      </w:r>
      <w:r>
        <w:rPr>
          <w:spacing w:val="-1"/>
          <w:sz w:val="22"/>
        </w:rPr>
        <w:t> </w:t>
      </w:r>
      <w:r>
        <w:rPr>
          <w:sz w:val="22"/>
        </w:rPr>
        <w:t>δράσης.</w:t>
      </w:r>
    </w:p>
    <w:p>
      <w:pPr>
        <w:pStyle w:val="BodyText"/>
      </w:pPr>
    </w:p>
    <w:p>
      <w:pPr>
        <w:pStyle w:val="BodyText"/>
        <w:spacing w:before="1"/>
        <w:rPr>
          <w:sz w:val="18"/>
        </w:rPr>
      </w:pPr>
    </w:p>
    <w:p>
      <w:pPr>
        <w:pStyle w:val="BodyText"/>
        <w:spacing w:line="276" w:lineRule="auto"/>
        <w:ind w:left="538" w:right="115" w:hanging="359"/>
        <w:jc w:val="both"/>
      </w:pPr>
      <w:r>
        <w:rPr>
          <w:b/>
        </w:rPr>
        <w:t>Β. </w:t>
      </w:r>
      <w:r>
        <w:rPr/>
        <w:t>Το θεσμικό πλαίσιο χορήγησης των κρατικών ενισχύσεων της παρούσας πρόσκλησης είναι ο ΚΑΝΟΝΙΣΜΟΣ (ΕΕ) αριθ. 1407/2013 ΤΗΣ ΕΠΙΤΡΟΠΗΣ σχετικά με την εφαρμογή των άρθρων 107 και 108 της Συνθήκης για τη λειτουργία της Ευρωπαϊκής Ένωσης στις ενισχύσεις ήσσονος σημασίας.</w:t>
      </w:r>
    </w:p>
    <w:p>
      <w:pPr>
        <w:pStyle w:val="BodyText"/>
      </w:pPr>
    </w:p>
    <w:p>
      <w:pPr>
        <w:pStyle w:val="BodyText"/>
        <w:spacing w:before="11"/>
      </w:pPr>
    </w:p>
    <w:p>
      <w:pPr>
        <w:pStyle w:val="BodyText"/>
        <w:tabs>
          <w:tab w:pos="538" w:val="left" w:leader="none"/>
        </w:tabs>
        <w:ind w:left="180"/>
      </w:pPr>
      <w:r>
        <w:rPr>
          <w:b/>
        </w:rPr>
        <w:t>Γ.</w:t>
        <w:tab/>
      </w:r>
      <w:r>
        <w:rPr/>
        <w:t>Σημειώνονται τα</w:t>
      </w:r>
      <w:r>
        <w:rPr>
          <w:spacing w:val="-7"/>
        </w:rPr>
        <w:t> </w:t>
      </w:r>
      <w:r>
        <w:rPr/>
        <w:t>εξής:</w:t>
      </w:r>
    </w:p>
    <w:p>
      <w:pPr>
        <w:spacing w:after="0"/>
        <w:sectPr>
          <w:pgSz w:w="11910" w:h="16840"/>
          <w:pgMar w:header="748" w:footer="734" w:top="1420" w:bottom="920" w:left="900" w:right="960"/>
        </w:sectPr>
      </w:pPr>
    </w:p>
    <w:p>
      <w:pPr>
        <w:pStyle w:val="BodyText"/>
        <w:spacing w:before="7"/>
        <w:rPr>
          <w:sz w:val="17"/>
        </w:rPr>
      </w:pPr>
    </w:p>
    <w:p>
      <w:pPr>
        <w:pStyle w:val="ListParagraph"/>
        <w:numPr>
          <w:ilvl w:val="0"/>
          <w:numId w:val="9"/>
        </w:numPr>
        <w:tabs>
          <w:tab w:pos="459" w:val="left" w:leader="none"/>
        </w:tabs>
        <w:spacing w:line="276" w:lineRule="auto" w:before="57" w:after="0"/>
        <w:ind w:left="458" w:right="118" w:hanging="358"/>
        <w:jc w:val="both"/>
        <w:rPr>
          <w:sz w:val="22"/>
        </w:rPr>
      </w:pPr>
      <w:r>
        <w:rPr>
          <w:sz w:val="22"/>
        </w:rPr>
        <w:t>Οι επιχειρήσεις που θα συμμετέχουν στη δράση θα πρέπει να λαμβάνουν μέριμνα για τη διευκόλυνση της πρόσβασης σε αυτές ατόμων με αναπηρία, σύμφωνα με τα προβλεπόμενα στο άρθρο 7 του Κανονισμού (ΕΕ) αριθ. 1303/2013 του Ευρωπαϊκού Κοινοβουλίου και του Συμβουλίου, της 17ης Δεκεμβρίου 2013,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w:t>
      </w:r>
      <w:r>
        <w:rPr>
          <w:spacing w:val="-7"/>
          <w:sz w:val="22"/>
        </w:rPr>
        <w:t> </w:t>
      </w:r>
      <w:r>
        <w:rPr>
          <w:sz w:val="22"/>
        </w:rPr>
        <w:t>1083/2006.</w:t>
      </w:r>
    </w:p>
    <w:p>
      <w:pPr>
        <w:pStyle w:val="ListParagraph"/>
        <w:numPr>
          <w:ilvl w:val="0"/>
          <w:numId w:val="9"/>
        </w:numPr>
        <w:tabs>
          <w:tab w:pos="461" w:val="left" w:leader="none"/>
        </w:tabs>
        <w:spacing w:line="276" w:lineRule="auto" w:before="120" w:after="0"/>
        <w:ind w:left="460" w:right="114" w:hanging="360"/>
        <w:jc w:val="both"/>
        <w:rPr>
          <w:sz w:val="22"/>
        </w:rPr>
      </w:pPr>
      <w:r>
        <w:rPr>
          <w:sz w:val="22"/>
        </w:rPr>
        <w:t>Η κατηγοριοποίηση των επιχειρήσεων σε Μεγάλες, Μεσαίες, Μικρές και Πολύ Μικρές γίνεται σύμφωνα με το ΠΑΡΑΡΤΗΜΑ Ι του ΚΑΝ. (ΕΚ) 651/2014 (βλ. ΠΑΡΑΡΤΗΜΑ ΙV «Ορισμός ΜΜΕ &amp; Υπόδειγμα δήλωσης ΜΜΕ», της παρούσας</w:t>
      </w:r>
      <w:r>
        <w:rPr>
          <w:spacing w:val="-7"/>
          <w:sz w:val="22"/>
        </w:rPr>
        <w:t> </w:t>
      </w:r>
      <w:r>
        <w:rPr>
          <w:sz w:val="22"/>
        </w:rPr>
        <w:t>πρόσκλησης).</w:t>
      </w:r>
    </w:p>
    <w:p>
      <w:pPr>
        <w:pStyle w:val="ListParagraph"/>
        <w:numPr>
          <w:ilvl w:val="0"/>
          <w:numId w:val="9"/>
        </w:numPr>
        <w:tabs>
          <w:tab w:pos="461" w:val="left" w:leader="none"/>
        </w:tabs>
        <w:spacing w:line="276" w:lineRule="auto" w:before="119" w:after="0"/>
        <w:ind w:left="460" w:right="114" w:hanging="360"/>
        <w:jc w:val="both"/>
        <w:rPr>
          <w:sz w:val="22"/>
        </w:rPr>
      </w:pPr>
      <w:r>
        <w:rPr>
          <w:sz w:val="22"/>
        </w:rPr>
        <w:t>Το κράτος υποχρεούται να αναστείλει την χορήγηση νέας ενίσχυσης σε επιχείρηση κατά της οποίας εκκρεμεί διαταγή ανάκτησης, κατόπιν προηγούμενης αποφάσεως της Επιτροπής, με την οποία μια ενίσχυση κηρύσσεται παράνομη και ασυμβίβαστη με την εσωτερική</w:t>
      </w:r>
      <w:r>
        <w:rPr>
          <w:spacing w:val="-16"/>
          <w:sz w:val="22"/>
        </w:rPr>
        <w:t> </w:t>
      </w:r>
      <w:r>
        <w:rPr>
          <w:sz w:val="22"/>
        </w:rPr>
        <w:t>αγορά.</w:t>
      </w:r>
    </w:p>
    <w:p>
      <w:pPr>
        <w:pStyle w:val="ListParagraph"/>
        <w:numPr>
          <w:ilvl w:val="0"/>
          <w:numId w:val="9"/>
        </w:numPr>
        <w:tabs>
          <w:tab w:pos="461" w:val="left" w:leader="none"/>
        </w:tabs>
        <w:spacing w:line="276" w:lineRule="auto" w:before="118" w:after="0"/>
        <w:ind w:left="460" w:right="113" w:hanging="360"/>
        <w:jc w:val="both"/>
        <w:rPr>
          <w:sz w:val="22"/>
        </w:rPr>
      </w:pPr>
      <w:r>
        <w:rPr>
          <w:sz w:val="22"/>
        </w:rPr>
        <w:t>Είναι υποχρεωτική η τήρηση των απαιτήσεων δημοσιότητας, όπως ορίζονται στα άρθρα 115-117 και  στο Παράρτημα ΧΙΙ του Καν. (ΕΕ) 1303/2013 και το Κεφάλαιο ΙΙ του Εκτελεστικού Κανονισμού 821/2014, καθώς και στον Επικοινωνιακό Οδηγό για το ΕΣΠΑ 2014 – 2020. Η υποβολή αιτήσεων των δικαιούχων στο πλαίσιο της πρόσκλησης σημαίνει και αποδοχή από μέρους τους των όρων</w:t>
      </w:r>
      <w:r>
        <w:rPr>
          <w:spacing w:val="-23"/>
          <w:sz w:val="22"/>
        </w:rPr>
        <w:t> </w:t>
      </w:r>
      <w:r>
        <w:rPr>
          <w:sz w:val="22"/>
        </w:rPr>
        <w:t>δημοσιότητας.</w:t>
      </w:r>
    </w:p>
    <w:p>
      <w:pPr>
        <w:pStyle w:val="ListParagraph"/>
        <w:numPr>
          <w:ilvl w:val="0"/>
          <w:numId w:val="9"/>
        </w:numPr>
        <w:tabs>
          <w:tab w:pos="461" w:val="left" w:leader="none"/>
        </w:tabs>
        <w:spacing w:line="276" w:lineRule="auto" w:before="120" w:after="0"/>
        <w:ind w:left="460" w:right="114" w:hanging="360"/>
        <w:jc w:val="both"/>
        <w:rPr>
          <w:sz w:val="22"/>
        </w:rPr>
      </w:pPr>
      <w:r>
        <w:rPr>
          <w:sz w:val="22"/>
        </w:rPr>
        <w:t>Στοιχεία των εγκεκριμένων προς χρηματοδότηση Επενδυτικών Σχεδίων, όπως αυτά προβλέπονται στο Παράρτημα XII του Καν. 1303/2013 και στην κατά περίπτωση εφαρμοζόμενη νομική βάση του Ανταγωνισμού, θα αποτελέσουν αντικείμενο</w:t>
      </w:r>
      <w:r>
        <w:rPr>
          <w:spacing w:val="-12"/>
          <w:sz w:val="22"/>
        </w:rPr>
        <w:t> </w:t>
      </w:r>
      <w:r>
        <w:rPr>
          <w:sz w:val="22"/>
        </w:rPr>
        <w:t>δημοσιοποίησης.</w:t>
      </w:r>
    </w:p>
    <w:p>
      <w:pPr>
        <w:pStyle w:val="ListParagraph"/>
        <w:numPr>
          <w:ilvl w:val="0"/>
          <w:numId w:val="9"/>
        </w:numPr>
        <w:tabs>
          <w:tab w:pos="459" w:val="left" w:leader="none"/>
        </w:tabs>
        <w:spacing w:line="240" w:lineRule="auto" w:before="121" w:after="0"/>
        <w:ind w:left="458" w:right="0" w:hanging="358"/>
        <w:jc w:val="left"/>
        <w:rPr>
          <w:sz w:val="22"/>
        </w:rPr>
      </w:pPr>
      <w:r>
        <w:rPr>
          <w:sz w:val="22"/>
        </w:rPr>
        <w:t>Για τα όρια και τις μέγιστες εντάσεις ενίσχυσης λαμβάνεται υπόψη το συνολικό ποσό της</w:t>
      </w:r>
      <w:r>
        <w:rPr>
          <w:spacing w:val="-25"/>
          <w:sz w:val="22"/>
        </w:rPr>
        <w:t> </w:t>
      </w:r>
      <w:r>
        <w:rPr>
          <w:sz w:val="22"/>
        </w:rPr>
        <w:t>ενίσχυσης.</w:t>
      </w:r>
    </w:p>
    <w:p>
      <w:pPr>
        <w:pStyle w:val="ListParagraph"/>
        <w:numPr>
          <w:ilvl w:val="1"/>
          <w:numId w:val="9"/>
        </w:numPr>
        <w:tabs>
          <w:tab w:pos="888" w:val="left" w:leader="none"/>
        </w:tabs>
        <w:spacing w:line="240" w:lineRule="auto" w:before="161" w:after="0"/>
        <w:ind w:left="887" w:right="118" w:hanging="360"/>
        <w:jc w:val="both"/>
        <w:rPr>
          <w:sz w:val="22"/>
        </w:rPr>
      </w:pPr>
      <w:r>
        <w:rPr>
          <w:sz w:val="22"/>
        </w:rPr>
        <w:t>Απαγορεύεται η σώρευση ενισχύσεων ήσσονος σημασίας με άλλες κρατικές ενισχύσεις για τις  ίδιες επιλέξιμες δαπάνες ή με κρατικές ενισχύσεις για το ίδιο μέτρο χρηματοδότησης υψηλού κινδύνου, αν η σώρευση αυτή οδηγεί σε υπέρβαση της υψηλότερης σχετικής έντασης ενίσχυσης ή του ποσού ενίσχυσης που έχει καθοριστεί με βάση τα συγκεκριμένα δεδομένα κάθε περίπτωσης  σε κανονισμό απαλλαγής κατά κατηγορία ή απόφαση που έχει εκδώσει η</w:t>
      </w:r>
      <w:r>
        <w:rPr>
          <w:spacing w:val="-20"/>
          <w:sz w:val="22"/>
        </w:rPr>
        <w:t> </w:t>
      </w:r>
      <w:r>
        <w:rPr>
          <w:sz w:val="22"/>
        </w:rPr>
        <w:t>Επιτροπή.</w:t>
      </w:r>
    </w:p>
    <w:p>
      <w:pPr>
        <w:pStyle w:val="ListParagraph"/>
        <w:numPr>
          <w:ilvl w:val="1"/>
          <w:numId w:val="9"/>
        </w:numPr>
        <w:tabs>
          <w:tab w:pos="888" w:val="left" w:leader="none"/>
        </w:tabs>
        <w:spacing w:line="240" w:lineRule="auto" w:before="0" w:after="0"/>
        <w:ind w:left="887" w:right="119" w:hanging="360"/>
        <w:jc w:val="both"/>
        <w:rPr>
          <w:sz w:val="22"/>
        </w:rPr>
      </w:pPr>
      <w:r>
        <w:rPr>
          <w:sz w:val="22"/>
        </w:rPr>
        <w:t>Το συνολικό ποσό των ενισχύσεων ήσσονος σημασίας που χορηγούνται ανά κράτος μέλος σε μία ενιαία επιχείρηση δεν υπερβαίνει το ποσό των 200 000 ευρώ σε οποιαδήποτε περίοδο τριών οικονομικών</w:t>
      </w:r>
      <w:r>
        <w:rPr>
          <w:spacing w:val="-4"/>
          <w:sz w:val="22"/>
        </w:rPr>
        <w:t> </w:t>
      </w:r>
      <w:r>
        <w:rPr>
          <w:sz w:val="22"/>
        </w:rPr>
        <w:t>ετών.</w:t>
      </w:r>
    </w:p>
    <w:p>
      <w:pPr>
        <w:pStyle w:val="BodyText"/>
      </w:pPr>
    </w:p>
    <w:p>
      <w:pPr>
        <w:pStyle w:val="ListParagraph"/>
        <w:numPr>
          <w:ilvl w:val="0"/>
          <w:numId w:val="9"/>
        </w:numPr>
        <w:tabs>
          <w:tab w:pos="459" w:val="left" w:leader="none"/>
        </w:tabs>
        <w:spacing w:line="276" w:lineRule="auto" w:before="159" w:after="0"/>
        <w:ind w:left="458" w:right="115" w:hanging="358"/>
        <w:jc w:val="both"/>
        <w:rPr>
          <w:sz w:val="22"/>
        </w:rPr>
      </w:pPr>
      <w:r>
        <w:rPr>
          <w:sz w:val="22"/>
        </w:rPr>
        <w:t>Στην εκτέλεση των έργων θα πρέπει να ληφθεί υπόψη η ισχύουσα εθνική και κοινοτική νομοθεσία σχετικά με την προστασία του ατόμου από την επεξεργασία δεδομένων προσωπικού χαρακτήρα. Ειδικότερα:</w:t>
      </w:r>
    </w:p>
    <w:p>
      <w:pPr>
        <w:pStyle w:val="BodyText"/>
        <w:spacing w:line="276" w:lineRule="auto" w:before="94"/>
        <w:ind w:left="458" w:right="114"/>
        <w:jc w:val="both"/>
      </w:pPr>
      <w:r>
        <w:rPr/>
        <w:t>Κανονισμός (ΕΕ) 2016/679 του Ευρωπαϊκού Κοινοβουλίου και του Συμβουλίου, της 27</w:t>
      </w:r>
      <w:r>
        <w:rPr>
          <w:position w:val="10"/>
          <w:sz w:val="14"/>
        </w:rPr>
        <w:t>ης </w:t>
      </w:r>
      <w:r>
        <w:rPr/>
        <w:t>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ΕΕ L 119 της 4.5.2016.</w:t>
      </w:r>
    </w:p>
    <w:p>
      <w:pPr>
        <w:pStyle w:val="ListParagraph"/>
        <w:numPr>
          <w:ilvl w:val="0"/>
          <w:numId w:val="9"/>
        </w:numPr>
        <w:tabs>
          <w:tab w:pos="461" w:val="left" w:leader="none"/>
        </w:tabs>
        <w:spacing w:line="276" w:lineRule="auto" w:before="120" w:after="0"/>
        <w:ind w:left="460" w:right="117" w:hanging="360"/>
        <w:jc w:val="both"/>
        <w:rPr>
          <w:sz w:val="22"/>
        </w:rPr>
      </w:pPr>
      <w:r>
        <w:rPr>
          <w:sz w:val="22"/>
        </w:rPr>
        <w:t>Για τη διαμόρφωση της παρούσας Πρόσκλησης ελήφθησαν υπόψη οι απαιτήσεις της Στρατηγικής Μελέτης Περιβαλλοντικών Επιπτώσεων (ΣΜΠΕ) του Ε.Π. «ΘΕΣΣΑΛΙΑ</w:t>
      </w:r>
      <w:r>
        <w:rPr>
          <w:spacing w:val="-12"/>
          <w:sz w:val="22"/>
        </w:rPr>
        <w:t> </w:t>
      </w:r>
      <w:r>
        <w:rPr>
          <w:sz w:val="22"/>
        </w:rPr>
        <w:t>2014-2020».</w:t>
      </w:r>
    </w:p>
    <w:p>
      <w:pPr>
        <w:pStyle w:val="ListParagraph"/>
        <w:numPr>
          <w:ilvl w:val="0"/>
          <w:numId w:val="9"/>
        </w:numPr>
        <w:tabs>
          <w:tab w:pos="459" w:val="left" w:leader="none"/>
        </w:tabs>
        <w:spacing w:line="276" w:lineRule="auto" w:before="118" w:after="0"/>
        <w:ind w:left="458" w:right="119" w:hanging="358"/>
        <w:jc w:val="both"/>
        <w:rPr>
          <w:sz w:val="22"/>
        </w:rPr>
      </w:pPr>
      <w:r>
        <w:rPr>
          <w:sz w:val="22"/>
        </w:rPr>
        <w:t>Οι ενισχύσεις που χορηγούνται δυνάμει της παρούσας πρόσκλησης συμβιβάζονται με την εσωτερική αγορά</w:t>
      </w:r>
      <w:r>
        <w:rPr>
          <w:spacing w:val="17"/>
          <w:sz w:val="22"/>
        </w:rPr>
        <w:t> </w:t>
      </w:r>
      <w:r>
        <w:rPr>
          <w:sz w:val="22"/>
        </w:rPr>
        <w:t>κατά</w:t>
      </w:r>
      <w:r>
        <w:rPr>
          <w:spacing w:val="16"/>
          <w:sz w:val="22"/>
        </w:rPr>
        <w:t> </w:t>
      </w:r>
      <w:r>
        <w:rPr>
          <w:sz w:val="22"/>
        </w:rPr>
        <w:t>την</w:t>
      </w:r>
      <w:r>
        <w:rPr>
          <w:spacing w:val="16"/>
          <w:sz w:val="22"/>
        </w:rPr>
        <w:t> </w:t>
      </w:r>
      <w:r>
        <w:rPr>
          <w:sz w:val="22"/>
        </w:rPr>
        <w:t>έννοια</w:t>
      </w:r>
      <w:r>
        <w:rPr>
          <w:spacing w:val="16"/>
          <w:sz w:val="22"/>
        </w:rPr>
        <w:t> </w:t>
      </w:r>
      <w:r>
        <w:rPr>
          <w:sz w:val="22"/>
        </w:rPr>
        <w:t>του</w:t>
      </w:r>
      <w:r>
        <w:rPr>
          <w:spacing w:val="17"/>
          <w:sz w:val="22"/>
        </w:rPr>
        <w:t> </w:t>
      </w:r>
      <w:r>
        <w:rPr>
          <w:sz w:val="22"/>
        </w:rPr>
        <w:t>άρθρου</w:t>
      </w:r>
      <w:r>
        <w:rPr>
          <w:spacing w:val="17"/>
          <w:sz w:val="22"/>
        </w:rPr>
        <w:t> </w:t>
      </w:r>
      <w:r>
        <w:rPr>
          <w:sz w:val="22"/>
        </w:rPr>
        <w:t>107</w:t>
      </w:r>
      <w:r>
        <w:rPr>
          <w:spacing w:val="17"/>
          <w:sz w:val="22"/>
        </w:rPr>
        <w:t> </w:t>
      </w:r>
      <w:r>
        <w:rPr>
          <w:sz w:val="22"/>
        </w:rPr>
        <w:t>παράγραφος</w:t>
      </w:r>
      <w:r>
        <w:rPr>
          <w:spacing w:val="17"/>
          <w:sz w:val="22"/>
        </w:rPr>
        <w:t> </w:t>
      </w:r>
      <w:r>
        <w:rPr>
          <w:sz w:val="22"/>
        </w:rPr>
        <w:t>2</w:t>
      </w:r>
      <w:r>
        <w:rPr>
          <w:spacing w:val="17"/>
          <w:sz w:val="22"/>
        </w:rPr>
        <w:t> </w:t>
      </w:r>
      <w:r>
        <w:rPr>
          <w:sz w:val="22"/>
        </w:rPr>
        <w:t>ή</w:t>
      </w:r>
      <w:r>
        <w:rPr>
          <w:spacing w:val="16"/>
          <w:sz w:val="22"/>
        </w:rPr>
        <w:t> </w:t>
      </w:r>
      <w:r>
        <w:rPr>
          <w:sz w:val="22"/>
        </w:rPr>
        <w:t>3</w:t>
      </w:r>
      <w:r>
        <w:rPr>
          <w:spacing w:val="17"/>
          <w:sz w:val="22"/>
        </w:rPr>
        <w:t> </w:t>
      </w:r>
      <w:r>
        <w:rPr>
          <w:sz w:val="22"/>
        </w:rPr>
        <w:t>της</w:t>
      </w:r>
      <w:r>
        <w:rPr>
          <w:spacing w:val="17"/>
          <w:sz w:val="22"/>
        </w:rPr>
        <w:t> </w:t>
      </w:r>
      <w:r>
        <w:rPr>
          <w:sz w:val="22"/>
        </w:rPr>
        <w:t>Συνθήκης</w:t>
      </w:r>
      <w:r>
        <w:rPr>
          <w:spacing w:val="17"/>
          <w:sz w:val="22"/>
        </w:rPr>
        <w:t> </w:t>
      </w:r>
      <w:r>
        <w:rPr>
          <w:sz w:val="22"/>
        </w:rPr>
        <w:t>και</w:t>
      </w:r>
      <w:r>
        <w:rPr>
          <w:spacing w:val="16"/>
          <w:sz w:val="22"/>
        </w:rPr>
        <w:t> </w:t>
      </w:r>
      <w:r>
        <w:rPr>
          <w:sz w:val="22"/>
        </w:rPr>
        <w:t>απαλλάσσονται</w:t>
      </w:r>
      <w:r>
        <w:rPr>
          <w:spacing w:val="16"/>
          <w:sz w:val="22"/>
        </w:rPr>
        <w:t> </w:t>
      </w:r>
      <w:r>
        <w:rPr>
          <w:sz w:val="22"/>
        </w:rPr>
        <w:t>από</w:t>
      </w:r>
      <w:r>
        <w:rPr>
          <w:spacing w:val="15"/>
          <w:sz w:val="22"/>
        </w:rPr>
        <w:t> </w:t>
      </w:r>
      <w:r>
        <w:rPr>
          <w:sz w:val="22"/>
        </w:rPr>
        <w:t>την</w:t>
      </w:r>
    </w:p>
    <w:p>
      <w:pPr>
        <w:spacing w:after="0" w:line="276" w:lineRule="auto"/>
        <w:jc w:val="both"/>
        <w:rPr>
          <w:sz w:val="22"/>
        </w:rPr>
        <w:sectPr>
          <w:pgSz w:w="11910" w:h="16840"/>
          <w:pgMar w:header="748" w:footer="734" w:top="1420" w:bottom="920" w:left="980" w:right="960"/>
        </w:sectPr>
      </w:pPr>
    </w:p>
    <w:p>
      <w:pPr>
        <w:pStyle w:val="BodyText"/>
        <w:spacing w:before="7"/>
        <w:rPr>
          <w:sz w:val="17"/>
        </w:rPr>
      </w:pPr>
    </w:p>
    <w:p>
      <w:pPr>
        <w:pStyle w:val="BodyText"/>
        <w:spacing w:line="276" w:lineRule="auto" w:before="57"/>
        <w:ind w:left="458" w:right="119"/>
        <w:jc w:val="both"/>
      </w:pPr>
      <w:r>
        <w:rPr/>
        <w:t>υποχρέωση κοινοποίησης του άρθρου 108 παράγραφος 3 της Συνθήκης, εφόσον οι ενισχύσεις αυτές πληρούν όλες τις προϋποθέσεις του Καν. (Ε.Ε.) 1407/2013.</w:t>
      </w:r>
    </w:p>
    <w:p>
      <w:pPr>
        <w:pStyle w:val="ListParagraph"/>
        <w:numPr>
          <w:ilvl w:val="0"/>
          <w:numId w:val="9"/>
        </w:numPr>
        <w:tabs>
          <w:tab w:pos="459" w:val="left" w:leader="none"/>
        </w:tabs>
        <w:spacing w:line="276" w:lineRule="auto" w:before="118" w:after="0"/>
        <w:ind w:left="458" w:right="120" w:hanging="358"/>
        <w:jc w:val="both"/>
        <w:rPr>
          <w:sz w:val="22"/>
        </w:rPr>
      </w:pPr>
      <w:r>
        <w:rPr>
          <w:sz w:val="22"/>
        </w:rPr>
        <w:t>Οι επιχειρήσεις που θα συμμετέχουν στη δράση θα πρέπει να τηρούν την νομοθεσία περί υγείας και ασφάλειας των εργαζομένων και πρόληψης του επαγγελματικού</w:t>
      </w:r>
      <w:r>
        <w:rPr>
          <w:spacing w:val="-14"/>
          <w:sz w:val="22"/>
        </w:rPr>
        <w:t> </w:t>
      </w:r>
      <w:r>
        <w:rPr>
          <w:sz w:val="22"/>
        </w:rPr>
        <w:t>κινδύνου.</w:t>
      </w:r>
    </w:p>
    <w:p>
      <w:pPr>
        <w:pStyle w:val="BodyText"/>
      </w:pPr>
    </w:p>
    <w:p>
      <w:pPr>
        <w:pStyle w:val="BodyText"/>
        <w:spacing w:before="11"/>
        <w:rPr>
          <w:sz w:val="32"/>
        </w:rPr>
      </w:pPr>
    </w:p>
    <w:p>
      <w:pPr>
        <w:pStyle w:val="Heading2"/>
        <w:numPr>
          <w:ilvl w:val="0"/>
          <w:numId w:val="10"/>
        </w:numPr>
        <w:tabs>
          <w:tab w:pos="666" w:val="left" w:leader="none"/>
          <w:tab w:pos="667" w:val="left" w:leader="none"/>
        </w:tabs>
        <w:spacing w:line="240" w:lineRule="auto" w:before="0" w:after="0"/>
        <w:ind w:left="666" w:right="0" w:hanging="566"/>
        <w:jc w:val="left"/>
      </w:pPr>
      <w:bookmarkStart w:name="_TOC_250052" w:id="4"/>
      <w:r>
        <w:rPr/>
        <w:t>ΤΑΥΤΟΤΗΤΑ ΤΗΣ ΠΡΟΣΚΛΗΣΗΣ ΚΑΙ ΤΗΣ</w:t>
      </w:r>
      <w:r>
        <w:rPr>
          <w:spacing w:val="-17"/>
        </w:rPr>
        <w:t> </w:t>
      </w:r>
      <w:bookmarkEnd w:id="4"/>
      <w:r>
        <w:rPr/>
        <w:t>ΔΡΑΣΗΣ</w:t>
      </w:r>
    </w:p>
    <w:p>
      <w:pPr>
        <w:pStyle w:val="BodyText"/>
        <w:spacing w:before="7"/>
        <w:rPr>
          <w:b/>
          <w:sz w:val="19"/>
        </w:rPr>
      </w:pPr>
    </w:p>
    <w:p>
      <w:pPr>
        <w:pStyle w:val="ListParagraph"/>
        <w:numPr>
          <w:ilvl w:val="1"/>
          <w:numId w:val="10"/>
        </w:numPr>
        <w:tabs>
          <w:tab w:pos="461" w:val="left" w:leader="none"/>
        </w:tabs>
        <w:spacing w:line="276" w:lineRule="auto" w:before="0" w:after="0"/>
        <w:ind w:left="460" w:right="115" w:hanging="360"/>
        <w:jc w:val="both"/>
        <w:rPr>
          <w:sz w:val="22"/>
        </w:rPr>
      </w:pPr>
      <w:r>
        <w:rPr>
          <w:sz w:val="22"/>
        </w:rPr>
        <w:t>Η Δράση </w:t>
      </w:r>
      <w:r>
        <w:rPr>
          <w:b/>
          <w:sz w:val="22"/>
        </w:rPr>
        <w:t>«Ενίσχυση υφιστάμενων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w:t>
      </w:r>
      <w:r>
        <w:rPr>
          <w:sz w:val="22"/>
        </w:rPr>
        <w:t>με κωδικό «3α.1.4.1.1» χρηματοδοτείται από το Επιχειρησιακό Πρόγραμμα (ΕΠ) της Περιφέρειας Θεσσαλίας (ΠΘ) 2014 -2020 και ειδικότερα στο  πλαίσιο που καθορίζεται από τα</w:t>
      </w:r>
      <w:r>
        <w:rPr>
          <w:spacing w:val="-7"/>
          <w:sz w:val="22"/>
        </w:rPr>
        <w:t> </w:t>
      </w:r>
      <w:r>
        <w:rPr>
          <w:sz w:val="22"/>
        </w:rPr>
        <w:t>παρακάτω:</w:t>
      </w:r>
    </w:p>
    <w:p>
      <w:pPr>
        <w:pStyle w:val="BodyText"/>
        <w:spacing w:before="120"/>
        <w:ind w:left="460" w:right="117"/>
        <w:jc w:val="both"/>
      </w:pPr>
      <w:r>
        <w:rPr>
          <w:u w:val="single"/>
        </w:rPr>
        <w:t>ΑΞΟΝΑ ΠΡΟΤΕΡΑΙΟΤΗΤΑΣ 01: </w:t>
      </w:r>
      <w:r>
        <w:rPr/>
        <w:t>«Ενίσχυση της ανταγωνιστικότητας και της εξωστρέφειας των επιχειρήσεων (ιδιαίτερα των μετάβαση στην ποιοτική επιχειρηματικότητα, με αιχμή την καινοτομία και αύξηση της Περιφερειακής Προστιθέμενης Αξίας»</w:t>
      </w:r>
    </w:p>
    <w:p>
      <w:pPr>
        <w:pStyle w:val="BodyText"/>
      </w:pPr>
    </w:p>
    <w:p>
      <w:pPr>
        <w:pStyle w:val="BodyText"/>
        <w:spacing w:before="8"/>
        <w:rPr>
          <w:sz w:val="19"/>
        </w:rPr>
      </w:pPr>
    </w:p>
    <w:p>
      <w:pPr>
        <w:pStyle w:val="BodyText"/>
        <w:ind w:left="460"/>
        <w:jc w:val="both"/>
      </w:pPr>
      <w:r>
        <w:rPr>
          <w:u w:val="single"/>
        </w:rPr>
        <w:t>ΘΕΜΑΤΙΚΟ ΣΤΟΧΟΣ 03: </w:t>
      </w:r>
      <w:r>
        <w:rPr/>
        <w:t>«Βελτίωση της ανταγωνιστικότητας των μικρομεσαίων επιχειρήσεων»</w:t>
      </w:r>
    </w:p>
    <w:p>
      <w:pPr>
        <w:pStyle w:val="BodyText"/>
        <w:rPr>
          <w:sz w:val="20"/>
        </w:rPr>
      </w:pPr>
    </w:p>
    <w:p>
      <w:pPr>
        <w:pStyle w:val="BodyText"/>
        <w:spacing w:before="11"/>
        <w:rPr>
          <w:sz w:val="16"/>
        </w:rPr>
      </w:pPr>
    </w:p>
    <w:p>
      <w:pPr>
        <w:pStyle w:val="BodyText"/>
        <w:spacing w:before="56"/>
        <w:ind w:left="460" w:right="120"/>
        <w:jc w:val="both"/>
      </w:pPr>
      <w:r>
        <w:rPr>
          <w:u w:val="single"/>
        </w:rPr>
        <w:t>ΕΠΕΝΔΥΤΙΚΗ ΠΡΟΤΕΡΑΙΟΤΗΤΑ 3α: </w:t>
      </w:r>
      <w:r>
        <w:rPr/>
        <w:t>«Προαγωγής της επιχειρηματικότητας, ιδίως με τη διευκόλυνση της οικονομικής αξιοποίησης νέων ιδεών και ενίσχυσης της δημιουργίας νέων επιχειρήσεων, μεταξύ άλλων και μέσω θερμοκοιτίδων επιχειρήσεων·»</w:t>
      </w:r>
    </w:p>
    <w:p>
      <w:pPr>
        <w:pStyle w:val="BodyText"/>
      </w:pPr>
    </w:p>
    <w:p>
      <w:pPr>
        <w:pStyle w:val="BodyText"/>
        <w:rPr>
          <w:sz w:val="23"/>
        </w:rPr>
      </w:pPr>
    </w:p>
    <w:p>
      <w:pPr>
        <w:pStyle w:val="BodyText"/>
        <w:spacing w:line="276" w:lineRule="auto"/>
        <w:ind w:left="460" w:right="115"/>
        <w:jc w:val="both"/>
      </w:pPr>
      <w:r>
        <w:rPr/>
        <w:t>Η δράση αναφέρεται και συμβάλει στον ειδικό στόχο «1.4.1 : Επιχειρηματική εκμετάλλευση προϊόντων Ε&amp;Τ και καινοτομιών από υφιστάμενες και νεοϊδρυόμενες ΜΜΕ για αύξηση  της  παραγωγικότητας τους» και στο δείκτη αποτελέσματος «Τ1406 : ΑΠΑ σε κλάδους υψηλής προστιθέμενης αξίας της Περιφέρειας».</w:t>
      </w:r>
    </w:p>
    <w:p>
      <w:pPr>
        <w:pStyle w:val="BodyText"/>
        <w:spacing w:before="2"/>
        <w:rPr>
          <w:sz w:val="25"/>
        </w:rPr>
      </w:pPr>
    </w:p>
    <w:p>
      <w:pPr>
        <w:spacing w:line="276" w:lineRule="auto" w:before="0"/>
        <w:ind w:left="460" w:right="113" w:firstLine="0"/>
        <w:jc w:val="both"/>
        <w:rPr>
          <w:sz w:val="22"/>
        </w:rPr>
      </w:pPr>
      <w:r>
        <w:rPr>
          <w:b/>
          <w:sz w:val="22"/>
        </w:rPr>
        <w:t>Ειδικότερα αφορά σε δράσεις εκσυγχρονισμού υφισταμένων πολύ μικρών, μικρών και μεσαίων επιχειρήσεων </w:t>
      </w:r>
      <w:r>
        <w:rPr>
          <w:sz w:val="22"/>
        </w:rPr>
        <w:t>μέσω τεχνολογικής και μη τεχνολογικής αναβάθμισης, με αξιοποίηση υποστηρικτικών τεχνολογιών ή και καινοτομίας, για τη βελτίωση της παραγωγικότητας, της ποιότητας και καινοτομίας σε επίπεδο επιχείρησης έχοντας ως</w:t>
      </w:r>
      <w:r>
        <w:rPr>
          <w:spacing w:val="-7"/>
          <w:sz w:val="22"/>
        </w:rPr>
        <w:t> </w:t>
      </w:r>
      <w:r>
        <w:rPr>
          <w:sz w:val="22"/>
        </w:rPr>
        <w:t>στόχους:</w:t>
      </w:r>
    </w:p>
    <w:p>
      <w:pPr>
        <w:pStyle w:val="ListParagraph"/>
        <w:numPr>
          <w:ilvl w:val="2"/>
          <w:numId w:val="10"/>
        </w:numPr>
        <w:tabs>
          <w:tab w:pos="953" w:val="left" w:leader="none"/>
        </w:tabs>
        <w:spacing w:line="256" w:lineRule="auto" w:before="3" w:after="0"/>
        <w:ind w:left="952" w:right="117" w:hanging="286"/>
        <w:jc w:val="both"/>
        <w:rPr>
          <w:sz w:val="22"/>
        </w:rPr>
      </w:pPr>
      <w:r>
        <w:rPr>
          <w:sz w:val="22"/>
        </w:rPr>
        <w:t>Τον αναπροσανατολισμό της παραγωγής προς κλάδους και προϊόντα υψηλότερης προστιθέμενης αξίας που θα συμβάλλουν στην ενίσχυση της εξωστρεφούς ανταγωνιστικότητας τους μέσω της τόνωσης της εξωστρέφειας των επιχειρήσεων και της σύναψης διεθνών</w:t>
      </w:r>
      <w:r>
        <w:rPr>
          <w:spacing w:val="-13"/>
          <w:sz w:val="22"/>
        </w:rPr>
        <w:t> </w:t>
      </w:r>
      <w:r>
        <w:rPr>
          <w:sz w:val="22"/>
        </w:rPr>
        <w:t>συνεργασιών.</w:t>
      </w:r>
    </w:p>
    <w:p>
      <w:pPr>
        <w:pStyle w:val="ListParagraph"/>
        <w:numPr>
          <w:ilvl w:val="2"/>
          <w:numId w:val="10"/>
        </w:numPr>
        <w:tabs>
          <w:tab w:pos="953" w:val="left" w:leader="none"/>
        </w:tabs>
        <w:spacing w:line="254" w:lineRule="auto" w:before="118" w:after="0"/>
        <w:ind w:left="952" w:right="116" w:hanging="286"/>
        <w:jc w:val="both"/>
        <w:rPr>
          <w:sz w:val="22"/>
        </w:rPr>
      </w:pPr>
      <w:r>
        <w:rPr>
          <w:sz w:val="22"/>
        </w:rPr>
        <w:t>Την ενίσχυση υφισταμένων επιχειρήσεων για την παραγωγή καινοτόμων προϊόντων για την βελτίωση της ανταγωνιστικότητας</w:t>
      </w:r>
      <w:r>
        <w:rPr>
          <w:spacing w:val="-12"/>
          <w:sz w:val="22"/>
        </w:rPr>
        <w:t> </w:t>
      </w:r>
      <w:r>
        <w:rPr>
          <w:sz w:val="22"/>
        </w:rPr>
        <w:t>τους.</w:t>
      </w:r>
    </w:p>
    <w:p>
      <w:pPr>
        <w:pStyle w:val="ListParagraph"/>
        <w:numPr>
          <w:ilvl w:val="2"/>
          <w:numId w:val="10"/>
        </w:numPr>
        <w:tabs>
          <w:tab w:pos="1003" w:val="left" w:leader="none"/>
        </w:tabs>
        <w:spacing w:line="240" w:lineRule="auto" w:before="123" w:after="0"/>
        <w:ind w:left="1002" w:right="0" w:hanging="336"/>
        <w:jc w:val="left"/>
        <w:rPr>
          <w:sz w:val="22"/>
        </w:rPr>
      </w:pPr>
      <w:r>
        <w:rPr>
          <w:sz w:val="22"/>
        </w:rPr>
        <w:t>Την ανάπτυξη προϊόντων και υπηρεσιών κατά προτεραιότητα σε τομείς της έξυπνης</w:t>
      </w:r>
      <w:r>
        <w:rPr>
          <w:spacing w:val="-23"/>
          <w:sz w:val="22"/>
        </w:rPr>
        <w:t> </w:t>
      </w:r>
      <w:r>
        <w:rPr>
          <w:sz w:val="22"/>
        </w:rPr>
        <w:t>εξειδίκευσης.</w:t>
      </w:r>
    </w:p>
    <w:p>
      <w:pPr>
        <w:pStyle w:val="ListParagraph"/>
        <w:numPr>
          <w:ilvl w:val="2"/>
          <w:numId w:val="10"/>
        </w:numPr>
        <w:tabs>
          <w:tab w:pos="953" w:val="left" w:leader="none"/>
        </w:tabs>
        <w:spacing w:line="256" w:lineRule="auto" w:before="137" w:after="0"/>
        <w:ind w:left="952" w:right="114" w:hanging="286"/>
        <w:jc w:val="both"/>
        <w:rPr>
          <w:sz w:val="22"/>
        </w:rPr>
      </w:pPr>
      <w:r>
        <w:rPr>
          <w:sz w:val="22"/>
        </w:rPr>
        <w:t>Την υποστήριξη και αύξηση των παραγωγικών επενδύσεων που συμβάλλουν στην ενίσχυση της παρουσίας των θεσσαλικών επιχειρήσεων στις διεθνείς αγορές, με έμφαση στην ποιοτική αναβάθμιση, την τυποποίηση και την πιστοποίηση των</w:t>
      </w:r>
      <w:r>
        <w:rPr>
          <w:spacing w:val="-13"/>
          <w:sz w:val="22"/>
        </w:rPr>
        <w:t> </w:t>
      </w:r>
      <w:r>
        <w:rPr>
          <w:sz w:val="22"/>
        </w:rPr>
        <w:t>προϊόντων.</w:t>
      </w:r>
    </w:p>
    <w:p>
      <w:pPr>
        <w:spacing w:after="0" w:line="256" w:lineRule="auto"/>
        <w:jc w:val="both"/>
        <w:rPr>
          <w:sz w:val="22"/>
        </w:rPr>
        <w:sectPr>
          <w:pgSz w:w="11910" w:h="16840"/>
          <w:pgMar w:header="748" w:footer="734" w:top="1420" w:bottom="920" w:left="980" w:right="960"/>
        </w:sectPr>
      </w:pPr>
    </w:p>
    <w:p>
      <w:pPr>
        <w:pStyle w:val="BodyText"/>
        <w:spacing w:before="1"/>
        <w:rPr>
          <w:sz w:val="15"/>
        </w:rPr>
      </w:pPr>
    </w:p>
    <w:p>
      <w:pPr>
        <w:pStyle w:val="ListParagraph"/>
        <w:numPr>
          <w:ilvl w:val="2"/>
          <w:numId w:val="10"/>
        </w:numPr>
        <w:tabs>
          <w:tab w:pos="973" w:val="left" w:leader="none"/>
        </w:tabs>
        <w:spacing w:line="240" w:lineRule="auto" w:before="90" w:after="0"/>
        <w:ind w:left="972" w:right="0" w:hanging="286"/>
        <w:jc w:val="left"/>
        <w:rPr>
          <w:sz w:val="22"/>
        </w:rPr>
      </w:pPr>
      <w:r>
        <w:rPr>
          <w:sz w:val="22"/>
        </w:rPr>
        <w:t>Την ανάπτυξη νέων προϊόντων και υπηρεσιών και τον εκσυγχρονισμό των</w:t>
      </w:r>
      <w:r>
        <w:rPr>
          <w:spacing w:val="-15"/>
          <w:sz w:val="22"/>
        </w:rPr>
        <w:t> </w:t>
      </w:r>
      <w:r>
        <w:rPr>
          <w:sz w:val="22"/>
        </w:rPr>
        <w:t>επιχειρήσεων.</w:t>
      </w:r>
    </w:p>
    <w:p>
      <w:pPr>
        <w:pStyle w:val="BodyText"/>
        <w:spacing w:line="276" w:lineRule="auto" w:before="134"/>
        <w:ind w:left="547" w:right="113"/>
        <w:jc w:val="both"/>
      </w:pPr>
      <w:r>
        <w:rPr/>
        <w:t>Οι πράξεις αφορούν σε ΜΜΕ κατά προτεραιότητα στα προϊόντα και τις υπηρεσίες των κλάδων προτεραιότητας για την Περιφέρεια, σύμφωνα με την στρατηγική της έξυπνης εξειδίκευσης (RIS3). Οι Κωδικοί Αριθμοί Δραστηριότητας, που προσδιορίζουν τις επιλέξιμες ΜΜΕ, περιλαμβάνονται στο Παράρτημα VIII της πρόσκλησης.</w:t>
      </w:r>
    </w:p>
    <w:p>
      <w:pPr>
        <w:pStyle w:val="BodyText"/>
      </w:pPr>
    </w:p>
    <w:p>
      <w:pPr>
        <w:pStyle w:val="ListParagraph"/>
        <w:numPr>
          <w:ilvl w:val="1"/>
          <w:numId w:val="10"/>
        </w:numPr>
        <w:tabs>
          <w:tab w:pos="481" w:val="left" w:leader="none"/>
        </w:tabs>
        <w:spacing w:line="276" w:lineRule="auto" w:before="162" w:after="0"/>
        <w:ind w:left="480" w:right="114" w:hanging="360"/>
        <w:jc w:val="both"/>
        <w:rPr>
          <w:sz w:val="22"/>
        </w:rPr>
      </w:pPr>
      <w:r>
        <w:rPr>
          <w:sz w:val="22"/>
        </w:rPr>
        <w:t>Η </w:t>
      </w:r>
      <w:r>
        <w:rPr>
          <w:b/>
          <w:sz w:val="22"/>
        </w:rPr>
        <w:t>Δημόσια Δαπάνη </w:t>
      </w:r>
      <w:r>
        <w:rPr>
          <w:sz w:val="22"/>
        </w:rPr>
        <w:t>της Δράσης, στο πλαίσιο της παρούσας Πρόσκλησης, ανέρχεται σε </w:t>
      </w:r>
      <w:r>
        <w:rPr>
          <w:b/>
          <w:sz w:val="22"/>
        </w:rPr>
        <w:t>10.000.000</w:t>
      </w:r>
      <w:r>
        <w:rPr>
          <w:sz w:val="22"/>
        </w:rPr>
        <w:t>€ κι ο επιχορηγούμενος προϋπολογισμός της εκτιμάται ότι θα ανέλθει σε περίπου 20.000.000€. Η διαφορά μεταξύ του συνολικού (επιχορηγούμενου) προϋπολογισμού και της δημόσιας δαπάνης ορίζεται ως η ιδία συμμετοχή, η οποία θα καλυφθεί από τους δικαιούχους (επιχειρήσεις). Η Δημόσια Δαπάνη των θετικά αξιολογημένων επενδυτικών σχεδίων που θα ενταχθούν στο ΕΠ Θεσσαλίας 2014-2020 στο πλαίσιο της παρούσας, δύναται να ανέλθει έως το 120% της Δ.Δ. που προκηρύσσεται με την παρούσα, μετά από έγκριση της Ειδικής Υπηρεσίας Διαχείρισης του ΕΠ Περιφέρειας Θεσσαλίας</w:t>
      </w:r>
      <w:r>
        <w:rPr>
          <w:spacing w:val="-19"/>
          <w:sz w:val="22"/>
        </w:rPr>
        <w:t> </w:t>
      </w:r>
      <w:r>
        <w:rPr>
          <w:sz w:val="22"/>
        </w:rPr>
        <w:t>2014-2020.</w:t>
      </w:r>
    </w:p>
    <w:p>
      <w:pPr>
        <w:pStyle w:val="BodyText"/>
        <w:spacing w:line="276" w:lineRule="auto" w:before="120"/>
        <w:ind w:left="480" w:right="113"/>
        <w:jc w:val="both"/>
      </w:pPr>
      <w:r>
        <w:rPr/>
        <w:t>Η Δημόσια Δαπάνη της πρόσκλησης, δύναται να τροποποιηθεί μετά από απόφαση της Ειδικής Υπηρεσίας Διαχείρισης του ΕΠ Περιφέρειας Θεσσαλίας 2014-2020 και εφόσον απαιτηθεί, μετά την ολοκλήρωση της αξιολόγησης των προτάσεων που θα υποβληθούν και σύμφωνα με τους ισχύοντες κανόνες διαχείρισης του ΕΣΠΑ. Κάθε τροποποίηση θα δημοσιεύεται στην ιστοσελίδα του ΕΠ Θεσσαλία 2014-2020 (</w:t>
      </w:r>
      <w:hyperlink r:id="rId10">
        <w:r>
          <w:rPr>
            <w:u w:val="single"/>
          </w:rPr>
          <w:t>www.thessalia-espa.gr </w:t>
        </w:r>
      </w:hyperlink>
      <w:r>
        <w:rPr/>
        <w:t>) και του ΕΣΠΑ (</w:t>
      </w:r>
      <w:hyperlink r:id="rId11">
        <w:r>
          <w:rPr>
            <w:u w:val="single"/>
          </w:rPr>
          <w:t>www.espa.gr</w:t>
        </w:r>
      </w:hyperlink>
      <w:r>
        <w:rPr/>
        <w:t>).</w:t>
      </w:r>
    </w:p>
    <w:p>
      <w:pPr>
        <w:pStyle w:val="ListParagraph"/>
        <w:numPr>
          <w:ilvl w:val="1"/>
          <w:numId w:val="10"/>
        </w:numPr>
        <w:tabs>
          <w:tab w:pos="479" w:val="left" w:leader="none"/>
        </w:tabs>
        <w:spacing w:line="276" w:lineRule="auto" w:before="120" w:after="0"/>
        <w:ind w:left="478" w:right="112" w:hanging="361"/>
        <w:jc w:val="both"/>
        <w:rPr>
          <w:sz w:val="22"/>
        </w:rPr>
      </w:pPr>
      <w:r>
        <w:rPr>
          <w:sz w:val="22"/>
        </w:rPr>
        <w:t>Η δημόσια δαπάνη συγχρηματοδοτείται από το Ευρωπαϊκό Ταμείο Περιφερειακής Ανάπτυξης (ΕΤΠΑ) και από Εθνικούς Πόρους. Το ΕΤΠΑ συνεισφέρει στη χρηματοδότηση ενισχύσεων για την τόνωση της οικονομικής, κοινωνικής και εδαφικής συνοχής μέσω της μείωσης των περιφερειακών ανισοτήτων και της υποστήριξης των διαρθρωτικών βελτιώσεων και προσαρμογών των περιφερειακών οικονομιών, συμπεριλαμβανομένης και της ανασυγκρότησης βιομηχανικών περιοχών που παρακμάζουν. Στο  πλαίσιο της Προγραμματικής Περιόδου 2014 – 2020, το ΕΤΠΑ θα πρέπει να συνεισφέρει στη στρατηγική της Ένωσης για την έξυπνη, διατηρήσιμη και χωρίς αποκλεισμούς ανάπτυξη εξασφαλίζοντας έτσι μεγαλύτερη συγκέντρωση της στήριξης στις προτεραιότητες της</w:t>
      </w:r>
      <w:r>
        <w:rPr>
          <w:spacing w:val="-17"/>
          <w:sz w:val="22"/>
        </w:rPr>
        <w:t> </w:t>
      </w:r>
      <w:r>
        <w:rPr>
          <w:sz w:val="22"/>
        </w:rPr>
        <w:t>Ένωσης.</w:t>
      </w:r>
    </w:p>
    <w:p>
      <w:pPr>
        <w:pStyle w:val="BodyText"/>
        <w:spacing w:line="276" w:lineRule="auto"/>
        <w:ind w:left="478" w:right="115"/>
        <w:jc w:val="both"/>
      </w:pPr>
      <w:r>
        <w:rPr/>
        <w:t>Οι δαπάνες προσωπικού χρηματοδοτούνται από το ΕΤΠΑ με συμπληρωματικό τρόπο και εντός του ορίου του 10% της ενωσιακής χρηματοδότησης για κάθε άξονα προτεραιότητας με βάση την επιλεξιμότητα δαπανών του ΕΚΤ, με βάση τις διατάξεις της παραγράφου 3 του άρθρου 2 της υπ’ αριθμ. 137675/EΥΘΥ1016/19-12/2018 Υπουργικής Απόφασης (ΦΕΚ 5968/Β/31-12-2018) «Αντικατάσταση της υπ’    αριθμ.   110427/EΥΘΥ/    1020/20.10.2016    (ΦΕΚ    Β΄   3521)    υπουργικής   απόφασης    με   τίτλο</w:t>
      </w:r>
    </w:p>
    <w:p>
      <w:pPr>
        <w:pStyle w:val="BodyText"/>
        <w:spacing w:line="276" w:lineRule="auto"/>
        <w:ind w:left="478" w:right="113"/>
        <w:jc w:val="both"/>
      </w:pPr>
      <w:r>
        <w:rPr/>
        <w:t>«Τροποποίηση και αντικατάσταση της υπ’ αριθμ. 81986/ΕΥΘΥ712/31.7.2015 (ΦΕΚ Β΄ 1822) υπουργικής απόφασης “Εθνικοί κανόνες επιλεξιμότητας δαπανών για τα προ γράμματα του ΕΣΠΑ 2014 - 2020 -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πράξεων”».</w:t>
      </w:r>
    </w:p>
    <w:p>
      <w:pPr>
        <w:pStyle w:val="ListParagraph"/>
        <w:numPr>
          <w:ilvl w:val="1"/>
          <w:numId w:val="10"/>
        </w:numPr>
        <w:tabs>
          <w:tab w:pos="481" w:val="left" w:leader="none"/>
        </w:tabs>
        <w:spacing w:line="276" w:lineRule="auto" w:before="118" w:after="0"/>
        <w:ind w:left="480" w:right="112" w:hanging="360"/>
        <w:jc w:val="both"/>
        <w:rPr>
          <w:sz w:val="22"/>
        </w:rPr>
      </w:pPr>
      <w:r>
        <w:rPr>
          <w:sz w:val="22"/>
        </w:rPr>
        <w:t>Η δράση υλοποιείται σε όλα τα στάδια (υποβολή, αξιολόγηση, ενστάσεις, ένταξη, έλεγχος,  πιστοποίηση, τροποποίηση, πληρωμή, έλεγχος μακροχρονίων υποχρεώσεων κ.λπ.) μέσω του Πληροφοριακού Συστήματος Κρατικών Ενισχύσεων (Π.Σ.Κ.Ε.), η πρόσβαση στο οποίο δίνεται στους δικαιούχους των ενισχύσεων μέσω της ιστοσελίδας </w:t>
      </w:r>
      <w:hyperlink r:id="rId22">
        <w:r>
          <w:rPr>
            <w:color w:val="0462C1"/>
            <w:sz w:val="22"/>
            <w:u w:val="single" w:color="0462C1"/>
          </w:rPr>
          <w:t>http://www.ependyseis.gr/mis </w:t>
        </w:r>
      </w:hyperlink>
      <w:r>
        <w:rPr>
          <w:sz w:val="22"/>
        </w:rPr>
        <w:t>και στο οποίο υποχρεωτικά οι δικαιούχοι των ενισχύσεων υποβάλλουν το σύνολο των αιτημάτων προς την Διεύθυνση Αναπτυξιακού</w:t>
      </w:r>
      <w:r>
        <w:rPr>
          <w:spacing w:val="19"/>
          <w:sz w:val="22"/>
        </w:rPr>
        <w:t> </w:t>
      </w:r>
      <w:r>
        <w:rPr>
          <w:sz w:val="22"/>
        </w:rPr>
        <w:t>Προγραμματισμού</w:t>
      </w:r>
      <w:r>
        <w:rPr>
          <w:spacing w:val="19"/>
          <w:sz w:val="22"/>
        </w:rPr>
        <w:t> </w:t>
      </w:r>
      <w:r>
        <w:rPr>
          <w:sz w:val="22"/>
        </w:rPr>
        <w:t>Περιφέρειας</w:t>
      </w:r>
      <w:r>
        <w:rPr>
          <w:spacing w:val="18"/>
          <w:sz w:val="22"/>
        </w:rPr>
        <w:t> </w:t>
      </w:r>
      <w:r>
        <w:rPr>
          <w:sz w:val="22"/>
        </w:rPr>
        <w:t>Θεσσαλίας</w:t>
      </w:r>
      <w:r>
        <w:rPr>
          <w:spacing w:val="18"/>
          <w:sz w:val="22"/>
        </w:rPr>
        <w:t> </w:t>
      </w:r>
      <w:r>
        <w:rPr>
          <w:sz w:val="22"/>
        </w:rPr>
        <w:t>που</w:t>
      </w:r>
      <w:r>
        <w:rPr>
          <w:spacing w:val="16"/>
          <w:sz w:val="22"/>
        </w:rPr>
        <w:t> </w:t>
      </w:r>
      <w:r>
        <w:rPr>
          <w:sz w:val="22"/>
        </w:rPr>
        <w:t>είναι</w:t>
      </w:r>
      <w:r>
        <w:rPr>
          <w:spacing w:val="17"/>
          <w:sz w:val="22"/>
        </w:rPr>
        <w:t> </w:t>
      </w:r>
      <w:r>
        <w:rPr>
          <w:sz w:val="22"/>
        </w:rPr>
        <w:t>ο</w:t>
      </w:r>
      <w:r>
        <w:rPr>
          <w:spacing w:val="19"/>
          <w:sz w:val="22"/>
        </w:rPr>
        <w:t> </w:t>
      </w:r>
      <w:r>
        <w:rPr>
          <w:sz w:val="22"/>
        </w:rPr>
        <w:t>φορέας</w:t>
      </w:r>
      <w:r>
        <w:rPr>
          <w:spacing w:val="16"/>
          <w:sz w:val="22"/>
        </w:rPr>
        <w:t> </w:t>
      </w:r>
      <w:r>
        <w:rPr>
          <w:sz w:val="22"/>
        </w:rPr>
        <w:t>που</w:t>
      </w:r>
      <w:r>
        <w:rPr>
          <w:spacing w:val="16"/>
          <w:sz w:val="22"/>
        </w:rPr>
        <w:t> </w:t>
      </w:r>
      <w:r>
        <w:rPr>
          <w:sz w:val="22"/>
        </w:rPr>
        <w:t>θα</w:t>
      </w:r>
      <w:r>
        <w:rPr>
          <w:spacing w:val="18"/>
          <w:sz w:val="22"/>
        </w:rPr>
        <w:t> </w:t>
      </w:r>
      <w:r>
        <w:rPr>
          <w:sz w:val="22"/>
        </w:rPr>
        <w:t>υλοποιήσει</w:t>
      </w:r>
      <w:r>
        <w:rPr>
          <w:spacing w:val="15"/>
          <w:sz w:val="22"/>
        </w:rPr>
        <w:t> </w:t>
      </w:r>
      <w:r>
        <w:rPr>
          <w:sz w:val="22"/>
        </w:rPr>
        <w:t>την</w:t>
      </w:r>
    </w:p>
    <w:p>
      <w:pPr>
        <w:spacing w:after="0" w:line="276" w:lineRule="auto"/>
        <w:jc w:val="both"/>
        <w:rPr>
          <w:sz w:val="22"/>
        </w:rPr>
        <w:sectPr>
          <w:pgSz w:w="11910" w:h="16840"/>
          <w:pgMar w:header="748" w:footer="734" w:top="1420" w:bottom="920" w:left="960" w:right="960"/>
        </w:sectPr>
      </w:pPr>
    </w:p>
    <w:p>
      <w:pPr>
        <w:pStyle w:val="BodyText"/>
        <w:spacing w:before="7"/>
        <w:rPr>
          <w:sz w:val="17"/>
        </w:rPr>
      </w:pPr>
    </w:p>
    <w:p>
      <w:pPr>
        <w:pStyle w:val="BodyText"/>
        <w:spacing w:line="276" w:lineRule="auto" w:before="57"/>
        <w:ind w:left="580" w:right="173"/>
      </w:pPr>
      <w:r>
        <w:rPr/>
        <w:t>παρούσα δράση (π.χ. αιτήματα υποβολών, ενστάσεις, αιτήματα ελέγχου, αιτήματα τροποποίησης  κ.λπ.).</w:t>
      </w:r>
    </w:p>
    <w:p>
      <w:pPr>
        <w:pStyle w:val="BodyText"/>
        <w:spacing w:before="2"/>
        <w:rPr>
          <w:sz w:val="25"/>
        </w:rPr>
      </w:pPr>
    </w:p>
    <w:p>
      <w:pPr>
        <w:pStyle w:val="BodyText"/>
        <w:spacing w:line="276" w:lineRule="auto"/>
        <w:ind w:left="578" w:right="173"/>
      </w:pPr>
      <w:r>
        <w:rPr/>
        <w:t>Οι προτάσεις που θα υποβληθούν θα πρέπει να συνεισφέρουν στην εκπλήρωση των σχετικών δεικτών παρακολούθησης:</w:t>
      </w:r>
    </w:p>
    <w:p>
      <w:pPr>
        <w:pStyle w:val="BodyText"/>
        <w:rPr>
          <w:sz w:val="10"/>
        </w:rPr>
      </w:pPr>
    </w:p>
    <w:tbl>
      <w:tblPr>
        <w:tblW w:w="0" w:type="auto"/>
        <w:jc w:val="left"/>
        <w:tblInd w:w="4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4"/>
        <w:gridCol w:w="1200"/>
        <w:gridCol w:w="1081"/>
        <w:gridCol w:w="1116"/>
        <w:gridCol w:w="302"/>
        <w:gridCol w:w="281"/>
        <w:gridCol w:w="461"/>
        <w:gridCol w:w="1270"/>
        <w:gridCol w:w="1025"/>
        <w:gridCol w:w="980"/>
        <w:gridCol w:w="960"/>
      </w:tblGrid>
      <w:tr>
        <w:trPr>
          <w:trHeight w:val="572" w:hRule="exact"/>
        </w:trPr>
        <w:tc>
          <w:tcPr>
            <w:tcW w:w="684" w:type="dxa"/>
            <w:vMerge w:val="restart"/>
            <w:tcBorders>
              <w:left w:val="single" w:sz="12" w:space="0" w:color="000000"/>
              <w:right w:val="single" w:sz="4" w:space="0" w:color="000000"/>
            </w:tcBorders>
            <w:shd w:val="clear" w:color="auto" w:fill="FFFF99"/>
          </w:tcPr>
          <w:p>
            <w:pPr>
              <w:pStyle w:val="TableParagraph"/>
              <w:spacing w:before="1"/>
              <w:rPr>
                <w:sz w:val="15"/>
              </w:rPr>
            </w:pPr>
          </w:p>
          <w:p>
            <w:pPr>
              <w:pStyle w:val="TableParagraph"/>
              <w:ind w:left="86" w:right="-13" w:hanging="84"/>
              <w:rPr>
                <w:rFonts w:ascii="Arial" w:hAnsi="Arial"/>
                <w:b/>
                <w:sz w:val="16"/>
              </w:rPr>
            </w:pPr>
            <w:r>
              <w:rPr>
                <w:rFonts w:ascii="Arial" w:hAnsi="Arial"/>
                <w:b/>
                <w:spacing w:val="-1"/>
                <w:sz w:val="16"/>
              </w:rPr>
              <w:t>Κωδικός </w:t>
            </w:r>
            <w:r>
              <w:rPr>
                <w:rFonts w:ascii="Arial" w:hAnsi="Arial"/>
                <w:b/>
                <w:sz w:val="16"/>
              </w:rPr>
              <w:t>Δείκτη</w:t>
            </w:r>
          </w:p>
        </w:tc>
        <w:tc>
          <w:tcPr>
            <w:tcW w:w="1200" w:type="dxa"/>
            <w:vMerge w:val="restart"/>
            <w:tcBorders>
              <w:left w:val="single" w:sz="4" w:space="0" w:color="000000"/>
              <w:right w:val="single" w:sz="4" w:space="0" w:color="000000"/>
            </w:tcBorders>
            <w:shd w:val="clear" w:color="auto" w:fill="FFFF99"/>
          </w:tcPr>
          <w:p>
            <w:pPr>
              <w:pStyle w:val="TableParagraph"/>
              <w:spacing w:before="1"/>
              <w:rPr>
                <w:sz w:val="15"/>
              </w:rPr>
            </w:pPr>
          </w:p>
          <w:p>
            <w:pPr>
              <w:pStyle w:val="TableParagraph"/>
              <w:ind w:left="347" w:right="198" w:hanging="135"/>
              <w:rPr>
                <w:rFonts w:ascii="Arial" w:hAnsi="Arial"/>
                <w:b/>
                <w:sz w:val="16"/>
              </w:rPr>
            </w:pPr>
            <w:r>
              <w:rPr>
                <w:rFonts w:ascii="Arial" w:hAnsi="Arial"/>
                <w:b/>
                <w:sz w:val="16"/>
              </w:rPr>
              <w:t>Ονομασία Δείκτη</w:t>
            </w:r>
          </w:p>
        </w:tc>
        <w:tc>
          <w:tcPr>
            <w:tcW w:w="1081" w:type="dxa"/>
            <w:vMerge w:val="restart"/>
            <w:tcBorders>
              <w:left w:val="single" w:sz="4" w:space="0" w:color="000000"/>
              <w:right w:val="single" w:sz="4" w:space="0" w:color="000000"/>
            </w:tcBorders>
            <w:shd w:val="clear" w:color="auto" w:fill="FFFF99"/>
          </w:tcPr>
          <w:p>
            <w:pPr>
              <w:pStyle w:val="TableParagraph"/>
              <w:spacing w:before="1"/>
              <w:rPr>
                <w:sz w:val="15"/>
              </w:rPr>
            </w:pPr>
          </w:p>
          <w:p>
            <w:pPr>
              <w:pStyle w:val="TableParagraph"/>
              <w:ind w:left="153" w:right="134" w:firstLine="74"/>
              <w:rPr>
                <w:rFonts w:ascii="Arial" w:hAnsi="Arial"/>
                <w:b/>
                <w:sz w:val="16"/>
              </w:rPr>
            </w:pPr>
            <w:r>
              <w:rPr>
                <w:rFonts w:ascii="Arial" w:hAnsi="Arial"/>
                <w:b/>
                <w:sz w:val="16"/>
              </w:rPr>
              <w:t>Μονάδα Μέτρησης</w:t>
            </w:r>
          </w:p>
        </w:tc>
        <w:tc>
          <w:tcPr>
            <w:tcW w:w="1116" w:type="dxa"/>
            <w:vMerge w:val="restart"/>
            <w:tcBorders>
              <w:left w:val="single" w:sz="4" w:space="0" w:color="000000"/>
              <w:right w:val="single" w:sz="4" w:space="0" w:color="000000"/>
            </w:tcBorders>
            <w:shd w:val="clear" w:color="auto" w:fill="FFFF99"/>
          </w:tcPr>
          <w:p>
            <w:pPr>
              <w:pStyle w:val="TableParagraph"/>
              <w:spacing w:before="1"/>
              <w:rPr>
                <w:sz w:val="15"/>
              </w:rPr>
            </w:pPr>
          </w:p>
          <w:p>
            <w:pPr>
              <w:pStyle w:val="TableParagraph"/>
              <w:ind w:left="91" w:right="72" w:firstLine="55"/>
              <w:rPr>
                <w:rFonts w:ascii="Arial" w:hAnsi="Arial"/>
                <w:b/>
                <w:sz w:val="16"/>
              </w:rPr>
            </w:pPr>
            <w:r>
              <w:rPr>
                <w:rFonts w:ascii="Arial" w:hAnsi="Arial"/>
                <w:b/>
                <w:sz w:val="16"/>
              </w:rPr>
              <w:t>Κατηγορία Περιφέρειας</w:t>
            </w:r>
          </w:p>
        </w:tc>
        <w:tc>
          <w:tcPr>
            <w:tcW w:w="1044" w:type="dxa"/>
            <w:gridSpan w:val="3"/>
            <w:tcBorders>
              <w:left w:val="single" w:sz="4" w:space="0" w:color="000000"/>
              <w:bottom w:val="single" w:sz="4" w:space="0" w:color="000000"/>
              <w:right w:val="single" w:sz="4" w:space="0" w:color="000000"/>
            </w:tcBorders>
            <w:shd w:val="clear" w:color="auto" w:fill="FFFF99"/>
          </w:tcPr>
          <w:p>
            <w:pPr>
              <w:pStyle w:val="TableParagraph"/>
              <w:spacing w:before="86"/>
              <w:ind w:left="285" w:right="-16" w:hanging="286"/>
              <w:rPr>
                <w:rFonts w:ascii="Arial" w:hAnsi="Arial"/>
                <w:b/>
                <w:sz w:val="16"/>
              </w:rPr>
            </w:pPr>
            <w:r>
              <w:rPr>
                <w:rFonts w:ascii="Arial" w:hAnsi="Arial"/>
                <w:b/>
                <w:sz w:val="16"/>
              </w:rPr>
              <w:t>Τιμή - στόχος (2023)</w:t>
            </w:r>
          </w:p>
        </w:tc>
        <w:tc>
          <w:tcPr>
            <w:tcW w:w="1270" w:type="dxa"/>
            <w:vMerge w:val="restart"/>
            <w:tcBorders>
              <w:left w:val="single" w:sz="4" w:space="0" w:color="000000"/>
              <w:right w:val="single" w:sz="4" w:space="0" w:color="000000"/>
            </w:tcBorders>
            <w:shd w:val="clear" w:color="auto" w:fill="FFFF99"/>
          </w:tcPr>
          <w:p>
            <w:pPr>
              <w:pStyle w:val="TableParagraph"/>
              <w:spacing w:before="1"/>
              <w:rPr>
                <w:sz w:val="15"/>
              </w:rPr>
            </w:pPr>
          </w:p>
          <w:p>
            <w:pPr>
              <w:pStyle w:val="TableParagraph"/>
              <w:ind w:left="256" w:right="237" w:firstLine="172"/>
              <w:rPr>
                <w:rFonts w:ascii="Arial" w:hAnsi="Arial"/>
                <w:b/>
                <w:sz w:val="16"/>
              </w:rPr>
            </w:pPr>
            <w:r>
              <w:rPr>
                <w:rFonts w:ascii="Arial" w:hAnsi="Arial"/>
                <w:b/>
                <w:sz w:val="16"/>
              </w:rPr>
              <w:t>Πηγή Στοιχείων</w:t>
            </w:r>
          </w:p>
        </w:tc>
        <w:tc>
          <w:tcPr>
            <w:tcW w:w="1025" w:type="dxa"/>
            <w:vMerge w:val="restart"/>
            <w:tcBorders>
              <w:left w:val="single" w:sz="4" w:space="0" w:color="000000"/>
              <w:right w:val="single" w:sz="4" w:space="0" w:color="000000"/>
            </w:tcBorders>
            <w:shd w:val="clear" w:color="auto" w:fill="FFFF99"/>
          </w:tcPr>
          <w:p>
            <w:pPr>
              <w:pStyle w:val="TableParagraph"/>
              <w:spacing w:before="1"/>
              <w:rPr>
                <w:sz w:val="15"/>
              </w:rPr>
            </w:pPr>
          </w:p>
          <w:p>
            <w:pPr>
              <w:pStyle w:val="TableParagraph"/>
              <w:ind w:left="124" w:right="86" w:hanging="22"/>
              <w:rPr>
                <w:rFonts w:ascii="Arial" w:hAnsi="Arial"/>
                <w:b/>
                <w:sz w:val="16"/>
              </w:rPr>
            </w:pPr>
            <w:r>
              <w:rPr>
                <w:rFonts w:ascii="Arial" w:hAnsi="Arial"/>
                <w:b/>
                <w:sz w:val="16"/>
              </w:rPr>
              <w:t>Συχνότητα Μέτρησης</w:t>
            </w:r>
          </w:p>
        </w:tc>
        <w:tc>
          <w:tcPr>
            <w:tcW w:w="980" w:type="dxa"/>
            <w:tcBorders>
              <w:left w:val="single" w:sz="4" w:space="0" w:color="000000"/>
              <w:bottom w:val="dotted" w:sz="4" w:space="0" w:color="000000"/>
              <w:right w:val="single" w:sz="4" w:space="0" w:color="000000"/>
            </w:tcBorders>
            <w:shd w:val="clear" w:color="auto" w:fill="FFFF99"/>
          </w:tcPr>
          <w:p>
            <w:pPr>
              <w:pStyle w:val="TableParagraph"/>
              <w:ind w:left="105" w:right="102" w:firstLine="1"/>
              <w:jc w:val="center"/>
              <w:rPr>
                <w:rFonts w:ascii="Arial" w:hAnsi="Arial"/>
                <w:b/>
                <w:sz w:val="16"/>
              </w:rPr>
            </w:pPr>
            <w:r>
              <w:rPr>
                <w:rFonts w:ascii="Arial" w:hAnsi="Arial"/>
                <w:b/>
                <w:sz w:val="16"/>
              </w:rPr>
              <w:t>Δείκτης Πλαισίου Επίδοσης</w:t>
            </w:r>
          </w:p>
        </w:tc>
        <w:tc>
          <w:tcPr>
            <w:tcW w:w="960" w:type="dxa"/>
            <w:tcBorders>
              <w:left w:val="single" w:sz="4" w:space="0" w:color="000000"/>
              <w:bottom w:val="dotted" w:sz="4" w:space="0" w:color="000000"/>
            </w:tcBorders>
            <w:shd w:val="clear" w:color="auto" w:fill="FFFF99"/>
          </w:tcPr>
          <w:p>
            <w:pPr>
              <w:pStyle w:val="TableParagraph"/>
              <w:spacing w:before="86"/>
              <w:ind w:left="290" w:right="164" w:hanging="111"/>
              <w:rPr>
                <w:rFonts w:ascii="Arial" w:hAnsi="Arial"/>
                <w:b/>
                <w:sz w:val="16"/>
              </w:rPr>
            </w:pPr>
            <w:r>
              <w:rPr>
                <w:rFonts w:ascii="Arial" w:hAnsi="Arial"/>
                <w:b/>
                <w:sz w:val="16"/>
              </w:rPr>
              <w:t>Δείκτης RIS3</w:t>
            </w:r>
          </w:p>
        </w:tc>
      </w:tr>
      <w:tr>
        <w:trPr>
          <w:trHeight w:val="204" w:hRule="exact"/>
        </w:trPr>
        <w:tc>
          <w:tcPr>
            <w:tcW w:w="684" w:type="dxa"/>
            <w:vMerge/>
            <w:tcBorders>
              <w:left w:val="single" w:sz="12" w:space="0" w:color="000000"/>
              <w:right w:val="single" w:sz="4" w:space="0" w:color="000000"/>
            </w:tcBorders>
            <w:shd w:val="clear" w:color="auto" w:fill="FFFF99"/>
          </w:tcPr>
          <w:p>
            <w:pPr/>
          </w:p>
        </w:tc>
        <w:tc>
          <w:tcPr>
            <w:tcW w:w="1200" w:type="dxa"/>
            <w:vMerge/>
            <w:tcBorders>
              <w:left w:val="single" w:sz="4" w:space="0" w:color="000000"/>
              <w:right w:val="single" w:sz="4" w:space="0" w:color="000000"/>
            </w:tcBorders>
            <w:shd w:val="clear" w:color="auto" w:fill="FFFF99"/>
          </w:tcPr>
          <w:p>
            <w:pPr/>
          </w:p>
        </w:tc>
        <w:tc>
          <w:tcPr>
            <w:tcW w:w="1081" w:type="dxa"/>
            <w:vMerge/>
            <w:tcBorders>
              <w:left w:val="single" w:sz="4" w:space="0" w:color="000000"/>
              <w:right w:val="single" w:sz="4" w:space="0" w:color="000000"/>
            </w:tcBorders>
            <w:shd w:val="clear" w:color="auto" w:fill="FFFF99"/>
          </w:tcPr>
          <w:p>
            <w:pPr/>
          </w:p>
        </w:tc>
        <w:tc>
          <w:tcPr>
            <w:tcW w:w="1116" w:type="dxa"/>
            <w:vMerge/>
            <w:tcBorders>
              <w:left w:val="single" w:sz="4" w:space="0" w:color="000000"/>
              <w:right w:val="single" w:sz="4" w:space="0" w:color="000000"/>
            </w:tcBorders>
            <w:shd w:val="clear" w:color="auto" w:fill="FFFF99"/>
          </w:tcPr>
          <w:p>
            <w:pPr/>
          </w:p>
        </w:tc>
        <w:tc>
          <w:tcPr>
            <w:tcW w:w="302" w:type="dxa"/>
            <w:tcBorders>
              <w:top w:val="single" w:sz="4" w:space="0" w:color="000000"/>
              <w:left w:val="single" w:sz="4" w:space="0" w:color="000000"/>
              <w:right w:val="dotted" w:sz="4" w:space="0" w:color="000000"/>
            </w:tcBorders>
            <w:shd w:val="clear" w:color="auto" w:fill="FFFF99"/>
          </w:tcPr>
          <w:p>
            <w:pPr>
              <w:pStyle w:val="TableParagraph"/>
              <w:spacing w:line="178" w:lineRule="exact"/>
              <w:ind w:left="88"/>
              <w:rPr>
                <w:rFonts w:ascii="Arial" w:hAnsi="Arial"/>
                <w:b/>
                <w:sz w:val="16"/>
              </w:rPr>
            </w:pPr>
            <w:r>
              <w:rPr>
                <w:rFonts w:ascii="Arial" w:hAnsi="Arial"/>
                <w:b/>
                <w:w w:val="100"/>
                <w:sz w:val="16"/>
              </w:rPr>
              <w:t>Α</w:t>
            </w:r>
          </w:p>
        </w:tc>
        <w:tc>
          <w:tcPr>
            <w:tcW w:w="281" w:type="dxa"/>
            <w:tcBorders>
              <w:top w:val="single" w:sz="4" w:space="0" w:color="000000"/>
              <w:left w:val="dotted" w:sz="4" w:space="0" w:color="000000"/>
              <w:right w:val="single" w:sz="4" w:space="0" w:color="000000"/>
            </w:tcBorders>
            <w:shd w:val="clear" w:color="auto" w:fill="FFFF99"/>
          </w:tcPr>
          <w:p>
            <w:pPr>
              <w:pStyle w:val="TableParagraph"/>
              <w:spacing w:line="178" w:lineRule="exact"/>
              <w:ind w:left="86"/>
              <w:rPr>
                <w:rFonts w:ascii="Arial" w:hAnsi="Arial"/>
                <w:b/>
                <w:sz w:val="16"/>
              </w:rPr>
            </w:pPr>
            <w:r>
              <w:rPr>
                <w:rFonts w:ascii="Arial" w:hAnsi="Arial"/>
                <w:b/>
                <w:w w:val="100"/>
                <w:sz w:val="16"/>
              </w:rPr>
              <w:t>Γ</w:t>
            </w:r>
          </w:p>
        </w:tc>
        <w:tc>
          <w:tcPr>
            <w:tcW w:w="461" w:type="dxa"/>
            <w:tcBorders>
              <w:top w:val="single" w:sz="4" w:space="0" w:color="000000"/>
              <w:left w:val="single" w:sz="4" w:space="0" w:color="000000"/>
              <w:right w:val="single" w:sz="4" w:space="0" w:color="000000"/>
            </w:tcBorders>
            <w:shd w:val="clear" w:color="auto" w:fill="FFFF99"/>
          </w:tcPr>
          <w:p>
            <w:pPr>
              <w:pStyle w:val="TableParagraph"/>
              <w:spacing w:line="178" w:lineRule="exact"/>
              <w:jc w:val="center"/>
              <w:rPr>
                <w:rFonts w:ascii="Arial" w:hAnsi="Arial"/>
                <w:b/>
                <w:sz w:val="16"/>
              </w:rPr>
            </w:pPr>
            <w:r>
              <w:rPr>
                <w:rFonts w:ascii="Arial" w:hAnsi="Arial"/>
                <w:b/>
                <w:w w:val="100"/>
                <w:sz w:val="16"/>
              </w:rPr>
              <w:t>Σ</w:t>
            </w:r>
          </w:p>
        </w:tc>
        <w:tc>
          <w:tcPr>
            <w:tcW w:w="1270" w:type="dxa"/>
            <w:vMerge/>
            <w:tcBorders>
              <w:left w:val="single" w:sz="4" w:space="0" w:color="000000"/>
              <w:right w:val="single" w:sz="4" w:space="0" w:color="000000"/>
            </w:tcBorders>
            <w:shd w:val="clear" w:color="auto" w:fill="FFFF99"/>
          </w:tcPr>
          <w:p>
            <w:pPr/>
          </w:p>
        </w:tc>
        <w:tc>
          <w:tcPr>
            <w:tcW w:w="1025" w:type="dxa"/>
            <w:vMerge/>
            <w:tcBorders>
              <w:left w:val="single" w:sz="4" w:space="0" w:color="000000"/>
              <w:right w:val="single" w:sz="4" w:space="0" w:color="000000"/>
            </w:tcBorders>
            <w:shd w:val="clear" w:color="auto" w:fill="FFFF99"/>
          </w:tcPr>
          <w:p>
            <w:pPr/>
          </w:p>
        </w:tc>
        <w:tc>
          <w:tcPr>
            <w:tcW w:w="980" w:type="dxa"/>
            <w:tcBorders>
              <w:top w:val="dotted" w:sz="4" w:space="0" w:color="000000"/>
              <w:left w:val="single" w:sz="4" w:space="0" w:color="000000"/>
              <w:right w:val="single" w:sz="4" w:space="0" w:color="000000"/>
            </w:tcBorders>
            <w:shd w:val="clear" w:color="auto" w:fill="FFFF99"/>
          </w:tcPr>
          <w:p>
            <w:pPr>
              <w:pStyle w:val="TableParagraph"/>
              <w:spacing w:line="178" w:lineRule="exact"/>
              <w:ind w:left="69" w:right="69"/>
              <w:jc w:val="center"/>
              <w:rPr>
                <w:rFonts w:ascii="Arial" w:hAnsi="Arial"/>
                <w:b/>
                <w:sz w:val="16"/>
              </w:rPr>
            </w:pPr>
            <w:r>
              <w:rPr>
                <w:rFonts w:ascii="Arial" w:hAnsi="Arial"/>
                <w:b/>
                <w:sz w:val="16"/>
              </w:rPr>
              <w:t>(ΝΑΙ / ΟΧΙ)</w:t>
            </w:r>
          </w:p>
        </w:tc>
        <w:tc>
          <w:tcPr>
            <w:tcW w:w="960" w:type="dxa"/>
            <w:tcBorders>
              <w:top w:val="dotted" w:sz="4" w:space="0" w:color="000000"/>
              <w:left w:val="single" w:sz="4" w:space="0" w:color="000000"/>
            </w:tcBorders>
            <w:shd w:val="clear" w:color="auto" w:fill="FFFF99"/>
          </w:tcPr>
          <w:p>
            <w:pPr>
              <w:pStyle w:val="TableParagraph"/>
              <w:spacing w:line="178" w:lineRule="exact"/>
              <w:ind w:left="53" w:right="55"/>
              <w:jc w:val="center"/>
              <w:rPr>
                <w:rFonts w:ascii="Arial" w:hAnsi="Arial"/>
                <w:b/>
                <w:sz w:val="16"/>
              </w:rPr>
            </w:pPr>
            <w:r>
              <w:rPr>
                <w:rFonts w:ascii="Arial" w:hAnsi="Arial"/>
                <w:b/>
                <w:sz w:val="16"/>
              </w:rPr>
              <w:t>(ΝΑΙ / ΟΧΙ)</w:t>
            </w:r>
          </w:p>
        </w:tc>
      </w:tr>
      <w:tr>
        <w:trPr>
          <w:trHeight w:val="757" w:hRule="exact"/>
        </w:trPr>
        <w:tc>
          <w:tcPr>
            <w:tcW w:w="684" w:type="dxa"/>
            <w:tcBorders>
              <w:left w:val="single" w:sz="12" w:space="0" w:color="000000"/>
              <w:bottom w:val="single" w:sz="4" w:space="0" w:color="000000"/>
              <w:right w:val="single" w:sz="4" w:space="0" w:color="000000"/>
            </w:tcBorders>
          </w:tcPr>
          <w:p>
            <w:pPr>
              <w:pStyle w:val="TableParagraph"/>
              <w:spacing w:before="3"/>
              <w:rPr>
                <w:sz w:val="22"/>
              </w:rPr>
            </w:pPr>
          </w:p>
          <w:p>
            <w:pPr>
              <w:pStyle w:val="TableParagraph"/>
              <w:ind w:right="119"/>
              <w:jc w:val="right"/>
              <w:rPr>
                <w:rFonts w:ascii="Arial"/>
                <w:sz w:val="16"/>
              </w:rPr>
            </w:pPr>
            <w:r>
              <w:rPr>
                <w:rFonts w:ascii="Arial"/>
                <w:sz w:val="16"/>
              </w:rPr>
              <w:t>CO01</w:t>
            </w:r>
          </w:p>
        </w:tc>
        <w:tc>
          <w:tcPr>
            <w:tcW w:w="1200" w:type="dxa"/>
            <w:tcBorders>
              <w:left w:val="single" w:sz="4" w:space="0" w:color="000000"/>
              <w:bottom w:val="single" w:sz="4" w:space="0" w:color="000000"/>
              <w:right w:val="single" w:sz="4" w:space="0" w:color="000000"/>
            </w:tcBorders>
          </w:tcPr>
          <w:p>
            <w:pPr>
              <w:pStyle w:val="TableParagraph"/>
              <w:ind w:left="35" w:right="33" w:firstLine="2"/>
              <w:jc w:val="center"/>
              <w:rPr>
                <w:rFonts w:ascii="Arial" w:hAnsi="Arial"/>
                <w:sz w:val="16"/>
              </w:rPr>
            </w:pPr>
            <w:r>
              <w:rPr>
                <w:rFonts w:ascii="Arial" w:hAnsi="Arial"/>
                <w:sz w:val="16"/>
              </w:rPr>
              <w:t>Αριθμός επιχειρήσεων που λαμβάνουν στήριξη</w:t>
            </w:r>
          </w:p>
        </w:tc>
        <w:tc>
          <w:tcPr>
            <w:tcW w:w="1081" w:type="dxa"/>
            <w:tcBorders>
              <w:left w:val="single" w:sz="4" w:space="0" w:color="000000"/>
              <w:bottom w:val="single" w:sz="4" w:space="0" w:color="000000"/>
              <w:right w:val="single" w:sz="4" w:space="0" w:color="000000"/>
            </w:tcBorders>
          </w:tcPr>
          <w:p>
            <w:pPr>
              <w:pStyle w:val="TableParagraph"/>
              <w:spacing w:before="3"/>
              <w:rPr>
                <w:sz w:val="22"/>
              </w:rPr>
            </w:pPr>
          </w:p>
          <w:p>
            <w:pPr>
              <w:pStyle w:val="TableParagraph"/>
              <w:ind w:right="77"/>
              <w:jc w:val="right"/>
              <w:rPr>
                <w:rFonts w:ascii="Arial" w:hAnsi="Arial"/>
                <w:sz w:val="16"/>
              </w:rPr>
            </w:pPr>
            <w:r>
              <w:rPr>
                <w:rFonts w:ascii="Arial" w:hAnsi="Arial"/>
                <w:sz w:val="16"/>
              </w:rPr>
              <w:t>Επιχειρήσεις</w:t>
            </w:r>
          </w:p>
        </w:tc>
        <w:tc>
          <w:tcPr>
            <w:tcW w:w="1116" w:type="dxa"/>
            <w:tcBorders>
              <w:left w:val="single" w:sz="4" w:space="0" w:color="000000"/>
              <w:bottom w:val="single" w:sz="4" w:space="0" w:color="000000"/>
              <w:right w:val="single" w:sz="4" w:space="0" w:color="000000"/>
            </w:tcBorders>
          </w:tcPr>
          <w:p>
            <w:pPr>
              <w:pStyle w:val="TableParagraph"/>
              <w:spacing w:before="3"/>
              <w:rPr>
                <w:sz w:val="22"/>
              </w:rPr>
            </w:pPr>
          </w:p>
          <w:p>
            <w:pPr>
              <w:pStyle w:val="TableParagraph"/>
              <w:jc w:val="center"/>
              <w:rPr>
                <w:rFonts w:ascii="Arial"/>
                <w:sz w:val="16"/>
              </w:rPr>
            </w:pPr>
            <w:r>
              <w:rPr>
                <w:rFonts w:ascii="Arial"/>
                <w:w w:val="100"/>
                <w:sz w:val="16"/>
              </w:rPr>
              <w:t>A</w:t>
            </w:r>
          </w:p>
        </w:tc>
        <w:tc>
          <w:tcPr>
            <w:tcW w:w="302" w:type="dxa"/>
            <w:tcBorders>
              <w:left w:val="single" w:sz="4" w:space="0" w:color="000000"/>
              <w:bottom w:val="single" w:sz="4" w:space="0" w:color="000000"/>
              <w:right w:val="dotted" w:sz="4" w:space="0" w:color="000000"/>
            </w:tcBorders>
          </w:tcPr>
          <w:p>
            <w:pPr/>
          </w:p>
        </w:tc>
        <w:tc>
          <w:tcPr>
            <w:tcW w:w="281" w:type="dxa"/>
            <w:tcBorders>
              <w:left w:val="dotted" w:sz="4" w:space="0" w:color="000000"/>
              <w:bottom w:val="single" w:sz="4" w:space="0" w:color="000000"/>
              <w:right w:val="single" w:sz="4" w:space="0" w:color="000000"/>
            </w:tcBorders>
          </w:tcPr>
          <w:p>
            <w:pPr/>
          </w:p>
        </w:tc>
        <w:tc>
          <w:tcPr>
            <w:tcW w:w="461" w:type="dxa"/>
            <w:tcBorders>
              <w:left w:val="single" w:sz="4" w:space="0" w:color="000000"/>
              <w:bottom w:val="single" w:sz="4" w:space="0" w:color="000000"/>
              <w:right w:val="single" w:sz="4" w:space="0" w:color="000000"/>
            </w:tcBorders>
          </w:tcPr>
          <w:p>
            <w:pPr>
              <w:pStyle w:val="TableParagraph"/>
              <w:spacing w:before="3"/>
              <w:rPr>
                <w:sz w:val="22"/>
              </w:rPr>
            </w:pPr>
          </w:p>
          <w:p>
            <w:pPr>
              <w:pStyle w:val="TableParagraph"/>
              <w:ind w:left="116" w:right="116"/>
              <w:jc w:val="center"/>
              <w:rPr>
                <w:rFonts w:ascii="Arial"/>
                <w:sz w:val="16"/>
              </w:rPr>
            </w:pPr>
            <w:r>
              <w:rPr>
                <w:rFonts w:ascii="Arial"/>
                <w:sz w:val="16"/>
              </w:rPr>
              <w:t>67</w:t>
            </w:r>
          </w:p>
        </w:tc>
        <w:tc>
          <w:tcPr>
            <w:tcW w:w="1270" w:type="dxa"/>
            <w:tcBorders>
              <w:left w:val="single" w:sz="4" w:space="0" w:color="000000"/>
              <w:bottom w:val="single" w:sz="4" w:space="0" w:color="000000"/>
              <w:right w:val="single" w:sz="4" w:space="0" w:color="000000"/>
            </w:tcBorders>
          </w:tcPr>
          <w:p>
            <w:pPr>
              <w:pStyle w:val="TableParagraph"/>
              <w:spacing w:before="10"/>
              <w:rPr>
                <w:sz w:val="14"/>
              </w:rPr>
            </w:pPr>
          </w:p>
          <w:p>
            <w:pPr>
              <w:pStyle w:val="TableParagraph"/>
              <w:ind w:right="-20" w:firstLine="319"/>
              <w:rPr>
                <w:rFonts w:ascii="Arial" w:hAnsi="Arial"/>
                <w:sz w:val="16"/>
              </w:rPr>
            </w:pPr>
            <w:r>
              <w:rPr>
                <w:rFonts w:ascii="Arial" w:hAnsi="Arial"/>
                <w:sz w:val="16"/>
              </w:rPr>
              <w:t>Σύστημα Παρακολούθησης</w:t>
            </w:r>
          </w:p>
        </w:tc>
        <w:tc>
          <w:tcPr>
            <w:tcW w:w="1025" w:type="dxa"/>
            <w:tcBorders>
              <w:left w:val="single" w:sz="4" w:space="0" w:color="000000"/>
              <w:bottom w:val="single" w:sz="4" w:space="0" w:color="000000"/>
              <w:right w:val="single" w:sz="4" w:space="0" w:color="000000"/>
            </w:tcBorders>
          </w:tcPr>
          <w:p>
            <w:pPr>
              <w:pStyle w:val="TableParagraph"/>
              <w:spacing w:before="3"/>
              <w:rPr>
                <w:sz w:val="22"/>
              </w:rPr>
            </w:pPr>
          </w:p>
          <w:p>
            <w:pPr>
              <w:pStyle w:val="TableParagraph"/>
              <w:ind w:left="263"/>
              <w:rPr>
                <w:rFonts w:ascii="Arial" w:hAnsi="Arial"/>
                <w:sz w:val="16"/>
              </w:rPr>
            </w:pPr>
            <w:r>
              <w:rPr>
                <w:rFonts w:ascii="Arial" w:hAnsi="Arial"/>
                <w:sz w:val="16"/>
              </w:rPr>
              <w:t>Ετήσια</w:t>
            </w:r>
          </w:p>
        </w:tc>
        <w:tc>
          <w:tcPr>
            <w:tcW w:w="980" w:type="dxa"/>
            <w:tcBorders>
              <w:left w:val="single" w:sz="4" w:space="0" w:color="000000"/>
              <w:bottom w:val="single" w:sz="4" w:space="0" w:color="000000"/>
              <w:right w:val="single" w:sz="4" w:space="0" w:color="000000"/>
            </w:tcBorders>
          </w:tcPr>
          <w:p>
            <w:pPr>
              <w:pStyle w:val="TableParagraph"/>
              <w:spacing w:before="3"/>
              <w:rPr>
                <w:sz w:val="22"/>
              </w:rPr>
            </w:pPr>
          </w:p>
          <w:p>
            <w:pPr>
              <w:pStyle w:val="TableParagraph"/>
              <w:ind w:left="69" w:right="69"/>
              <w:jc w:val="center"/>
              <w:rPr>
                <w:rFonts w:ascii="Arial" w:hAnsi="Arial"/>
                <w:sz w:val="16"/>
              </w:rPr>
            </w:pPr>
            <w:r>
              <w:rPr>
                <w:rFonts w:ascii="Arial" w:hAnsi="Arial"/>
                <w:sz w:val="16"/>
              </w:rPr>
              <w:t>ΝΑΙ</w:t>
            </w:r>
          </w:p>
        </w:tc>
        <w:tc>
          <w:tcPr>
            <w:tcW w:w="960" w:type="dxa"/>
            <w:tcBorders>
              <w:left w:val="single" w:sz="4" w:space="0" w:color="000000"/>
              <w:bottom w:val="single" w:sz="4" w:space="0" w:color="000000"/>
            </w:tcBorders>
          </w:tcPr>
          <w:p>
            <w:pPr>
              <w:pStyle w:val="TableParagraph"/>
              <w:spacing w:before="3"/>
              <w:rPr>
                <w:sz w:val="22"/>
              </w:rPr>
            </w:pPr>
          </w:p>
          <w:p>
            <w:pPr>
              <w:pStyle w:val="TableParagraph"/>
              <w:ind w:left="53" w:right="54"/>
              <w:jc w:val="center"/>
              <w:rPr>
                <w:rFonts w:ascii="Arial" w:hAnsi="Arial"/>
                <w:sz w:val="16"/>
              </w:rPr>
            </w:pPr>
            <w:r>
              <w:rPr>
                <w:rFonts w:ascii="Arial" w:hAnsi="Arial"/>
                <w:sz w:val="16"/>
              </w:rPr>
              <w:t>ΝΑΙ</w:t>
            </w:r>
          </w:p>
        </w:tc>
      </w:tr>
      <w:tr>
        <w:trPr>
          <w:trHeight w:val="1850" w:hRule="exact"/>
        </w:trPr>
        <w:tc>
          <w:tcPr>
            <w:tcW w:w="684" w:type="dxa"/>
            <w:tcBorders>
              <w:top w:val="single" w:sz="4" w:space="0" w:color="000000"/>
              <w:left w:val="single" w:sz="12" w:space="0" w:color="000000"/>
              <w:bottom w:val="single" w:sz="4" w:space="0" w:color="000000"/>
              <w:right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6"/>
              <w:rPr>
                <w:sz w:val="13"/>
              </w:rPr>
            </w:pPr>
          </w:p>
          <w:p>
            <w:pPr>
              <w:pStyle w:val="TableParagraph"/>
              <w:ind w:right="119"/>
              <w:jc w:val="right"/>
              <w:rPr>
                <w:rFonts w:ascii="Arial"/>
                <w:sz w:val="16"/>
              </w:rPr>
            </w:pPr>
            <w:r>
              <w:rPr>
                <w:rFonts w:ascii="Arial"/>
                <w:sz w:val="16"/>
              </w:rPr>
              <w:t>CO02</w:t>
            </w:r>
          </w:p>
        </w:tc>
        <w:tc>
          <w:tcPr>
            <w:tcW w:w="1200" w:type="dxa"/>
            <w:tcBorders>
              <w:top w:val="single" w:sz="4" w:space="0" w:color="000000"/>
              <w:left w:val="single" w:sz="4" w:space="0" w:color="000000"/>
              <w:bottom w:val="single" w:sz="4" w:space="0" w:color="000000"/>
              <w:right w:val="single" w:sz="4" w:space="0" w:color="000000"/>
            </w:tcBorders>
          </w:tcPr>
          <w:p>
            <w:pPr>
              <w:pStyle w:val="TableParagraph"/>
              <w:ind w:left="31" w:right="26" w:hanging="1"/>
              <w:jc w:val="center"/>
              <w:rPr>
                <w:rFonts w:ascii="Arial" w:hAnsi="Arial"/>
                <w:sz w:val="16"/>
              </w:rPr>
            </w:pPr>
            <w:r>
              <w:rPr>
                <w:rFonts w:ascii="Arial" w:hAnsi="Arial"/>
                <w:sz w:val="16"/>
              </w:rPr>
              <w:t>Αριθμός επιχειρήσεων που λαμβάνουν στήριξη σε μορφή μη επιστρεπτέας άμεσης χρηματοδοτικής στήριξης (επιχορηγήσεις)</w:t>
            </w:r>
          </w:p>
        </w:tc>
        <w:tc>
          <w:tcPr>
            <w:tcW w:w="1081" w:type="dxa"/>
            <w:tcBorders>
              <w:top w:val="single" w:sz="4" w:space="0" w:color="000000"/>
              <w:left w:val="single" w:sz="4" w:space="0" w:color="000000"/>
              <w:bottom w:val="single" w:sz="4" w:space="0" w:color="000000"/>
              <w:right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6"/>
              <w:rPr>
                <w:sz w:val="13"/>
              </w:rPr>
            </w:pPr>
          </w:p>
          <w:p>
            <w:pPr>
              <w:pStyle w:val="TableParagraph"/>
              <w:ind w:right="77"/>
              <w:jc w:val="right"/>
              <w:rPr>
                <w:rFonts w:ascii="Arial" w:hAnsi="Arial"/>
                <w:sz w:val="16"/>
              </w:rPr>
            </w:pPr>
            <w:r>
              <w:rPr>
                <w:rFonts w:ascii="Arial" w:hAnsi="Arial"/>
                <w:sz w:val="16"/>
              </w:rPr>
              <w:t>Επιχειρήσεις</w:t>
            </w:r>
          </w:p>
        </w:tc>
        <w:tc>
          <w:tcPr>
            <w:tcW w:w="1116" w:type="dxa"/>
            <w:tcBorders>
              <w:top w:val="single" w:sz="4" w:space="0" w:color="000000"/>
              <w:left w:val="single" w:sz="4" w:space="0" w:color="000000"/>
              <w:bottom w:val="single" w:sz="4" w:space="0" w:color="000000"/>
              <w:right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6"/>
              <w:rPr>
                <w:sz w:val="13"/>
              </w:rPr>
            </w:pPr>
          </w:p>
          <w:p>
            <w:pPr>
              <w:pStyle w:val="TableParagraph"/>
              <w:jc w:val="center"/>
              <w:rPr>
                <w:rFonts w:ascii="Arial"/>
                <w:sz w:val="16"/>
              </w:rPr>
            </w:pPr>
            <w:r>
              <w:rPr>
                <w:rFonts w:ascii="Arial"/>
                <w:w w:val="100"/>
                <w:sz w:val="16"/>
              </w:rPr>
              <w:t>A</w:t>
            </w:r>
          </w:p>
        </w:tc>
        <w:tc>
          <w:tcPr>
            <w:tcW w:w="302" w:type="dxa"/>
            <w:tcBorders>
              <w:top w:val="single" w:sz="4" w:space="0" w:color="000000"/>
              <w:left w:val="single" w:sz="4" w:space="0" w:color="000000"/>
              <w:bottom w:val="single" w:sz="4" w:space="0" w:color="000000"/>
              <w:right w:val="dotted" w:sz="4" w:space="0" w:color="000000"/>
            </w:tcBorders>
          </w:tcPr>
          <w:p>
            <w:pPr/>
          </w:p>
        </w:tc>
        <w:tc>
          <w:tcPr>
            <w:tcW w:w="281" w:type="dxa"/>
            <w:tcBorders>
              <w:top w:val="single" w:sz="4" w:space="0" w:color="000000"/>
              <w:left w:val="dotted" w:sz="4" w:space="0" w:color="000000"/>
              <w:bottom w:val="single" w:sz="4" w:space="0" w:color="000000"/>
              <w:right w:val="single" w:sz="4" w:space="0" w:color="000000"/>
            </w:tcBorders>
          </w:tcPr>
          <w:p>
            <w:pPr/>
          </w:p>
        </w:tc>
        <w:tc>
          <w:tcPr>
            <w:tcW w:w="461" w:type="dxa"/>
            <w:tcBorders>
              <w:top w:val="single" w:sz="4" w:space="0" w:color="000000"/>
              <w:left w:val="single" w:sz="4" w:space="0" w:color="000000"/>
              <w:bottom w:val="single" w:sz="4" w:space="0" w:color="000000"/>
              <w:right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6"/>
              <w:rPr>
                <w:sz w:val="13"/>
              </w:rPr>
            </w:pPr>
          </w:p>
          <w:p>
            <w:pPr>
              <w:pStyle w:val="TableParagraph"/>
              <w:ind w:left="116" w:right="116"/>
              <w:jc w:val="center"/>
              <w:rPr>
                <w:rFonts w:ascii="Arial"/>
                <w:sz w:val="16"/>
              </w:rPr>
            </w:pPr>
            <w:r>
              <w:rPr>
                <w:rFonts w:ascii="Arial"/>
                <w:sz w:val="16"/>
              </w:rPr>
              <w:t>67</w:t>
            </w:r>
          </w:p>
        </w:tc>
        <w:tc>
          <w:tcPr>
            <w:tcW w:w="1270" w:type="dxa"/>
            <w:tcBorders>
              <w:top w:val="single" w:sz="4" w:space="0" w:color="000000"/>
              <w:left w:val="single" w:sz="4" w:space="0" w:color="000000"/>
              <w:bottom w:val="single" w:sz="4" w:space="0" w:color="000000"/>
              <w:right w:val="single" w:sz="4" w:space="0" w:color="000000"/>
            </w:tcBorders>
          </w:tcPr>
          <w:p>
            <w:pPr>
              <w:pStyle w:val="TableParagraph"/>
              <w:rPr>
                <w:sz w:val="18"/>
              </w:rPr>
            </w:pPr>
          </w:p>
          <w:p>
            <w:pPr>
              <w:pStyle w:val="TableParagraph"/>
              <w:rPr>
                <w:sz w:val="18"/>
              </w:rPr>
            </w:pPr>
          </w:p>
          <w:p>
            <w:pPr>
              <w:pStyle w:val="TableParagraph"/>
              <w:rPr>
                <w:sz w:val="24"/>
              </w:rPr>
            </w:pPr>
          </w:p>
          <w:p>
            <w:pPr>
              <w:pStyle w:val="TableParagraph"/>
              <w:ind w:right="-20" w:firstLine="319"/>
              <w:rPr>
                <w:rFonts w:ascii="Arial" w:hAnsi="Arial"/>
                <w:sz w:val="16"/>
              </w:rPr>
            </w:pPr>
            <w:r>
              <w:rPr>
                <w:rFonts w:ascii="Arial" w:hAnsi="Arial"/>
                <w:sz w:val="16"/>
              </w:rPr>
              <w:t>Σύστημα Παρακολούθησης</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6"/>
              <w:rPr>
                <w:sz w:val="13"/>
              </w:rPr>
            </w:pPr>
          </w:p>
          <w:p>
            <w:pPr>
              <w:pStyle w:val="TableParagraph"/>
              <w:ind w:left="263"/>
              <w:rPr>
                <w:rFonts w:ascii="Arial" w:hAnsi="Arial"/>
                <w:sz w:val="16"/>
              </w:rPr>
            </w:pPr>
            <w:r>
              <w:rPr>
                <w:rFonts w:ascii="Arial" w:hAnsi="Arial"/>
                <w:sz w:val="16"/>
              </w:rPr>
              <w:t>Ετήσια</w:t>
            </w:r>
          </w:p>
        </w:tc>
        <w:tc>
          <w:tcPr>
            <w:tcW w:w="980" w:type="dxa"/>
            <w:tcBorders>
              <w:top w:val="single" w:sz="4" w:space="0" w:color="000000"/>
              <w:left w:val="single" w:sz="4" w:space="0" w:color="000000"/>
              <w:bottom w:val="single" w:sz="4" w:space="0" w:color="000000"/>
              <w:right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6"/>
              <w:rPr>
                <w:sz w:val="13"/>
              </w:rPr>
            </w:pPr>
          </w:p>
          <w:p>
            <w:pPr>
              <w:pStyle w:val="TableParagraph"/>
              <w:ind w:left="66" w:right="69"/>
              <w:jc w:val="center"/>
              <w:rPr>
                <w:rFonts w:ascii="Arial" w:hAnsi="Arial"/>
                <w:sz w:val="16"/>
              </w:rPr>
            </w:pPr>
            <w:r>
              <w:rPr>
                <w:rFonts w:ascii="Arial" w:hAnsi="Arial"/>
                <w:sz w:val="16"/>
              </w:rPr>
              <w:t>ΟΧΙ</w:t>
            </w:r>
          </w:p>
        </w:tc>
        <w:tc>
          <w:tcPr>
            <w:tcW w:w="960" w:type="dxa"/>
            <w:tcBorders>
              <w:top w:val="single" w:sz="4" w:space="0" w:color="000000"/>
              <w:left w:val="single" w:sz="4" w:space="0" w:color="000000"/>
              <w:bottom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6"/>
              <w:rPr>
                <w:sz w:val="13"/>
              </w:rPr>
            </w:pPr>
          </w:p>
          <w:p>
            <w:pPr>
              <w:pStyle w:val="TableParagraph"/>
              <w:ind w:left="53" w:right="54"/>
              <w:jc w:val="center"/>
              <w:rPr>
                <w:rFonts w:ascii="Arial" w:hAnsi="Arial"/>
                <w:sz w:val="16"/>
              </w:rPr>
            </w:pPr>
            <w:r>
              <w:rPr>
                <w:rFonts w:ascii="Arial" w:hAnsi="Arial"/>
                <w:sz w:val="16"/>
              </w:rPr>
              <w:t>ΝΑΙ</w:t>
            </w:r>
          </w:p>
        </w:tc>
      </w:tr>
      <w:tr>
        <w:trPr>
          <w:trHeight w:val="941" w:hRule="exact"/>
        </w:trPr>
        <w:tc>
          <w:tcPr>
            <w:tcW w:w="684" w:type="dxa"/>
            <w:tcBorders>
              <w:top w:val="single" w:sz="4" w:space="0" w:color="000000"/>
              <w:left w:val="single" w:sz="12" w:space="0" w:color="000000"/>
              <w:right w:val="single" w:sz="4" w:space="0" w:color="000000"/>
            </w:tcBorders>
          </w:tcPr>
          <w:p>
            <w:pPr>
              <w:pStyle w:val="TableParagraph"/>
              <w:rPr>
                <w:sz w:val="18"/>
              </w:rPr>
            </w:pPr>
          </w:p>
          <w:p>
            <w:pPr>
              <w:pStyle w:val="TableParagraph"/>
              <w:spacing w:before="143"/>
              <w:ind w:right="119"/>
              <w:jc w:val="right"/>
              <w:rPr>
                <w:rFonts w:ascii="Arial"/>
                <w:sz w:val="16"/>
              </w:rPr>
            </w:pPr>
            <w:r>
              <w:rPr>
                <w:rFonts w:ascii="Arial"/>
                <w:sz w:val="16"/>
              </w:rPr>
              <w:t>CO08</w:t>
            </w:r>
          </w:p>
        </w:tc>
        <w:tc>
          <w:tcPr>
            <w:tcW w:w="1200" w:type="dxa"/>
            <w:tcBorders>
              <w:top w:val="single" w:sz="4" w:space="0" w:color="000000"/>
              <w:left w:val="single" w:sz="4" w:space="0" w:color="000000"/>
              <w:right w:val="single" w:sz="4" w:space="0" w:color="000000"/>
            </w:tcBorders>
          </w:tcPr>
          <w:p>
            <w:pPr>
              <w:pStyle w:val="TableParagraph"/>
              <w:ind w:left="35" w:right="33" w:hanging="3"/>
              <w:jc w:val="center"/>
              <w:rPr>
                <w:rFonts w:ascii="Arial" w:hAnsi="Arial"/>
                <w:sz w:val="16"/>
              </w:rPr>
            </w:pPr>
            <w:r>
              <w:rPr>
                <w:rFonts w:ascii="Arial" w:hAnsi="Arial"/>
                <w:sz w:val="16"/>
              </w:rPr>
              <w:t>Αύξηση της απασχόλησης σε επιχειρήσεις που λαμβάνουν στήριξη</w:t>
            </w:r>
          </w:p>
        </w:tc>
        <w:tc>
          <w:tcPr>
            <w:tcW w:w="1081" w:type="dxa"/>
            <w:tcBorders>
              <w:top w:val="single" w:sz="4" w:space="0" w:color="000000"/>
              <w:left w:val="single" w:sz="4" w:space="0" w:color="000000"/>
              <w:right w:val="single" w:sz="4" w:space="0" w:color="000000"/>
            </w:tcBorders>
          </w:tcPr>
          <w:p>
            <w:pPr>
              <w:pStyle w:val="TableParagraph"/>
              <w:spacing w:before="10"/>
              <w:rPr>
                <w:sz w:val="14"/>
              </w:rPr>
            </w:pPr>
          </w:p>
          <w:p>
            <w:pPr>
              <w:pStyle w:val="TableParagraph"/>
              <w:ind w:left="151" w:right="150"/>
              <w:jc w:val="center"/>
              <w:rPr>
                <w:rFonts w:ascii="Arial" w:hAnsi="Arial"/>
                <w:sz w:val="16"/>
              </w:rPr>
            </w:pPr>
            <w:r>
              <w:rPr>
                <w:rFonts w:ascii="Arial" w:hAnsi="Arial"/>
                <w:sz w:val="16"/>
              </w:rPr>
              <w:t>Ισοδύναμα πλήρους χρόνου</w:t>
            </w:r>
          </w:p>
        </w:tc>
        <w:tc>
          <w:tcPr>
            <w:tcW w:w="1116" w:type="dxa"/>
            <w:tcBorders>
              <w:top w:val="single" w:sz="4" w:space="0" w:color="000000"/>
              <w:left w:val="single" w:sz="4" w:space="0" w:color="000000"/>
              <w:right w:val="single" w:sz="4" w:space="0" w:color="000000"/>
            </w:tcBorders>
          </w:tcPr>
          <w:p>
            <w:pPr>
              <w:pStyle w:val="TableParagraph"/>
              <w:rPr>
                <w:sz w:val="18"/>
              </w:rPr>
            </w:pPr>
          </w:p>
          <w:p>
            <w:pPr>
              <w:pStyle w:val="TableParagraph"/>
              <w:spacing w:before="143"/>
              <w:jc w:val="center"/>
              <w:rPr>
                <w:rFonts w:ascii="Arial"/>
                <w:sz w:val="16"/>
              </w:rPr>
            </w:pPr>
            <w:r>
              <w:rPr>
                <w:rFonts w:ascii="Arial"/>
                <w:w w:val="100"/>
                <w:sz w:val="16"/>
              </w:rPr>
              <w:t>A</w:t>
            </w:r>
          </w:p>
        </w:tc>
        <w:tc>
          <w:tcPr>
            <w:tcW w:w="302" w:type="dxa"/>
            <w:tcBorders>
              <w:top w:val="single" w:sz="4" w:space="0" w:color="000000"/>
              <w:left w:val="single" w:sz="4" w:space="0" w:color="000000"/>
              <w:right w:val="dotted" w:sz="4" w:space="0" w:color="000000"/>
            </w:tcBorders>
          </w:tcPr>
          <w:p>
            <w:pPr/>
          </w:p>
        </w:tc>
        <w:tc>
          <w:tcPr>
            <w:tcW w:w="281" w:type="dxa"/>
            <w:tcBorders>
              <w:top w:val="single" w:sz="4" w:space="0" w:color="000000"/>
              <w:left w:val="dotted" w:sz="4" w:space="0" w:color="000000"/>
              <w:right w:val="single" w:sz="4" w:space="0" w:color="000000"/>
            </w:tcBorders>
          </w:tcPr>
          <w:p>
            <w:pPr/>
          </w:p>
        </w:tc>
        <w:tc>
          <w:tcPr>
            <w:tcW w:w="461" w:type="dxa"/>
            <w:tcBorders>
              <w:top w:val="single" w:sz="4" w:space="0" w:color="000000"/>
              <w:left w:val="single" w:sz="4" w:space="0" w:color="000000"/>
              <w:right w:val="single" w:sz="4" w:space="0" w:color="000000"/>
            </w:tcBorders>
          </w:tcPr>
          <w:p>
            <w:pPr>
              <w:pStyle w:val="TableParagraph"/>
              <w:rPr>
                <w:sz w:val="18"/>
              </w:rPr>
            </w:pPr>
          </w:p>
          <w:p>
            <w:pPr>
              <w:pStyle w:val="TableParagraph"/>
              <w:spacing w:before="143"/>
              <w:ind w:left="116" w:right="116"/>
              <w:jc w:val="center"/>
              <w:rPr>
                <w:rFonts w:ascii="Arial"/>
                <w:sz w:val="16"/>
              </w:rPr>
            </w:pPr>
            <w:r>
              <w:rPr>
                <w:rFonts w:ascii="Arial"/>
                <w:sz w:val="16"/>
              </w:rPr>
              <w:t>33</w:t>
            </w:r>
          </w:p>
        </w:tc>
        <w:tc>
          <w:tcPr>
            <w:tcW w:w="1270" w:type="dxa"/>
            <w:tcBorders>
              <w:top w:val="single" w:sz="4" w:space="0" w:color="000000"/>
              <w:left w:val="single" w:sz="4" w:space="0" w:color="000000"/>
              <w:right w:val="single" w:sz="4" w:space="0" w:color="000000"/>
            </w:tcBorders>
          </w:tcPr>
          <w:p>
            <w:pPr>
              <w:pStyle w:val="TableParagraph"/>
              <w:spacing w:before="3"/>
              <w:rPr>
                <w:sz w:val="22"/>
              </w:rPr>
            </w:pPr>
          </w:p>
          <w:p>
            <w:pPr>
              <w:pStyle w:val="TableParagraph"/>
              <w:ind w:right="-20" w:firstLine="319"/>
              <w:rPr>
                <w:rFonts w:ascii="Arial" w:hAnsi="Arial"/>
                <w:sz w:val="16"/>
              </w:rPr>
            </w:pPr>
            <w:r>
              <w:rPr>
                <w:rFonts w:ascii="Arial" w:hAnsi="Arial"/>
                <w:sz w:val="16"/>
              </w:rPr>
              <w:t>Σύστημα Παρακολούθησης</w:t>
            </w:r>
          </w:p>
        </w:tc>
        <w:tc>
          <w:tcPr>
            <w:tcW w:w="1025" w:type="dxa"/>
            <w:tcBorders>
              <w:top w:val="single" w:sz="4" w:space="0" w:color="000000"/>
              <w:left w:val="single" w:sz="4" w:space="0" w:color="000000"/>
              <w:right w:val="single" w:sz="4" w:space="0" w:color="000000"/>
            </w:tcBorders>
          </w:tcPr>
          <w:p>
            <w:pPr>
              <w:pStyle w:val="TableParagraph"/>
              <w:rPr>
                <w:sz w:val="18"/>
              </w:rPr>
            </w:pPr>
          </w:p>
          <w:p>
            <w:pPr>
              <w:pStyle w:val="TableParagraph"/>
              <w:spacing w:before="143"/>
              <w:ind w:left="263"/>
              <w:rPr>
                <w:rFonts w:ascii="Arial" w:hAnsi="Arial"/>
                <w:sz w:val="16"/>
              </w:rPr>
            </w:pPr>
            <w:r>
              <w:rPr>
                <w:rFonts w:ascii="Arial" w:hAnsi="Arial"/>
                <w:sz w:val="16"/>
              </w:rPr>
              <w:t>Ετήσια</w:t>
            </w:r>
          </w:p>
        </w:tc>
        <w:tc>
          <w:tcPr>
            <w:tcW w:w="980" w:type="dxa"/>
            <w:tcBorders>
              <w:top w:val="single" w:sz="4" w:space="0" w:color="000000"/>
              <w:left w:val="single" w:sz="4" w:space="0" w:color="000000"/>
              <w:right w:val="single" w:sz="4" w:space="0" w:color="000000"/>
            </w:tcBorders>
          </w:tcPr>
          <w:p>
            <w:pPr>
              <w:pStyle w:val="TableParagraph"/>
              <w:rPr>
                <w:sz w:val="18"/>
              </w:rPr>
            </w:pPr>
          </w:p>
          <w:p>
            <w:pPr>
              <w:pStyle w:val="TableParagraph"/>
              <w:spacing w:before="143"/>
              <w:ind w:left="66" w:right="69"/>
              <w:jc w:val="center"/>
              <w:rPr>
                <w:rFonts w:ascii="Arial" w:hAnsi="Arial"/>
                <w:sz w:val="16"/>
              </w:rPr>
            </w:pPr>
            <w:r>
              <w:rPr>
                <w:rFonts w:ascii="Arial" w:hAnsi="Arial"/>
                <w:sz w:val="16"/>
              </w:rPr>
              <w:t>ΟΧΙ</w:t>
            </w:r>
          </w:p>
        </w:tc>
        <w:tc>
          <w:tcPr>
            <w:tcW w:w="960" w:type="dxa"/>
            <w:tcBorders>
              <w:top w:val="single" w:sz="4" w:space="0" w:color="000000"/>
              <w:left w:val="single" w:sz="4" w:space="0" w:color="000000"/>
            </w:tcBorders>
          </w:tcPr>
          <w:p>
            <w:pPr>
              <w:pStyle w:val="TableParagraph"/>
              <w:rPr>
                <w:sz w:val="18"/>
              </w:rPr>
            </w:pPr>
          </w:p>
          <w:p>
            <w:pPr>
              <w:pStyle w:val="TableParagraph"/>
              <w:spacing w:before="143"/>
              <w:ind w:left="53" w:right="54"/>
              <w:jc w:val="center"/>
              <w:rPr>
                <w:rFonts w:ascii="Arial" w:hAnsi="Arial"/>
                <w:sz w:val="16"/>
              </w:rPr>
            </w:pPr>
            <w:r>
              <w:rPr>
                <w:rFonts w:ascii="Arial" w:hAnsi="Arial"/>
                <w:sz w:val="16"/>
              </w:rPr>
              <w:t>ΝΑΙ</w:t>
            </w:r>
          </w:p>
        </w:tc>
      </w:tr>
    </w:tbl>
    <w:p>
      <w:pPr>
        <w:pStyle w:val="BodyText"/>
        <w:rPr>
          <w:sz w:val="20"/>
        </w:rPr>
      </w:pPr>
    </w:p>
    <w:p>
      <w:pPr>
        <w:pStyle w:val="BodyText"/>
        <w:rPr>
          <w:sz w:val="20"/>
        </w:rPr>
      </w:pPr>
    </w:p>
    <w:p>
      <w:pPr>
        <w:pStyle w:val="BodyText"/>
        <w:spacing w:before="6"/>
        <w:rPr>
          <w:sz w:val="15"/>
        </w:rPr>
      </w:pPr>
    </w:p>
    <w:p>
      <w:pPr>
        <w:pStyle w:val="ListParagraph"/>
        <w:numPr>
          <w:ilvl w:val="1"/>
          <w:numId w:val="10"/>
        </w:numPr>
        <w:tabs>
          <w:tab w:pos="581" w:val="left" w:leader="none"/>
        </w:tabs>
        <w:spacing w:line="240" w:lineRule="auto" w:before="56" w:after="0"/>
        <w:ind w:left="580" w:right="0" w:hanging="360"/>
        <w:jc w:val="left"/>
        <w:rPr>
          <w:sz w:val="22"/>
        </w:rPr>
      </w:pPr>
      <w:r>
        <w:rPr>
          <w:sz w:val="22"/>
        </w:rPr>
        <w:t>Οι ημερομηνίες έναρξης και λήξης υποβολής των προτάσεων παρουσιάζονται στον ακόλουθο</w:t>
      </w:r>
      <w:r>
        <w:rPr>
          <w:spacing w:val="-17"/>
          <w:sz w:val="22"/>
        </w:rPr>
        <w:t> </w:t>
      </w:r>
      <w:r>
        <w:rPr>
          <w:sz w:val="22"/>
        </w:rPr>
        <w:t>πίνακα:</w:t>
      </w:r>
    </w:p>
    <w:p>
      <w:pPr>
        <w:pStyle w:val="BodyText"/>
        <w:rPr>
          <w:sz w:val="20"/>
        </w:rPr>
      </w:pPr>
    </w:p>
    <w:p>
      <w:pPr>
        <w:pStyle w:val="BodyText"/>
        <w:spacing w:before="7"/>
        <w:rPr>
          <w:sz w:val="18"/>
        </w:rPr>
      </w:pPr>
    </w:p>
    <w:tbl>
      <w:tblPr>
        <w:tblCellSpacing w:w="21" w:type="dxa"/>
        <w:tblW w:w="0" w:type="auto"/>
        <w:jc w:val="left"/>
        <w:tblInd w:w="18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04"/>
        <w:gridCol w:w="3102"/>
      </w:tblGrid>
      <w:tr>
        <w:trPr>
          <w:trHeight w:val="348" w:hRule="exact"/>
        </w:trPr>
        <w:tc>
          <w:tcPr>
            <w:tcW w:w="3404" w:type="dxa"/>
            <w:tcBorders>
              <w:bottom w:val="single" w:sz="17" w:space="0" w:color="auto"/>
              <w:right w:val="nil"/>
            </w:tcBorders>
            <w:shd w:val="clear" w:color="auto" w:fill="CCCCCC"/>
          </w:tcPr>
          <w:p>
            <w:pPr>
              <w:pStyle w:val="TableParagraph"/>
              <w:spacing w:before="57"/>
              <w:ind w:left="328"/>
              <w:rPr>
                <w:b/>
                <w:sz w:val="22"/>
              </w:rPr>
            </w:pPr>
            <w:r>
              <w:rPr>
                <w:b/>
                <w:sz w:val="22"/>
              </w:rPr>
              <w:t>Έναρξη υποβολής προτάσεων</w:t>
            </w:r>
          </w:p>
        </w:tc>
        <w:tc>
          <w:tcPr>
            <w:tcW w:w="3102" w:type="dxa"/>
            <w:tcBorders>
              <w:left w:val="nil"/>
              <w:bottom w:val="single" w:sz="17" w:space="0" w:color="auto"/>
            </w:tcBorders>
            <w:shd w:val="clear" w:color="auto" w:fill="CCCCCC"/>
          </w:tcPr>
          <w:p>
            <w:pPr>
              <w:pStyle w:val="TableParagraph"/>
              <w:spacing w:before="28"/>
              <w:ind w:left="261"/>
              <w:rPr>
                <w:b/>
                <w:sz w:val="22"/>
              </w:rPr>
            </w:pPr>
            <w:r>
              <w:rPr>
                <w:b/>
                <w:sz w:val="22"/>
              </w:rPr>
              <w:t>Λήξη υποβολής προτάσεων</w:t>
            </w:r>
          </w:p>
        </w:tc>
      </w:tr>
      <w:tr>
        <w:trPr>
          <w:trHeight w:val="597" w:hRule="exact"/>
        </w:trPr>
        <w:tc>
          <w:tcPr>
            <w:tcW w:w="3404" w:type="dxa"/>
            <w:tcBorders>
              <w:top w:val="nil"/>
              <w:right w:val="nil"/>
            </w:tcBorders>
            <w:shd w:val="clear" w:color="auto" w:fill="F1F1F1"/>
          </w:tcPr>
          <w:p>
            <w:pPr>
              <w:pStyle w:val="TableParagraph"/>
              <w:spacing w:line="265" w:lineRule="exact"/>
              <w:ind w:left="1152" w:right="1129"/>
              <w:jc w:val="center"/>
              <w:rPr>
                <w:b/>
                <w:sz w:val="22"/>
              </w:rPr>
            </w:pPr>
            <w:r>
              <w:rPr>
                <w:b/>
                <w:sz w:val="22"/>
              </w:rPr>
              <w:t>16/05/2019</w:t>
            </w:r>
          </w:p>
          <w:p>
            <w:pPr>
              <w:pStyle w:val="TableParagraph"/>
              <w:spacing w:before="41"/>
              <w:ind w:left="1149" w:right="1129"/>
              <w:jc w:val="center"/>
              <w:rPr>
                <w:sz w:val="22"/>
              </w:rPr>
            </w:pPr>
            <w:r>
              <w:rPr>
                <w:sz w:val="22"/>
              </w:rPr>
              <w:t>Ώρα </w:t>
            </w:r>
            <w:r>
              <w:rPr>
                <w:b/>
                <w:sz w:val="22"/>
              </w:rPr>
              <w:t>13:00</w:t>
            </w:r>
            <w:r>
              <w:rPr>
                <w:sz w:val="22"/>
              </w:rPr>
              <w:t>.</w:t>
            </w:r>
          </w:p>
        </w:tc>
        <w:tc>
          <w:tcPr>
            <w:tcW w:w="3102" w:type="dxa"/>
            <w:tcBorders>
              <w:top w:val="nil"/>
              <w:left w:val="nil"/>
            </w:tcBorders>
            <w:shd w:val="clear" w:color="auto" w:fill="F1F1F1"/>
          </w:tcPr>
          <w:p>
            <w:pPr>
              <w:pStyle w:val="TableParagraph"/>
              <w:spacing w:line="265" w:lineRule="exact"/>
              <w:ind w:left="981" w:right="999"/>
              <w:jc w:val="center"/>
              <w:rPr>
                <w:b/>
                <w:sz w:val="22"/>
              </w:rPr>
            </w:pPr>
            <w:r>
              <w:rPr>
                <w:b/>
                <w:sz w:val="22"/>
              </w:rPr>
              <w:t>30/08/2019</w:t>
            </w:r>
          </w:p>
          <w:p>
            <w:pPr>
              <w:pStyle w:val="TableParagraph"/>
              <w:spacing w:before="41"/>
              <w:ind w:left="979" w:right="999"/>
              <w:jc w:val="center"/>
              <w:rPr>
                <w:b/>
                <w:sz w:val="22"/>
              </w:rPr>
            </w:pPr>
            <w:r>
              <w:rPr>
                <w:sz w:val="22"/>
              </w:rPr>
              <w:t>Ώρα </w:t>
            </w:r>
            <w:r>
              <w:rPr>
                <w:b/>
                <w:sz w:val="22"/>
              </w:rPr>
              <w:t>15:00</w:t>
            </w:r>
          </w:p>
        </w:tc>
      </w:tr>
    </w:tbl>
    <w:p>
      <w:pPr>
        <w:pStyle w:val="BodyText"/>
        <w:spacing w:before="6"/>
        <w:rPr>
          <w:sz w:val="20"/>
        </w:rPr>
      </w:pPr>
    </w:p>
    <w:p>
      <w:pPr>
        <w:pStyle w:val="BodyText"/>
        <w:spacing w:line="276" w:lineRule="auto" w:before="56"/>
        <w:ind w:left="578" w:right="153"/>
        <w:jc w:val="both"/>
      </w:pPr>
      <w:r>
        <w:rPr/>
        <w:t>Η Ειδική Υπηρεσία Διαχείρισης του ΕΠ Περιφέρειας Θεσσαλίας 2014-2020, διατηρεί το δικαίωμα τροποποίησης των ανωτέρω ημερομηνιών. Κάθε τροποποίηση των ανωτέρω ημερομηνιών θα δημοσιεύεται στην ιστοσελίδα του ΕΠ Θεσσαλία 2014-2020 (</w:t>
      </w:r>
      <w:hyperlink r:id="rId10">
        <w:r>
          <w:rPr>
            <w:color w:val="0462C1"/>
            <w:u w:val="single" w:color="0462C1"/>
          </w:rPr>
          <w:t>www.thessalia-espa.gr</w:t>
        </w:r>
      </w:hyperlink>
      <w:r>
        <w:rPr>
          <w:color w:val="0462C1"/>
          <w:u w:val="single" w:color="0462C1"/>
        </w:rPr>
        <w:t> </w:t>
      </w:r>
      <w:r>
        <w:rPr/>
        <w:t>) και του ΕΣΠΑ (</w:t>
      </w:r>
      <w:hyperlink r:id="rId11">
        <w:r>
          <w:rPr>
            <w:color w:val="0462C1"/>
            <w:u w:val="single" w:color="0462C1"/>
          </w:rPr>
          <w:t>www.espa.gr</w:t>
        </w:r>
      </w:hyperlink>
      <w:r>
        <w:rPr/>
        <w:t>).</w:t>
      </w:r>
    </w:p>
    <w:p>
      <w:pPr>
        <w:pStyle w:val="BodyText"/>
        <w:spacing w:before="5" w:after="1"/>
        <w:rPr>
          <w:sz w:val="25"/>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03"/>
        <w:gridCol w:w="5387"/>
      </w:tblGrid>
      <w:tr>
        <w:trPr>
          <w:trHeight w:val="511" w:hRule="exact"/>
        </w:trPr>
        <w:tc>
          <w:tcPr>
            <w:tcW w:w="4503" w:type="dxa"/>
          </w:tcPr>
          <w:p>
            <w:pPr>
              <w:pStyle w:val="TableParagraph"/>
              <w:spacing w:before="93"/>
              <w:ind w:left="103"/>
              <w:rPr>
                <w:b/>
                <w:sz w:val="22"/>
              </w:rPr>
            </w:pPr>
            <w:r>
              <w:rPr>
                <w:b/>
                <w:sz w:val="22"/>
              </w:rPr>
              <w:t>Κωδικός πρόσκλησης</w:t>
            </w:r>
          </w:p>
        </w:tc>
        <w:tc>
          <w:tcPr>
            <w:tcW w:w="5387" w:type="dxa"/>
          </w:tcPr>
          <w:p>
            <w:pPr>
              <w:pStyle w:val="TableParagraph"/>
              <w:spacing w:before="93"/>
              <w:ind w:left="103"/>
              <w:rPr>
                <w:sz w:val="22"/>
              </w:rPr>
            </w:pPr>
            <w:r>
              <w:rPr>
                <w:sz w:val="22"/>
              </w:rPr>
              <w:t>066KE (Α/Α ΟΠΣ: 3556)</w:t>
            </w:r>
          </w:p>
        </w:tc>
      </w:tr>
      <w:tr>
        <w:trPr>
          <w:trHeight w:val="1862" w:hRule="exact"/>
        </w:trPr>
        <w:tc>
          <w:tcPr>
            <w:tcW w:w="4503" w:type="dxa"/>
          </w:tcPr>
          <w:p>
            <w:pPr>
              <w:pStyle w:val="TableParagraph"/>
              <w:rPr>
                <w:sz w:val="22"/>
              </w:rPr>
            </w:pPr>
          </w:p>
          <w:p>
            <w:pPr>
              <w:pStyle w:val="TableParagraph"/>
              <w:rPr>
                <w:sz w:val="22"/>
              </w:rPr>
            </w:pPr>
          </w:p>
          <w:p>
            <w:pPr>
              <w:pStyle w:val="TableParagraph"/>
              <w:rPr>
                <w:sz w:val="19"/>
              </w:rPr>
            </w:pPr>
          </w:p>
          <w:p>
            <w:pPr>
              <w:pStyle w:val="TableParagraph"/>
              <w:ind w:left="103"/>
              <w:rPr>
                <w:b/>
                <w:sz w:val="22"/>
              </w:rPr>
            </w:pPr>
            <w:r>
              <w:rPr>
                <w:b/>
                <w:sz w:val="22"/>
              </w:rPr>
              <w:t>Τίτλος και περιγραφή Δράσης</w:t>
            </w:r>
          </w:p>
        </w:tc>
        <w:tc>
          <w:tcPr>
            <w:tcW w:w="5387" w:type="dxa"/>
          </w:tcPr>
          <w:p>
            <w:pPr>
              <w:pStyle w:val="TableParagraph"/>
              <w:spacing w:line="276" w:lineRule="auto"/>
              <w:ind w:left="103" w:right="98"/>
              <w:jc w:val="both"/>
              <w:rPr>
                <w:sz w:val="22"/>
              </w:rPr>
            </w:pPr>
            <w:r>
              <w:rPr>
                <w:sz w:val="22"/>
              </w:rPr>
              <w:t>Ενίσχυση υφιστάμενων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με διακριτικό τίτλο “</w:t>
            </w:r>
            <w:r>
              <w:rPr>
                <w:b/>
                <w:sz w:val="22"/>
              </w:rPr>
              <w:t>Επανεπενδύω στη Θεσσαλία</w:t>
            </w:r>
            <w:r>
              <w:rPr>
                <w:sz w:val="22"/>
              </w:rPr>
              <w:t>”</w:t>
            </w:r>
          </w:p>
        </w:tc>
      </w:tr>
      <w:tr>
        <w:trPr>
          <w:trHeight w:val="320" w:hRule="exact"/>
        </w:trPr>
        <w:tc>
          <w:tcPr>
            <w:tcW w:w="4503" w:type="dxa"/>
          </w:tcPr>
          <w:p>
            <w:pPr>
              <w:pStyle w:val="TableParagraph"/>
              <w:spacing w:line="265" w:lineRule="exact"/>
              <w:ind w:left="103"/>
              <w:rPr>
                <w:b/>
                <w:sz w:val="22"/>
              </w:rPr>
            </w:pPr>
            <w:r>
              <w:rPr>
                <w:b/>
                <w:sz w:val="22"/>
              </w:rPr>
              <w:t>Τομείς</w:t>
            </w:r>
          </w:p>
        </w:tc>
        <w:tc>
          <w:tcPr>
            <w:tcW w:w="5387" w:type="dxa"/>
          </w:tcPr>
          <w:p>
            <w:pPr>
              <w:pStyle w:val="TableParagraph"/>
              <w:spacing w:line="265" w:lineRule="exact"/>
              <w:ind w:left="103"/>
              <w:rPr>
                <w:sz w:val="22"/>
              </w:rPr>
            </w:pPr>
            <w:r>
              <w:rPr>
                <w:sz w:val="22"/>
              </w:rPr>
              <w:t>Επιλέξιμοι ΚΑΔ όπως ορίζονται στο Παράρτημα VIII</w:t>
            </w:r>
          </w:p>
        </w:tc>
      </w:tr>
      <w:tr>
        <w:trPr>
          <w:trHeight w:val="319" w:hRule="exact"/>
        </w:trPr>
        <w:tc>
          <w:tcPr>
            <w:tcW w:w="4503" w:type="dxa"/>
          </w:tcPr>
          <w:p>
            <w:pPr>
              <w:pStyle w:val="TableParagraph"/>
              <w:spacing w:line="265" w:lineRule="exact"/>
              <w:ind w:left="103"/>
              <w:rPr>
                <w:b/>
                <w:sz w:val="22"/>
              </w:rPr>
            </w:pPr>
            <w:r>
              <w:rPr>
                <w:b/>
                <w:sz w:val="22"/>
              </w:rPr>
              <w:t>Δείκτες εκροών</w:t>
            </w:r>
          </w:p>
        </w:tc>
        <w:tc>
          <w:tcPr>
            <w:tcW w:w="5387" w:type="dxa"/>
          </w:tcPr>
          <w:p>
            <w:pPr>
              <w:pStyle w:val="TableParagraph"/>
              <w:spacing w:before="18"/>
              <w:ind w:left="103"/>
              <w:rPr>
                <w:sz w:val="22"/>
              </w:rPr>
            </w:pPr>
            <w:r>
              <w:rPr>
                <w:sz w:val="22"/>
              </w:rPr>
              <w:t>CO01, CO02 και CO08</w:t>
            </w:r>
          </w:p>
        </w:tc>
      </w:tr>
    </w:tbl>
    <w:p>
      <w:pPr>
        <w:spacing w:after="0"/>
        <w:rPr>
          <w:sz w:val="22"/>
        </w:rPr>
        <w:sectPr>
          <w:pgSz w:w="11910" w:h="16840"/>
          <w:pgMar w:header="748" w:footer="734" w:top="1420" w:bottom="920" w:left="860" w:right="920"/>
        </w:sectPr>
      </w:pPr>
    </w:p>
    <w:p>
      <w:pPr>
        <w:pStyle w:val="BodyText"/>
        <w:spacing w:before="6"/>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03"/>
        <w:gridCol w:w="5387"/>
      </w:tblGrid>
      <w:tr>
        <w:trPr>
          <w:trHeight w:val="319" w:hRule="exact"/>
        </w:trPr>
        <w:tc>
          <w:tcPr>
            <w:tcW w:w="4503" w:type="dxa"/>
          </w:tcPr>
          <w:p>
            <w:pPr>
              <w:pStyle w:val="TableParagraph"/>
              <w:spacing w:line="265" w:lineRule="exact"/>
              <w:ind w:left="103"/>
              <w:rPr>
                <w:b/>
                <w:sz w:val="22"/>
              </w:rPr>
            </w:pPr>
            <w:r>
              <w:rPr>
                <w:b/>
                <w:sz w:val="22"/>
              </w:rPr>
              <w:t>Γεωγραφικές Ενότητες υλοποίησης</w:t>
            </w:r>
          </w:p>
        </w:tc>
        <w:tc>
          <w:tcPr>
            <w:tcW w:w="5387" w:type="dxa"/>
          </w:tcPr>
          <w:p>
            <w:pPr>
              <w:pStyle w:val="TableParagraph"/>
              <w:spacing w:line="265" w:lineRule="exact"/>
              <w:ind w:left="103"/>
              <w:rPr>
                <w:sz w:val="22"/>
              </w:rPr>
            </w:pPr>
            <w:r>
              <w:rPr>
                <w:sz w:val="22"/>
              </w:rPr>
              <w:t>Περιφέρεια Θεσσαλία</w:t>
            </w:r>
          </w:p>
        </w:tc>
      </w:tr>
      <w:tr>
        <w:trPr>
          <w:trHeight w:val="319" w:hRule="exact"/>
        </w:trPr>
        <w:tc>
          <w:tcPr>
            <w:tcW w:w="4503" w:type="dxa"/>
          </w:tcPr>
          <w:p>
            <w:pPr>
              <w:pStyle w:val="TableParagraph"/>
              <w:spacing w:line="265" w:lineRule="exact"/>
              <w:ind w:left="103"/>
              <w:rPr>
                <w:b/>
                <w:sz w:val="22"/>
              </w:rPr>
            </w:pPr>
            <w:r>
              <w:rPr>
                <w:b/>
                <w:sz w:val="22"/>
              </w:rPr>
              <w:t>Συνολική διαθέσιμη Δημόσια Δαπάνη</w:t>
            </w:r>
          </w:p>
        </w:tc>
        <w:tc>
          <w:tcPr>
            <w:tcW w:w="5387" w:type="dxa"/>
          </w:tcPr>
          <w:p>
            <w:pPr>
              <w:pStyle w:val="TableParagraph"/>
              <w:spacing w:line="265" w:lineRule="exact"/>
              <w:ind w:left="103"/>
              <w:rPr>
                <w:sz w:val="22"/>
              </w:rPr>
            </w:pPr>
            <w:r>
              <w:rPr>
                <w:sz w:val="22"/>
              </w:rPr>
              <w:t>10.000.000€</w:t>
            </w:r>
          </w:p>
        </w:tc>
      </w:tr>
      <w:tr>
        <w:trPr>
          <w:trHeight w:val="626" w:hRule="exact"/>
        </w:trPr>
        <w:tc>
          <w:tcPr>
            <w:tcW w:w="4503" w:type="dxa"/>
          </w:tcPr>
          <w:p>
            <w:pPr>
              <w:pStyle w:val="TableParagraph"/>
              <w:spacing w:line="276" w:lineRule="auto"/>
              <w:ind w:left="103" w:right="1035"/>
              <w:rPr>
                <w:b/>
                <w:sz w:val="22"/>
              </w:rPr>
            </w:pPr>
            <w:r>
              <w:rPr>
                <w:b/>
                <w:sz w:val="22"/>
              </w:rPr>
              <w:t>Ανώτατο όριο κατανομής συνολικής διαθέσιμης Δημόσιας Δαπάνης</w:t>
            </w:r>
          </w:p>
        </w:tc>
        <w:tc>
          <w:tcPr>
            <w:tcW w:w="5387" w:type="dxa"/>
          </w:tcPr>
          <w:p>
            <w:pPr>
              <w:pStyle w:val="TableParagraph"/>
              <w:spacing w:before="150"/>
              <w:ind w:left="103"/>
              <w:rPr>
                <w:sz w:val="22"/>
              </w:rPr>
            </w:pPr>
            <w:r>
              <w:rPr>
                <w:sz w:val="22"/>
              </w:rPr>
              <w:t>10.000.000€</w:t>
            </w:r>
          </w:p>
        </w:tc>
      </w:tr>
      <w:tr>
        <w:trPr>
          <w:trHeight w:val="938" w:hRule="exact"/>
        </w:trPr>
        <w:tc>
          <w:tcPr>
            <w:tcW w:w="4503" w:type="dxa"/>
          </w:tcPr>
          <w:p>
            <w:pPr>
              <w:pStyle w:val="TableParagraph"/>
              <w:spacing w:line="276" w:lineRule="auto"/>
              <w:ind w:left="103" w:right="1597"/>
              <w:jc w:val="both"/>
              <w:rPr>
                <w:b/>
                <w:sz w:val="22"/>
              </w:rPr>
            </w:pPr>
            <w:r>
              <w:rPr>
                <w:b/>
                <w:sz w:val="22"/>
              </w:rPr>
              <w:t>Ο Επιχορηγούμενος π/ϋ κάθε επενδυτικής πρότασης μπορεί να κυμαίνεται από – έως</w:t>
            </w:r>
          </w:p>
        </w:tc>
        <w:tc>
          <w:tcPr>
            <w:tcW w:w="5387" w:type="dxa"/>
          </w:tcPr>
          <w:p>
            <w:pPr>
              <w:pStyle w:val="TableParagraph"/>
              <w:spacing w:before="1"/>
              <w:rPr>
                <w:sz w:val="25"/>
              </w:rPr>
            </w:pPr>
          </w:p>
          <w:p>
            <w:pPr>
              <w:pStyle w:val="TableParagraph"/>
              <w:ind w:left="103"/>
              <w:rPr>
                <w:sz w:val="22"/>
              </w:rPr>
            </w:pPr>
            <w:r>
              <w:rPr>
                <w:sz w:val="22"/>
              </w:rPr>
              <w:t>80.000 € - 400.000 €</w:t>
            </w:r>
          </w:p>
        </w:tc>
      </w:tr>
      <w:tr>
        <w:trPr>
          <w:trHeight w:val="317" w:hRule="exact"/>
        </w:trPr>
        <w:tc>
          <w:tcPr>
            <w:tcW w:w="4503" w:type="dxa"/>
          </w:tcPr>
          <w:p>
            <w:pPr>
              <w:pStyle w:val="TableParagraph"/>
              <w:spacing w:line="265" w:lineRule="exact"/>
              <w:ind w:left="103"/>
              <w:rPr>
                <w:b/>
                <w:sz w:val="22"/>
              </w:rPr>
            </w:pPr>
            <w:r>
              <w:rPr>
                <w:b/>
                <w:sz w:val="22"/>
              </w:rPr>
              <w:t>Κατηγορία ενίσχυσης</w:t>
            </w:r>
          </w:p>
        </w:tc>
        <w:tc>
          <w:tcPr>
            <w:tcW w:w="5387" w:type="dxa"/>
          </w:tcPr>
          <w:p>
            <w:pPr>
              <w:pStyle w:val="TableParagraph"/>
              <w:spacing w:line="265" w:lineRule="exact"/>
              <w:ind w:left="103"/>
              <w:rPr>
                <w:sz w:val="22"/>
              </w:rPr>
            </w:pPr>
            <w:r>
              <w:rPr>
                <w:sz w:val="22"/>
              </w:rPr>
              <w:t>Ενίσχυση επιχειρηματικότητας</w:t>
            </w:r>
          </w:p>
        </w:tc>
      </w:tr>
      <w:tr>
        <w:trPr>
          <w:trHeight w:val="319" w:hRule="exact"/>
        </w:trPr>
        <w:tc>
          <w:tcPr>
            <w:tcW w:w="4503" w:type="dxa"/>
          </w:tcPr>
          <w:p>
            <w:pPr>
              <w:pStyle w:val="TableParagraph"/>
              <w:spacing w:line="268" w:lineRule="exact"/>
              <w:ind w:left="103"/>
              <w:rPr>
                <w:b/>
                <w:sz w:val="22"/>
              </w:rPr>
            </w:pPr>
            <w:r>
              <w:rPr>
                <w:b/>
                <w:sz w:val="22"/>
              </w:rPr>
              <w:t>Είδος παρεχόμενων ενισχύσεων</w:t>
            </w:r>
          </w:p>
        </w:tc>
        <w:tc>
          <w:tcPr>
            <w:tcW w:w="5387" w:type="dxa"/>
          </w:tcPr>
          <w:p>
            <w:pPr>
              <w:pStyle w:val="TableParagraph"/>
              <w:spacing w:line="268" w:lineRule="exact"/>
              <w:ind w:left="103"/>
              <w:rPr>
                <w:sz w:val="22"/>
              </w:rPr>
            </w:pPr>
            <w:r>
              <w:rPr>
                <w:sz w:val="22"/>
              </w:rPr>
              <w:t>Επιχορήγηση (Grant)</w:t>
            </w:r>
          </w:p>
        </w:tc>
      </w:tr>
      <w:tr>
        <w:trPr>
          <w:trHeight w:val="1246" w:hRule="exact"/>
        </w:trPr>
        <w:tc>
          <w:tcPr>
            <w:tcW w:w="4503" w:type="dxa"/>
          </w:tcPr>
          <w:p>
            <w:pPr>
              <w:pStyle w:val="TableParagraph"/>
              <w:rPr>
                <w:sz w:val="22"/>
              </w:rPr>
            </w:pPr>
          </w:p>
          <w:p>
            <w:pPr>
              <w:pStyle w:val="TableParagraph"/>
              <w:spacing w:before="192"/>
              <w:ind w:left="103"/>
              <w:rPr>
                <w:b/>
                <w:sz w:val="22"/>
              </w:rPr>
            </w:pPr>
            <w:r>
              <w:rPr>
                <w:b/>
                <w:sz w:val="22"/>
              </w:rPr>
              <w:t>Καθεστώς ενίσχυσης</w:t>
            </w:r>
          </w:p>
        </w:tc>
        <w:tc>
          <w:tcPr>
            <w:tcW w:w="5387" w:type="dxa"/>
          </w:tcPr>
          <w:p>
            <w:pPr>
              <w:pStyle w:val="TableParagraph"/>
              <w:spacing w:line="265" w:lineRule="exact"/>
              <w:ind w:left="103"/>
              <w:rPr>
                <w:sz w:val="22"/>
              </w:rPr>
            </w:pPr>
            <w:r>
              <w:rPr>
                <w:sz w:val="22"/>
              </w:rPr>
              <w:t>ΚΑΝΟΝΙΣΜΟΣ (ΕΕ) αριθ. 1407/2013 ΤΗΣ ΕΠΙΤΡΟΠΗΣ</w:t>
            </w:r>
          </w:p>
          <w:p>
            <w:pPr>
              <w:pStyle w:val="TableParagraph"/>
              <w:spacing w:line="276" w:lineRule="auto" w:before="41"/>
              <w:ind w:left="103" w:right="140"/>
              <w:rPr>
                <w:sz w:val="22"/>
              </w:rPr>
            </w:pPr>
            <w:r>
              <w:rPr>
                <w:sz w:val="22"/>
              </w:rPr>
              <w:t>σχετικά με την εφαρμογή των άρθρων 107 και 108 της Συνθήκης για τη λειτουργία της Ευρωπαϊκής Ένωσης στις ενισχύσεις ήσσονος σημασίας</w:t>
            </w:r>
          </w:p>
        </w:tc>
      </w:tr>
      <w:tr>
        <w:trPr>
          <w:trHeight w:val="319" w:hRule="exact"/>
        </w:trPr>
        <w:tc>
          <w:tcPr>
            <w:tcW w:w="4503" w:type="dxa"/>
          </w:tcPr>
          <w:p>
            <w:pPr>
              <w:pStyle w:val="TableParagraph"/>
              <w:spacing w:line="265" w:lineRule="exact"/>
              <w:ind w:left="103"/>
              <w:rPr>
                <w:b/>
                <w:sz w:val="22"/>
              </w:rPr>
            </w:pPr>
            <w:r>
              <w:rPr>
                <w:b/>
                <w:sz w:val="22"/>
              </w:rPr>
              <w:t>Ταμείο</w:t>
            </w:r>
          </w:p>
        </w:tc>
        <w:tc>
          <w:tcPr>
            <w:tcW w:w="5387" w:type="dxa"/>
          </w:tcPr>
          <w:p>
            <w:pPr>
              <w:pStyle w:val="TableParagraph"/>
              <w:spacing w:line="265" w:lineRule="exact"/>
              <w:ind w:left="103"/>
              <w:rPr>
                <w:sz w:val="22"/>
              </w:rPr>
            </w:pPr>
            <w:r>
              <w:rPr>
                <w:sz w:val="22"/>
              </w:rPr>
              <w:t>ΕΤΠΑ</w:t>
            </w:r>
          </w:p>
        </w:tc>
      </w:tr>
    </w:tbl>
    <w:p>
      <w:pPr>
        <w:pStyle w:val="BodyText"/>
        <w:rPr>
          <w:sz w:val="20"/>
        </w:rPr>
      </w:pPr>
    </w:p>
    <w:p>
      <w:pPr>
        <w:pStyle w:val="BodyText"/>
        <w:spacing w:before="9"/>
        <w:rPr>
          <w:sz w:val="20"/>
        </w:rPr>
      </w:pPr>
    </w:p>
    <w:p>
      <w:pPr>
        <w:pStyle w:val="Heading2"/>
        <w:numPr>
          <w:ilvl w:val="0"/>
          <w:numId w:val="10"/>
        </w:numPr>
        <w:tabs>
          <w:tab w:pos="787" w:val="left" w:leader="none"/>
        </w:tabs>
        <w:spacing w:line="240" w:lineRule="auto" w:before="52" w:after="0"/>
        <w:ind w:left="786" w:right="0" w:hanging="566"/>
        <w:jc w:val="both"/>
      </w:pPr>
      <w:bookmarkStart w:name="_TOC_250051" w:id="5"/>
      <w:r>
        <w:rPr/>
        <w:t>ΦΟΡΕΙΣ ΠΡΟΚΗΡΥΞΗΣ/ΥΛΟΠΟΙΗΣΗΣ ΤΗΣ</w:t>
      </w:r>
      <w:r>
        <w:rPr>
          <w:spacing w:val="-10"/>
        </w:rPr>
        <w:t> </w:t>
      </w:r>
      <w:bookmarkEnd w:id="5"/>
      <w:r>
        <w:rPr/>
        <w:t>ΔΡΑΣΗΣ</w:t>
      </w:r>
    </w:p>
    <w:p>
      <w:pPr>
        <w:pStyle w:val="BodyText"/>
        <w:spacing w:before="5"/>
        <w:rPr>
          <w:b/>
          <w:sz w:val="19"/>
        </w:rPr>
      </w:pPr>
    </w:p>
    <w:p>
      <w:pPr>
        <w:pStyle w:val="BodyText"/>
        <w:spacing w:line="276" w:lineRule="auto"/>
        <w:ind w:left="220" w:right="154"/>
        <w:jc w:val="both"/>
      </w:pPr>
      <w:r>
        <w:rPr/>
        <w:t>Φορέας Προκήρυξης της υπόψη δράσης είναι η Ειδική Υπηρεσία Διαχείρισης του Ε.Π. Περιφέρειας Θεσσαλίας. Η υποδοχή και αξιολόγηση των προτάσεων, καθώς και η παρακολούθηση της υλοποίησης των ενταγμένων σχεδίων θα γίνει από την Διεύθυνση Αναπτυξιακού Προγραμματισμού Περιφέρειας Θεσσαλίας που έχει οριστεί ως Ενδιάμεσος Φορέας (ΕΦ), με την υπ’ αριθμ. 603/21-02-2019 (ΦΕΚ 828 Β 2019)  Απόφαση του Περιφερειάρχη Θεσσαλίας και στην οποία περιγράφονται αναλυτικά οι αρμοδιότητες</w:t>
      </w:r>
      <w:r>
        <w:rPr>
          <w:spacing w:val="-23"/>
        </w:rPr>
        <w:t> </w:t>
      </w:r>
      <w:r>
        <w:rPr/>
        <w:t>της.</w:t>
      </w:r>
    </w:p>
    <w:p>
      <w:pPr>
        <w:pStyle w:val="BodyText"/>
        <w:spacing w:line="276" w:lineRule="auto" w:before="118"/>
        <w:ind w:left="220" w:right="156"/>
        <w:jc w:val="both"/>
      </w:pPr>
      <w:r>
        <w:rPr/>
        <w:t>Η παρούσα Δράση υλοποιείται με βάση το νομοθετικό πλαίσιο του ΕΣΠΑ 2014-2020 και ειδικότερα σύμφωνα με τα οριζόμενα στο Κεφάλαιο 1. Α. «ΝΟΜΟΘΕΤΙΚΟ – ΚΑΝΟΝΙΣΤΙΚΟ ΠΛΑΙΣΙΟ ΥΛΟΠΟΙΗΣΗΣ ΤΗΣ ΔΡΑΣΗΣ» της παρούσας Πρόσκλησης, όπως αυτό τροποποιείται και ισχύει.</w:t>
      </w:r>
    </w:p>
    <w:p>
      <w:pPr>
        <w:pStyle w:val="BodyText"/>
      </w:pPr>
    </w:p>
    <w:p>
      <w:pPr>
        <w:pStyle w:val="BodyText"/>
        <w:spacing w:before="11"/>
        <w:rPr>
          <w:sz w:val="32"/>
        </w:rPr>
      </w:pPr>
    </w:p>
    <w:p>
      <w:pPr>
        <w:pStyle w:val="Heading2"/>
        <w:numPr>
          <w:ilvl w:val="0"/>
          <w:numId w:val="10"/>
        </w:numPr>
        <w:tabs>
          <w:tab w:pos="787" w:val="left" w:leader="none"/>
        </w:tabs>
        <w:spacing w:line="240" w:lineRule="auto" w:before="0" w:after="0"/>
        <w:ind w:left="786" w:right="0" w:hanging="566"/>
        <w:jc w:val="both"/>
      </w:pPr>
      <w:bookmarkStart w:name="_TOC_250050" w:id="6"/>
      <w:r>
        <w:rPr/>
        <w:t>ΔΙΚΑΙΟΥΧΟΙ – ΟΡΟΙ &amp; ΠΡΟΫΠΟΘΕΣΕΙΣ</w:t>
      </w:r>
      <w:r>
        <w:rPr>
          <w:spacing w:val="-12"/>
        </w:rPr>
        <w:t> </w:t>
      </w:r>
      <w:bookmarkEnd w:id="6"/>
      <w:r>
        <w:rPr/>
        <w:t>ΣΥΜΜΕΤΟΧΗΣ</w:t>
      </w:r>
    </w:p>
    <w:p>
      <w:pPr>
        <w:pStyle w:val="BodyText"/>
        <w:spacing w:before="5"/>
        <w:rPr>
          <w:b/>
          <w:sz w:val="19"/>
        </w:rPr>
      </w:pPr>
    </w:p>
    <w:p>
      <w:pPr>
        <w:spacing w:line="276" w:lineRule="auto" w:before="0"/>
        <w:ind w:left="580" w:right="154" w:hanging="361"/>
        <w:jc w:val="both"/>
        <w:rPr>
          <w:sz w:val="22"/>
        </w:rPr>
      </w:pPr>
      <w:r>
        <w:rPr>
          <w:b/>
          <w:sz w:val="22"/>
        </w:rPr>
        <w:t>Α. </w:t>
      </w:r>
      <w:r>
        <w:rPr>
          <w:sz w:val="22"/>
        </w:rPr>
        <w:t>Ως «Δικαιούχος» χαρακτηρίζεται το φυσικό ή νομικό πρόσωπο (Επιχείρηση), που υποβάλλει την  πρόταση και φέρει την ευθύνη έναντι της </w:t>
      </w:r>
      <w:r>
        <w:rPr>
          <w:b/>
          <w:sz w:val="22"/>
          <w:u w:val="single"/>
        </w:rPr>
        <w:t>Διεύθυνσης Αναπτυξιακού Προγραμματισμού Περιφέρειας Θεσσαλίας </w:t>
      </w:r>
      <w:r>
        <w:rPr>
          <w:sz w:val="22"/>
        </w:rPr>
        <w:t>για την καλή εκτέλεση του</w:t>
      </w:r>
      <w:r>
        <w:rPr>
          <w:spacing w:val="-8"/>
          <w:sz w:val="22"/>
        </w:rPr>
        <w:t> </w:t>
      </w:r>
      <w:r>
        <w:rPr>
          <w:sz w:val="22"/>
        </w:rPr>
        <w:t>έργου.</w:t>
      </w:r>
    </w:p>
    <w:p>
      <w:pPr>
        <w:pStyle w:val="BodyText"/>
        <w:spacing w:line="276" w:lineRule="auto" w:before="120"/>
        <w:ind w:left="580" w:right="153"/>
        <w:jc w:val="both"/>
      </w:pPr>
      <w:r>
        <w:rPr/>
        <w:t>Η Διεύθυνση Αναπτυξιακού Προγραμματισμού Περιφέρειας Θεσσαλίας εκδίδει Απόφαση Ένταξης- Χρηματοδότησης του έργου και δύναται να την τροποποιεί</w:t>
      </w:r>
      <w:r>
        <w:rPr>
          <w:color w:val="5A5A5A"/>
        </w:rPr>
        <w:t>.</w:t>
      </w:r>
    </w:p>
    <w:p>
      <w:pPr>
        <w:pStyle w:val="BodyText"/>
        <w:spacing w:line="276" w:lineRule="auto" w:before="159"/>
        <w:ind w:left="580" w:right="154"/>
        <w:jc w:val="both"/>
      </w:pPr>
      <w:r>
        <w:rPr/>
        <w:t>Δικαιούχοι, που δύνανται να τύχουν δημόσιας χρηματοδότησης στο πλαίσιο της παρούσας δράσης, είναι παραγωγικές επιχειρήσεις, οι οποίες λειτουργούν αποκλειστικά με μία από τις ακόλουθες μορφές επιχείρησης εταιρικού / εμπορικού χαρακτήρα: Ανώνυμη Εταιρία, Εταιρία Περιορισμένης Ευθύνης, Ομόρρυθμη Εταιρία, Ετερόρρυθμη Εταιρία, Ι.Κ.Ε., Ατομική Επιχείρηση, Συνεταιρισμός, Κοινωνική Συνεταιριστική Επιχείρηση του Ν. 4019/2011 (ΚΟΙΝΣΕΠ), Ναυτιλιακή Εταιρεία Πλοίων Αναψυχής (Ν.Ε.Π.Α).</w:t>
      </w:r>
    </w:p>
    <w:p>
      <w:pPr>
        <w:spacing w:after="0" w:line="276" w:lineRule="auto"/>
        <w:jc w:val="both"/>
        <w:sectPr>
          <w:pgSz w:w="11910" w:h="16840"/>
          <w:pgMar w:header="748" w:footer="734" w:top="1420" w:bottom="920" w:left="860" w:right="920"/>
        </w:sectPr>
      </w:pPr>
    </w:p>
    <w:p>
      <w:pPr>
        <w:pStyle w:val="BodyText"/>
        <w:spacing w:before="7"/>
        <w:rPr>
          <w:sz w:val="17"/>
        </w:rPr>
      </w:pPr>
    </w:p>
    <w:p>
      <w:pPr>
        <w:pStyle w:val="BodyText"/>
        <w:spacing w:line="276" w:lineRule="auto" w:before="57"/>
        <w:ind w:left="460" w:right="116"/>
        <w:jc w:val="both"/>
      </w:pPr>
      <w:r>
        <w:rPr/>
        <w:t>Για τις ανάγκες της Δράσης ως ημερομηνία σύστασης/ίδρυσης μιας επιχείρησης νοείται η ημερομηνία έναρξης δραστηριότητας, όπως αυτή καταγράφεται στη σχετική Βεβαίωση Έναρξης Δραστηριότητας της οικείας ΔΟΥ.</w:t>
      </w:r>
    </w:p>
    <w:p>
      <w:pPr>
        <w:pStyle w:val="BodyText"/>
        <w:ind w:left="460"/>
        <w:jc w:val="both"/>
      </w:pPr>
      <w:r>
        <w:rPr/>
        <w:t>Επιπρόσθετα, οι βασικές προϋποθέσεις συμμετοχής των επιχειρήσεων, είναι οι ακόλουθες:</w:t>
      </w:r>
    </w:p>
    <w:p>
      <w:pPr>
        <w:pStyle w:val="ListParagraph"/>
        <w:numPr>
          <w:ilvl w:val="0"/>
          <w:numId w:val="11"/>
        </w:numPr>
        <w:tabs>
          <w:tab w:pos="953" w:val="left" w:leader="none"/>
        </w:tabs>
        <w:spacing w:line="276" w:lineRule="auto" w:before="41" w:after="0"/>
        <w:ind w:left="952" w:right="113" w:hanging="360"/>
        <w:jc w:val="both"/>
        <w:rPr>
          <w:sz w:val="22"/>
        </w:rPr>
      </w:pPr>
      <w:r>
        <w:rPr>
          <w:sz w:val="22"/>
        </w:rPr>
        <w:t>Η επιχείρηση έχει την ιδιότητα της Μικρομεσαίας Επιχείρησης σύμφωνα με τον Ορισμό των ΜΜΕ της σύστασης της ΕΕ 2003/361/ΕΚ και στο Παράρτημα του ΚΑΝ. (ΕΚ) 651/2014 σχετικά με τον ορισμό των πολύ μικρών, των μικρών και των μεσαίων επιχειρήσεων, λαμβανομένων υπόψη των όρων για τη διατήρηση της ιδιότητας</w:t>
      </w:r>
      <w:r>
        <w:rPr>
          <w:spacing w:val="-8"/>
          <w:sz w:val="22"/>
        </w:rPr>
        <w:t> </w:t>
      </w:r>
      <w:r>
        <w:rPr>
          <w:sz w:val="22"/>
        </w:rPr>
        <w:t>αυτής.</w:t>
      </w:r>
    </w:p>
    <w:p>
      <w:pPr>
        <w:pStyle w:val="ListParagraph"/>
        <w:numPr>
          <w:ilvl w:val="0"/>
          <w:numId w:val="11"/>
        </w:numPr>
        <w:tabs>
          <w:tab w:pos="953" w:val="left" w:leader="none"/>
        </w:tabs>
        <w:spacing w:line="276" w:lineRule="auto" w:before="0" w:after="0"/>
        <w:ind w:left="952" w:right="115" w:hanging="360"/>
        <w:jc w:val="both"/>
        <w:rPr>
          <w:sz w:val="22"/>
        </w:rPr>
      </w:pPr>
      <w:r>
        <w:rPr>
          <w:sz w:val="22"/>
        </w:rPr>
        <w:t>Η πρόταση εμπίπτει στους Κωδικούς Αριθμούς Δραστηριότητας (ΚΑΔ), όπως αναλυτικά παρουσιάζονται στο Παράρτημα «Πίνακας Επιλέξιμων ΚΑΔ» της Πρόσκλησης. Οι επιχειρήσεις διαθέτουν τον ΚΑΔ επένδυσης κατά την υποβολή της</w:t>
      </w:r>
      <w:r>
        <w:rPr>
          <w:spacing w:val="-11"/>
          <w:sz w:val="22"/>
        </w:rPr>
        <w:t> </w:t>
      </w:r>
      <w:r>
        <w:rPr>
          <w:sz w:val="22"/>
        </w:rPr>
        <w:t>πρότασης.</w:t>
      </w:r>
    </w:p>
    <w:p>
      <w:pPr>
        <w:pStyle w:val="ListParagraph"/>
        <w:numPr>
          <w:ilvl w:val="0"/>
          <w:numId w:val="11"/>
        </w:numPr>
        <w:tabs>
          <w:tab w:pos="952" w:val="left" w:leader="none"/>
          <w:tab w:pos="953" w:val="left" w:leader="none"/>
        </w:tabs>
        <w:spacing w:line="279" w:lineRule="exact" w:before="0" w:after="0"/>
        <w:ind w:left="952" w:right="0" w:hanging="360"/>
        <w:jc w:val="left"/>
        <w:rPr>
          <w:sz w:val="22"/>
        </w:rPr>
      </w:pPr>
      <w:r>
        <w:rPr>
          <w:sz w:val="22"/>
        </w:rPr>
        <w:t>Το προτεινόμενο επενδυτικό σχέδιο χωροθετείται αποκλειστικά στην Περιφέρεια</w:t>
      </w:r>
      <w:r>
        <w:rPr>
          <w:spacing w:val="-19"/>
          <w:sz w:val="22"/>
        </w:rPr>
        <w:t> </w:t>
      </w:r>
      <w:r>
        <w:rPr>
          <w:sz w:val="22"/>
        </w:rPr>
        <w:t>Θεσσαλίας.</w:t>
      </w:r>
    </w:p>
    <w:p>
      <w:pPr>
        <w:pStyle w:val="ListParagraph"/>
        <w:numPr>
          <w:ilvl w:val="0"/>
          <w:numId w:val="11"/>
        </w:numPr>
        <w:tabs>
          <w:tab w:pos="953" w:val="left" w:leader="none"/>
        </w:tabs>
        <w:spacing w:line="276" w:lineRule="auto" w:before="41" w:after="0"/>
        <w:ind w:left="952" w:right="116" w:hanging="360"/>
        <w:jc w:val="both"/>
        <w:rPr>
          <w:sz w:val="22"/>
        </w:rPr>
      </w:pPr>
      <w:r>
        <w:rPr>
          <w:sz w:val="22"/>
        </w:rPr>
        <w:t>Η υφιστάμενη επιχείρηση χρησιμοποιεί διπλογραφικό ή απλογραφικό λογιστικό σύστημα (τηρεί βιβλία Β΄ ή Γ' κατηγορίας) και μέχρι τις 31/12/2018 έχει κλεισμένες τουλάχιστον τρεις διαχειριστικές</w:t>
      </w:r>
      <w:r>
        <w:rPr>
          <w:spacing w:val="-2"/>
          <w:sz w:val="22"/>
        </w:rPr>
        <w:t> </w:t>
      </w:r>
      <w:r>
        <w:rPr>
          <w:sz w:val="22"/>
        </w:rPr>
        <w:t>χρήσεις.</w:t>
      </w:r>
    </w:p>
    <w:p>
      <w:pPr>
        <w:pStyle w:val="ListParagraph"/>
        <w:numPr>
          <w:ilvl w:val="0"/>
          <w:numId w:val="11"/>
        </w:numPr>
        <w:tabs>
          <w:tab w:pos="953" w:val="left" w:leader="none"/>
        </w:tabs>
        <w:spacing w:line="276" w:lineRule="auto" w:before="1" w:after="0"/>
        <w:ind w:left="952" w:right="120" w:hanging="360"/>
        <w:jc w:val="both"/>
        <w:rPr>
          <w:sz w:val="22"/>
        </w:rPr>
      </w:pPr>
      <w:r>
        <w:rPr>
          <w:sz w:val="22"/>
        </w:rPr>
        <w:t>Η ιδιωτική συμμετοχή της επιχείρησης στο επενδυτικό σχέδιο δεν υπερβαίνει ανά έτος το 50% του μέσου όρου των κύκλων εργασιών της για τα τρία (3) τελευταία έτη, όπως αυτός προκύπτει από τους δημοσιευμένους ισολογισμούς της ή ισοδύναμα οικονομικά</w:t>
      </w:r>
      <w:r>
        <w:rPr>
          <w:spacing w:val="-21"/>
          <w:sz w:val="22"/>
        </w:rPr>
        <w:t> </w:t>
      </w:r>
      <w:r>
        <w:rPr>
          <w:sz w:val="22"/>
        </w:rPr>
        <w:t>στοιχεία.</w:t>
      </w:r>
    </w:p>
    <w:p>
      <w:pPr>
        <w:pStyle w:val="ListParagraph"/>
        <w:numPr>
          <w:ilvl w:val="0"/>
          <w:numId w:val="11"/>
        </w:numPr>
        <w:tabs>
          <w:tab w:pos="953" w:val="left" w:leader="none"/>
        </w:tabs>
        <w:spacing w:line="276" w:lineRule="auto" w:before="121" w:after="0"/>
        <w:ind w:left="952" w:right="116" w:hanging="360"/>
        <w:jc w:val="both"/>
        <w:rPr>
          <w:sz w:val="22"/>
        </w:rPr>
      </w:pPr>
      <w:r>
        <w:rPr>
          <w:sz w:val="22"/>
        </w:rPr>
        <w:t>Η επιχείρηση έχει την - κατά περίπτωση - απαιτούμενη εν ισχύ άδεια λειτουργίας ή την υποβληθείσα στον αρμόδιο φορέα αίτηση έκδοσης ή ανανέωσης αυτής, για τη/ις δραστηριότητα/ες στην/ις οποία/ες</w:t>
      </w:r>
      <w:r>
        <w:rPr>
          <w:spacing w:val="-15"/>
          <w:sz w:val="22"/>
        </w:rPr>
        <w:t> </w:t>
      </w:r>
      <w:r>
        <w:rPr>
          <w:sz w:val="22"/>
        </w:rPr>
        <w:t>δραστηριοποιείται.</w:t>
      </w:r>
    </w:p>
    <w:p>
      <w:pPr>
        <w:pStyle w:val="ListParagraph"/>
        <w:numPr>
          <w:ilvl w:val="0"/>
          <w:numId w:val="11"/>
        </w:numPr>
        <w:tabs>
          <w:tab w:pos="953" w:val="left" w:leader="none"/>
        </w:tabs>
        <w:spacing w:line="273" w:lineRule="auto" w:before="121" w:after="0"/>
        <w:ind w:left="952" w:right="121" w:hanging="360"/>
        <w:jc w:val="both"/>
        <w:rPr>
          <w:sz w:val="22"/>
        </w:rPr>
      </w:pPr>
      <w:r>
        <w:rPr>
          <w:sz w:val="22"/>
        </w:rPr>
        <w:t>Η επιχείρηση υποβάλλει μόνο μία πρόταση στην Πρόσκληση, (ένα και μοναδικό επενδυτικό  σχέδιο ανά Α.Φ.Μ.).</w:t>
      </w:r>
    </w:p>
    <w:p>
      <w:pPr>
        <w:pStyle w:val="ListParagraph"/>
        <w:numPr>
          <w:ilvl w:val="0"/>
          <w:numId w:val="11"/>
        </w:numPr>
        <w:tabs>
          <w:tab w:pos="953" w:val="left" w:leader="none"/>
        </w:tabs>
        <w:spacing w:line="276" w:lineRule="auto" w:before="3" w:after="0"/>
        <w:ind w:left="952" w:right="119" w:hanging="360"/>
        <w:jc w:val="both"/>
        <w:rPr>
          <w:sz w:val="22"/>
        </w:rPr>
      </w:pPr>
      <w:r>
        <w:rPr>
          <w:sz w:val="22"/>
        </w:rPr>
        <w:t>Το συγκεκριμένο επενδυτικό σχέδιο ή μέρος αυτού καθώς και οι δαπάνες που περιλαμβάνει δεν έχουν χρηματοδοτηθεί, ενταχθεί και δεν θα υποβληθούν προς έγκριση χρηματοδότησης σε άλλο πρόγραμμα που χρηματοδοτείται από εθνικούς ή κοινοτικούς</w:t>
      </w:r>
      <w:r>
        <w:rPr>
          <w:spacing w:val="-19"/>
          <w:sz w:val="22"/>
        </w:rPr>
        <w:t> </w:t>
      </w:r>
      <w:r>
        <w:rPr>
          <w:sz w:val="22"/>
        </w:rPr>
        <w:t>πόρους.</w:t>
      </w:r>
    </w:p>
    <w:p>
      <w:pPr>
        <w:pStyle w:val="ListParagraph"/>
        <w:numPr>
          <w:ilvl w:val="0"/>
          <w:numId w:val="11"/>
        </w:numPr>
        <w:tabs>
          <w:tab w:pos="953" w:val="left" w:leader="none"/>
        </w:tabs>
        <w:spacing w:line="276" w:lineRule="auto" w:before="1" w:after="0"/>
        <w:ind w:left="952" w:right="118" w:hanging="360"/>
        <w:jc w:val="both"/>
        <w:rPr>
          <w:sz w:val="22"/>
        </w:rPr>
      </w:pPr>
      <w:r>
        <w:rPr>
          <w:sz w:val="22"/>
        </w:rPr>
        <w:t>Δεν εκκρεμεί σε βάρος της επιχείρησης ανάκτηση κρατικής ενίσχυσης έπειτα από απόφαση της Ευρωπαϊκής Επιτροπής με την οποία μια ενίσχυση κηρύσσεται παράνομη και ασυμβίβαστη με την εσωτερική</w:t>
      </w:r>
      <w:r>
        <w:rPr>
          <w:spacing w:val="-1"/>
          <w:sz w:val="22"/>
        </w:rPr>
        <w:t> </w:t>
      </w:r>
      <w:r>
        <w:rPr>
          <w:sz w:val="22"/>
        </w:rPr>
        <w:t>αγορά.</w:t>
      </w:r>
    </w:p>
    <w:p>
      <w:pPr>
        <w:pStyle w:val="ListParagraph"/>
        <w:numPr>
          <w:ilvl w:val="0"/>
          <w:numId w:val="11"/>
        </w:numPr>
        <w:tabs>
          <w:tab w:pos="953" w:val="left" w:leader="none"/>
        </w:tabs>
        <w:spacing w:line="273" w:lineRule="auto" w:before="1" w:after="0"/>
        <w:ind w:left="952" w:right="113" w:hanging="360"/>
        <w:jc w:val="both"/>
        <w:rPr>
          <w:sz w:val="22"/>
        </w:rPr>
      </w:pPr>
      <w:r>
        <w:rPr>
          <w:sz w:val="22"/>
        </w:rPr>
        <w:t>Να υποβάλλουν επενδυτικό σχέδιο, καθώς και το σύνολο των αναγκαίων στοιχείων, δικαιολογητικών και εντύπων, όπως ορίζονται από την παρούσα</w:t>
      </w:r>
      <w:r>
        <w:rPr>
          <w:spacing w:val="-16"/>
          <w:sz w:val="22"/>
        </w:rPr>
        <w:t> </w:t>
      </w:r>
      <w:r>
        <w:rPr>
          <w:sz w:val="22"/>
        </w:rPr>
        <w:t>προκήρυξη,</w:t>
      </w:r>
    </w:p>
    <w:p>
      <w:pPr>
        <w:pStyle w:val="ListParagraph"/>
        <w:numPr>
          <w:ilvl w:val="0"/>
          <w:numId w:val="11"/>
        </w:numPr>
        <w:tabs>
          <w:tab w:pos="952" w:val="left" w:leader="none"/>
          <w:tab w:pos="953" w:val="left" w:leader="none"/>
        </w:tabs>
        <w:spacing w:line="240" w:lineRule="auto" w:before="3" w:after="0"/>
        <w:ind w:left="952" w:right="0" w:hanging="360"/>
        <w:jc w:val="left"/>
        <w:rPr>
          <w:sz w:val="22"/>
        </w:rPr>
      </w:pPr>
      <w:r>
        <w:rPr>
          <w:sz w:val="22"/>
        </w:rPr>
        <w:t>Η επιχείρηση δεν βρίσκεται υπό πτώχευση, εκκαθάριση ή αναγκαστική</w:t>
      </w:r>
      <w:r>
        <w:rPr>
          <w:spacing w:val="-12"/>
          <w:sz w:val="22"/>
        </w:rPr>
        <w:t> </w:t>
      </w:r>
      <w:r>
        <w:rPr>
          <w:sz w:val="22"/>
        </w:rPr>
        <w:t>διαχείριση.</w:t>
      </w:r>
    </w:p>
    <w:p>
      <w:pPr>
        <w:pStyle w:val="ListParagraph"/>
        <w:numPr>
          <w:ilvl w:val="0"/>
          <w:numId w:val="11"/>
        </w:numPr>
        <w:tabs>
          <w:tab w:pos="952" w:val="left" w:leader="none"/>
          <w:tab w:pos="953" w:val="left" w:leader="none"/>
        </w:tabs>
        <w:spacing w:line="240" w:lineRule="auto" w:before="41" w:after="0"/>
        <w:ind w:left="952" w:right="0" w:hanging="360"/>
        <w:jc w:val="left"/>
        <w:rPr>
          <w:sz w:val="22"/>
        </w:rPr>
      </w:pPr>
      <w:r>
        <w:rPr>
          <w:sz w:val="22"/>
        </w:rPr>
        <w:t>Να  μην  αποτελούν  προβληματικές  επιχειρήσεις  σύμφωνα  με τα οριζόμενα στο  ΠΑΡΑΡΤΗΜΑ</w:t>
      </w:r>
      <w:r>
        <w:rPr>
          <w:spacing w:val="-15"/>
          <w:sz w:val="22"/>
        </w:rPr>
        <w:t> </w:t>
      </w:r>
      <w:r>
        <w:rPr>
          <w:spacing w:val="-3"/>
          <w:sz w:val="22"/>
        </w:rPr>
        <w:t>VI</w:t>
      </w:r>
    </w:p>
    <w:p>
      <w:pPr>
        <w:pStyle w:val="BodyText"/>
        <w:spacing w:before="38"/>
        <w:ind w:left="952"/>
      </w:pPr>
      <w:r>
        <w:rPr/>
        <w:t>Ορισμός Προβληματικών  Επιχειρήσεων της παρούσας πρόσκλησης.</w:t>
      </w:r>
    </w:p>
    <w:p>
      <w:pPr>
        <w:pStyle w:val="ListParagraph"/>
        <w:numPr>
          <w:ilvl w:val="0"/>
          <w:numId w:val="11"/>
        </w:numPr>
        <w:tabs>
          <w:tab w:pos="953" w:val="left" w:leader="none"/>
        </w:tabs>
        <w:spacing w:line="276" w:lineRule="auto" w:before="41" w:after="0"/>
        <w:ind w:left="952" w:right="115" w:hanging="360"/>
        <w:jc w:val="both"/>
        <w:rPr>
          <w:sz w:val="22"/>
        </w:rPr>
      </w:pPr>
      <w:r>
        <w:rPr>
          <w:sz w:val="22"/>
        </w:rPr>
        <w:t>Οι επιχειρήσεις διαθέτουν ή δεσμεύονται με υπεύθυνη δήλωση του Νόμιμου Εκπροσώπου ότι μέχρι την ολοκλήρωση της επένδυσης θα μεριμνήσουν για τις κατάλληλες υποδομές  και υπηρεσίες γι΄αυτήν, με σκοπό την ελαχιστοποίηση των εμποδίων και τη διευκόλυνση της πρόσβασης σε αυτές, όπου αυτό είναι απαραίτητο και αναγκαίο, ατόμων με αναπηρία, σύμφωνα με τα προβλεπόμενα στο άρθρο 7 του Κανονισμού (ΕΕ) αριθ. 1303/2013 του Ευρωπαϊκού Κοινοβουλίου και του Συμβουλίου, της 17ης Δεκεμβρίου 2013,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1083/2006. Ως υποδομές νοούνται τόσο οι κτιριακές υποδομές, όσο και οι ηλεκτρονικές εφαρμογές που απευθύνονται  </w:t>
      </w:r>
      <w:r>
        <w:rPr>
          <w:spacing w:val="3"/>
          <w:sz w:val="22"/>
        </w:rPr>
        <w:t> </w:t>
      </w:r>
      <w:r>
        <w:rPr>
          <w:sz w:val="22"/>
        </w:rPr>
        <w:t>στο</w:t>
      </w:r>
    </w:p>
    <w:p>
      <w:pPr>
        <w:spacing w:after="0" w:line="276" w:lineRule="auto"/>
        <w:jc w:val="both"/>
        <w:rPr>
          <w:sz w:val="22"/>
        </w:rPr>
        <w:sectPr>
          <w:pgSz w:w="11910" w:h="16840"/>
          <w:pgMar w:header="748" w:footer="734" w:top="1420" w:bottom="920" w:left="980" w:right="960"/>
        </w:sectPr>
      </w:pPr>
    </w:p>
    <w:p>
      <w:pPr>
        <w:pStyle w:val="BodyText"/>
        <w:spacing w:before="7"/>
        <w:rPr>
          <w:sz w:val="17"/>
        </w:rPr>
      </w:pPr>
    </w:p>
    <w:p>
      <w:pPr>
        <w:pStyle w:val="BodyText"/>
        <w:spacing w:line="276" w:lineRule="auto" w:before="57"/>
        <w:ind w:left="952"/>
      </w:pPr>
      <w:r>
        <w:rPr/>
        <w:t>πελατειακό κοινό (π.χ. ιστοσελίδες και λοιπές ηλεκτρονικές εφαρμογές, όπως ηλεκτρονικά σημεία πληροφόρησης ή/και εξυπηρέτησης κ.λ.π.) σύμφωνα με τις οδηγίες του ΕΣΑμεΑ.</w:t>
      </w:r>
    </w:p>
    <w:p>
      <w:pPr>
        <w:pStyle w:val="ListParagraph"/>
        <w:numPr>
          <w:ilvl w:val="0"/>
          <w:numId w:val="11"/>
        </w:numPr>
        <w:tabs>
          <w:tab w:pos="953" w:val="left" w:leader="none"/>
        </w:tabs>
        <w:spacing w:line="276" w:lineRule="auto" w:before="0" w:after="0"/>
        <w:ind w:left="952" w:right="113" w:hanging="360"/>
        <w:jc w:val="both"/>
        <w:rPr>
          <w:sz w:val="22"/>
        </w:rPr>
      </w:pPr>
      <w:r>
        <w:rPr>
          <w:sz w:val="22"/>
        </w:rPr>
        <w:t>Η επιχείρηση δεν εντάσσεται σε ήδη οργανωμένο ομοιόμορφο δίκτυο διανομής προϊόντων ή παροχής υπηρεσιών η οποία εκμεταλλεύεται κατόπιν σχετικών συμβάσεων άδειες εκμετάλλευσης δικαιωμάτων διανοητικής ιδιοκτησίας, που αφορούν συνήθως εμπορικά σήματα ή διακριτικούς τίτλους και τεχνογνωσία για την χρήση και τη διανομή αγαθών ή υπηρεσιών (π.χ. franchising, shop in shop, δίκτυο</w:t>
      </w:r>
      <w:r>
        <w:rPr>
          <w:spacing w:val="-5"/>
          <w:sz w:val="22"/>
        </w:rPr>
        <w:t> </w:t>
      </w:r>
      <w:r>
        <w:rPr>
          <w:sz w:val="22"/>
        </w:rPr>
        <w:t>πρακτόρευσης).</w:t>
      </w:r>
    </w:p>
    <w:p>
      <w:pPr>
        <w:pStyle w:val="ListParagraph"/>
        <w:numPr>
          <w:ilvl w:val="0"/>
          <w:numId w:val="11"/>
        </w:numPr>
        <w:tabs>
          <w:tab w:pos="953" w:val="left" w:leader="none"/>
        </w:tabs>
        <w:spacing w:line="273" w:lineRule="auto" w:before="1" w:after="0"/>
        <w:ind w:left="952" w:right="122" w:hanging="360"/>
        <w:jc w:val="both"/>
        <w:rPr>
          <w:sz w:val="22"/>
        </w:rPr>
      </w:pPr>
      <w:r>
        <w:rPr>
          <w:sz w:val="22"/>
        </w:rPr>
        <w:t>Η περίοδος υλοποίησης του επενδυτικού σχεδίου είναι εντός της περιόδου επιλεξιμότητας της Προγραμματικής Περιόδου και της</w:t>
      </w:r>
      <w:r>
        <w:rPr>
          <w:spacing w:val="-6"/>
          <w:sz w:val="22"/>
        </w:rPr>
        <w:t> </w:t>
      </w:r>
      <w:r>
        <w:rPr>
          <w:sz w:val="22"/>
        </w:rPr>
        <w:t>Πρόσκλησης.</w:t>
      </w:r>
    </w:p>
    <w:p>
      <w:pPr>
        <w:pStyle w:val="ListParagraph"/>
        <w:numPr>
          <w:ilvl w:val="0"/>
          <w:numId w:val="11"/>
        </w:numPr>
        <w:tabs>
          <w:tab w:pos="953" w:val="left" w:leader="none"/>
        </w:tabs>
        <w:spacing w:line="276" w:lineRule="auto" w:before="3" w:after="0"/>
        <w:ind w:left="952" w:right="115" w:hanging="360"/>
        <w:jc w:val="both"/>
        <w:rPr>
          <w:sz w:val="22"/>
        </w:rPr>
      </w:pPr>
      <w:r>
        <w:rPr>
          <w:sz w:val="22"/>
        </w:rPr>
        <w:t>Η πρόταση είναι εναρμονισμένη και υπακούει στους περιορισμούς σχετικά με τη σώρευση ενισχύσεων που προβλέπουν οι Κανονισμοί που την διέπουν. Η ενίσχυση που χορηγείται δυνάμει της παρούσας πρόσκλησης με τον Καν. (Ε.Ε.) 1407/2013 και πληροί όλες τις προϋποθέσεις του Κανονισμού</w:t>
      </w:r>
      <w:r>
        <w:rPr>
          <w:spacing w:val="-2"/>
          <w:sz w:val="22"/>
        </w:rPr>
        <w:t> </w:t>
      </w:r>
      <w:r>
        <w:rPr>
          <w:sz w:val="22"/>
        </w:rPr>
        <w:t>αυτού.</w:t>
      </w:r>
    </w:p>
    <w:p>
      <w:pPr>
        <w:pStyle w:val="ListParagraph"/>
        <w:numPr>
          <w:ilvl w:val="0"/>
          <w:numId w:val="11"/>
        </w:numPr>
        <w:tabs>
          <w:tab w:pos="953" w:val="left" w:leader="none"/>
        </w:tabs>
        <w:spacing w:line="273" w:lineRule="auto" w:before="1" w:after="0"/>
        <w:ind w:left="952" w:right="120" w:hanging="360"/>
        <w:jc w:val="both"/>
        <w:rPr>
          <w:sz w:val="22"/>
        </w:rPr>
      </w:pPr>
      <w:r>
        <w:rPr>
          <w:sz w:val="22"/>
        </w:rPr>
        <w:t>Το επενδυτικό σχέδιο (φυσικό και οικονομικό αντικείμενο) να μην έχει ολοκληρωθεί, πριν την ημερομηνία υποβολής της</w:t>
      </w:r>
      <w:r>
        <w:rPr>
          <w:spacing w:val="-8"/>
          <w:sz w:val="22"/>
        </w:rPr>
        <w:t> </w:t>
      </w:r>
      <w:r>
        <w:rPr>
          <w:sz w:val="22"/>
        </w:rPr>
        <w:t>πρότασης.</w:t>
      </w:r>
    </w:p>
    <w:p>
      <w:pPr>
        <w:pStyle w:val="ListParagraph"/>
        <w:numPr>
          <w:ilvl w:val="0"/>
          <w:numId w:val="11"/>
        </w:numPr>
        <w:tabs>
          <w:tab w:pos="952" w:val="left" w:leader="none"/>
          <w:tab w:pos="953" w:val="left" w:leader="none"/>
          <w:tab w:pos="1542" w:val="left" w:leader="none"/>
          <w:tab w:pos="2871" w:val="left" w:leader="none"/>
          <w:tab w:pos="3627" w:val="left" w:leader="none"/>
          <w:tab w:pos="5095" w:val="left" w:leader="none"/>
          <w:tab w:pos="5654" w:val="left" w:leader="none"/>
          <w:tab w:pos="7015" w:val="left" w:leader="none"/>
          <w:tab w:pos="7602" w:val="left" w:leader="none"/>
          <w:tab w:pos="8569" w:val="left" w:leader="none"/>
          <w:tab w:pos="9061" w:val="left" w:leader="none"/>
          <w:tab w:pos="9648" w:val="left" w:leader="none"/>
        </w:tabs>
        <w:spacing w:line="240" w:lineRule="auto" w:before="3" w:after="0"/>
        <w:ind w:left="952" w:right="0" w:hanging="360"/>
        <w:jc w:val="left"/>
        <w:rPr>
          <w:sz w:val="22"/>
        </w:rPr>
      </w:pPr>
      <w:r>
        <w:rPr>
          <w:sz w:val="22"/>
        </w:rPr>
        <w:t>Δεν</w:t>
        <w:tab/>
        <w:t>συντρέχουν</w:t>
        <w:tab/>
        <w:t>λόγοι</w:t>
        <w:tab/>
        <w:t>αποκλεισμού</w:t>
        <w:tab/>
        <w:t>της</w:t>
        <w:tab/>
        <w:t>επιχείρησης</w:t>
        <w:tab/>
        <w:t>του</w:t>
        <w:tab/>
        <w:t>άρθρου</w:t>
        <w:tab/>
        <w:t>40</w:t>
        <w:tab/>
        <w:t>του</w:t>
        <w:tab/>
        <w:t>Ν.</w:t>
      </w:r>
    </w:p>
    <w:p>
      <w:pPr>
        <w:pStyle w:val="BodyText"/>
        <w:spacing w:before="38"/>
        <w:ind w:left="952"/>
      </w:pPr>
      <w:r>
        <w:rPr/>
        <w:t>4488/2017(Α137/13.09.2017), όπως ισχύει και ειδικότερα ως προς :</w:t>
      </w:r>
    </w:p>
    <w:p>
      <w:pPr>
        <w:pStyle w:val="ListParagraph"/>
        <w:numPr>
          <w:ilvl w:val="1"/>
          <w:numId w:val="11"/>
        </w:numPr>
        <w:tabs>
          <w:tab w:pos="1070" w:val="left" w:leader="none"/>
        </w:tabs>
        <w:spacing w:line="240" w:lineRule="auto" w:before="41" w:after="0"/>
        <w:ind w:left="1070" w:right="0" w:hanging="118"/>
        <w:jc w:val="left"/>
        <w:rPr>
          <w:sz w:val="22"/>
        </w:rPr>
      </w:pPr>
      <w:r>
        <w:rPr>
          <w:sz w:val="22"/>
        </w:rPr>
        <w:t>Παράβαση «υψηλής» ή «πολύ υψηλής» σοβαρότητας (3 πρόστιμα/ 3</w:t>
      </w:r>
      <w:r>
        <w:rPr>
          <w:spacing w:val="-15"/>
          <w:sz w:val="22"/>
        </w:rPr>
        <w:t> </w:t>
      </w:r>
      <w:r>
        <w:rPr>
          <w:sz w:val="22"/>
        </w:rPr>
        <w:t>έλεγχοι),</w:t>
      </w:r>
    </w:p>
    <w:p>
      <w:pPr>
        <w:pStyle w:val="ListParagraph"/>
        <w:numPr>
          <w:ilvl w:val="1"/>
          <w:numId w:val="11"/>
        </w:numPr>
        <w:tabs>
          <w:tab w:pos="1070" w:val="left" w:leader="none"/>
        </w:tabs>
        <w:spacing w:line="240" w:lineRule="auto" w:before="41" w:after="0"/>
        <w:ind w:left="1070" w:right="0" w:hanging="118"/>
        <w:jc w:val="left"/>
        <w:rPr>
          <w:sz w:val="22"/>
        </w:rPr>
      </w:pPr>
      <w:r>
        <w:rPr>
          <w:sz w:val="22"/>
        </w:rPr>
        <w:t>Αδήλωτη εργασία (2 πρόστιμα/ 2</w:t>
      </w:r>
      <w:r>
        <w:rPr>
          <w:spacing w:val="-10"/>
          <w:sz w:val="22"/>
        </w:rPr>
        <w:t> </w:t>
      </w:r>
      <w:r>
        <w:rPr>
          <w:sz w:val="22"/>
        </w:rPr>
        <w:t>έλεγχοι).</w:t>
      </w:r>
    </w:p>
    <w:p>
      <w:pPr>
        <w:pStyle w:val="BodyText"/>
      </w:pPr>
    </w:p>
    <w:p>
      <w:pPr>
        <w:pStyle w:val="BodyText"/>
        <w:spacing w:before="2"/>
        <w:rPr>
          <w:sz w:val="26"/>
        </w:rPr>
      </w:pPr>
    </w:p>
    <w:p>
      <w:pPr>
        <w:pStyle w:val="ListParagraph"/>
        <w:numPr>
          <w:ilvl w:val="0"/>
          <w:numId w:val="12"/>
        </w:numPr>
        <w:tabs>
          <w:tab w:pos="953" w:val="left" w:leader="none"/>
        </w:tabs>
        <w:spacing w:line="240" w:lineRule="auto" w:before="0" w:after="0"/>
        <w:ind w:left="952" w:right="113" w:hanging="473"/>
        <w:jc w:val="both"/>
        <w:rPr>
          <w:sz w:val="22"/>
        </w:rPr>
      </w:pPr>
      <w:r>
        <w:rPr>
          <w:sz w:val="22"/>
        </w:rPr>
        <w:t>Σύμφωνα με τον Καν. ΕΕ 1407/2013, το συνολικό ποσό των ενισχύσεων ήσσονος σημασίας που χορηγούνται στην ενιαία επιχείρηση δεν μπορεί να υπερβαίνει το ποσό των 200.000 ευρώ σε οποιαδήποτε περίοδο τριών οικονομικών ετών. Επομένως προκειμένου να ενταχθεί μία πρόταση λαμβάνεται υπόψη το συνολικό ποσό ενισχύσεων ήσσονος σημασίας που έχει εγκριθεί προς την ενιαία επιχείρηση μέσα σε μία τριετία (τρέχον έτος και τα δύο (2) προηγούμενα έτη) πριν από την ημερομηνία ένταξης της πρότασης. Το συνολικό ποσό των ενισχύσεων ήσσονος σημασίας που χορηγούνται ανά κράτος μέλος σε μία ενιαία επιχείρηση που εκτελεί οδικές εμπορευματικές μεταφορές για λογαριασμό τρίτων δεν μπορεί να υπερβαίνει το ποσό των 100.000 ευρώ σε οποιαδήποτε περίοδο τριών οικονομικών ετών. Αυτές οι ενισχύσεις ήσσονος σημασίας δεν επιτρέπεται να χρησιμοποιούνται για την απόκτηση οχημάτων οδικών εμπορευματικών μεταφορών.</w:t>
      </w:r>
    </w:p>
    <w:p>
      <w:pPr>
        <w:pStyle w:val="BodyText"/>
      </w:pPr>
    </w:p>
    <w:p>
      <w:pPr>
        <w:pStyle w:val="BodyText"/>
        <w:spacing w:line="276" w:lineRule="auto" w:before="162"/>
        <w:ind w:left="100" w:right="118"/>
        <w:jc w:val="both"/>
      </w:pPr>
      <w:r>
        <w:rPr/>
        <w:t>Εάν μια επιχείρηση εκτελεί οδικές εμπορευματικές μεταφορές για λογαριασμό τρίτων, και ασκεί και άλλες δραστηριότητες για τις οποίες ισχύει το ανώτατο όριο των 200 000 ευρώ, θα ισχύει το ανώτατο όριο των 200 000 ευρώ για την επιχείρηση, με την προϋπόθεση ότι θα διασφαλίζεται, με κατάλληλη λογιστική παρακολούθηση ο διαχωρισμός των δραστηριοτήτων και η διάκριση του κόστους ούτως ώστε η στήριξη της δραστηριότητας των οδικών εμπορευματικών μεταφορών να μην υπερβαίνει το ποσό των 100.000 ευρώ.</w:t>
      </w:r>
    </w:p>
    <w:p>
      <w:pPr>
        <w:pStyle w:val="BodyText"/>
        <w:spacing w:before="120"/>
        <w:ind w:left="100"/>
        <w:jc w:val="both"/>
      </w:pPr>
      <w:r>
        <w:rPr/>
        <w:t>Επισημαίνεται ότι:</w:t>
      </w:r>
    </w:p>
    <w:p>
      <w:pPr>
        <w:pStyle w:val="ListParagraph"/>
        <w:numPr>
          <w:ilvl w:val="0"/>
          <w:numId w:val="12"/>
        </w:numPr>
        <w:tabs>
          <w:tab w:pos="859" w:val="left" w:leader="none"/>
        </w:tabs>
        <w:spacing w:line="276" w:lineRule="auto" w:before="41" w:after="0"/>
        <w:ind w:left="808" w:right="117" w:hanging="449"/>
        <w:jc w:val="both"/>
        <w:rPr>
          <w:sz w:val="22"/>
        </w:rPr>
      </w:pPr>
      <w:r>
        <w:rPr>
          <w:sz w:val="22"/>
        </w:rPr>
        <w:t>Σε περίπτωση συγχωνεύσεων ή εξαγορών, όλες οι προηγούμενες ενισχύσεις ήσσονος σημασίας  που έχουν ήδη χορηγηθεί σε οποιαδήποτε από τις συγχωνευόμενες επιχειρήσεις λαμβάνονται υπόψη για να προσδιοριστεί κατά πόσο η νέα ενίσχυση ήσσονος σημασίας στη νέα ή στην εξαγοράζουσα επιχείρηση υπερβαίνει το σχετικό ανώτατο όριο. Οι ενισχύσεις ήσσονος σημασίας που είχαν χορηγηθεί νομίμως πριν από τη συγχώνευση ή την εξαγορά παραμένουν</w:t>
      </w:r>
      <w:r>
        <w:rPr>
          <w:spacing w:val="-17"/>
          <w:sz w:val="22"/>
        </w:rPr>
        <w:t> </w:t>
      </w:r>
      <w:r>
        <w:rPr>
          <w:sz w:val="22"/>
        </w:rPr>
        <w:t>νόμιμες.</w:t>
      </w:r>
    </w:p>
    <w:p>
      <w:pPr>
        <w:spacing w:after="0" w:line="276" w:lineRule="auto"/>
        <w:jc w:val="both"/>
        <w:rPr>
          <w:sz w:val="22"/>
        </w:rPr>
        <w:sectPr>
          <w:pgSz w:w="11910" w:h="16840"/>
          <w:pgMar w:header="748" w:footer="734" w:top="1420" w:bottom="920" w:left="980" w:right="960"/>
        </w:sectPr>
      </w:pPr>
    </w:p>
    <w:p>
      <w:pPr>
        <w:pStyle w:val="BodyText"/>
        <w:spacing w:before="7"/>
        <w:rPr>
          <w:sz w:val="17"/>
        </w:rPr>
      </w:pPr>
    </w:p>
    <w:p>
      <w:pPr>
        <w:pStyle w:val="ListParagraph"/>
        <w:numPr>
          <w:ilvl w:val="0"/>
          <w:numId w:val="12"/>
        </w:numPr>
        <w:tabs>
          <w:tab w:pos="809" w:val="left" w:leader="none"/>
        </w:tabs>
        <w:spacing w:line="276" w:lineRule="auto" w:before="57" w:after="0"/>
        <w:ind w:left="808" w:right="118" w:hanging="504"/>
        <w:jc w:val="both"/>
        <w:rPr>
          <w:sz w:val="22"/>
        </w:rPr>
      </w:pPr>
      <w:r>
        <w:rPr>
          <w:sz w:val="22"/>
        </w:rPr>
        <w:t>Αν μια επιχείρηση διασπαστεί σε δύο ή περισσότερες χωριστές επιχειρήσεις, η ενίσχυση ήσσονος σημασίας που χορηγήθηκε πριν από τη διάσπαση καταλογίζεται στην επιχείρηση που έλαβε αυτή την ενίσχυση, η οποία είναι κατά κανόνα η επιχείρηση που ανέλαβε τις δραστηριότητες για τις οποίες χρησιμοποιήθηκε η ενίσχυση ήσσονος σημασίας. Εάν ο εν λόγω καταλογισμός δεν είναι δυνατός, οι ενισχύσεις ήσσονος σημασίας πρέπει να κατανέμονται αναλογικά με βάση τη λογιστική αξία των ιδίων κεφαλαίων των νέων επιχειρήσεων κατά την πραγματική ημερομηνία της διάσπασης.</w:t>
      </w:r>
    </w:p>
    <w:p>
      <w:pPr>
        <w:pStyle w:val="BodyText"/>
        <w:spacing w:before="5"/>
        <w:rPr>
          <w:sz w:val="25"/>
        </w:rPr>
      </w:pPr>
    </w:p>
    <w:p>
      <w:pPr>
        <w:pStyle w:val="BodyText"/>
        <w:ind w:left="100"/>
        <w:jc w:val="both"/>
      </w:pPr>
      <w:r>
        <w:rPr>
          <w:u w:val="single"/>
        </w:rPr>
        <w:t>Δεν έχουν δικαίωμα </w:t>
      </w:r>
      <w:r>
        <w:rPr/>
        <w:t>υποβολής πρότασης:</w:t>
      </w:r>
    </w:p>
    <w:p>
      <w:pPr>
        <w:pStyle w:val="ListParagraph"/>
        <w:numPr>
          <w:ilvl w:val="0"/>
          <w:numId w:val="13"/>
        </w:numPr>
        <w:tabs>
          <w:tab w:pos="821" w:val="left" w:leader="none"/>
        </w:tabs>
        <w:spacing w:line="276" w:lineRule="auto" w:before="159" w:after="0"/>
        <w:ind w:left="820" w:right="117" w:hanging="360"/>
        <w:jc w:val="both"/>
        <w:rPr>
          <w:sz w:val="22"/>
        </w:rPr>
      </w:pPr>
      <w:r>
        <w:rPr>
          <w:sz w:val="22"/>
        </w:rPr>
        <w:t>οι δημόσιες επιχειρήσεις, οι δημόσιοι φορείς ή δημόσιοι οργανισμοί ή/και οι θυγατρικές τους, καθώς και οι εταιρείες στο κεφάλαιο ή τα δικαιώματα ψήφου των οποίων συμμετέχουν, άμεσα ή έμμεσα, με ποσοστό μεγαλύτερο του είκοσι πέντε τοις εκατό (25%) οι Ο.Τ.Α. και όλοι οι παραπάνω δημόσιοι φορείς μεμονωμένα ή από</w:t>
      </w:r>
      <w:r>
        <w:rPr>
          <w:spacing w:val="-9"/>
          <w:sz w:val="22"/>
        </w:rPr>
        <w:t> </w:t>
      </w:r>
      <w:r>
        <w:rPr>
          <w:sz w:val="22"/>
        </w:rPr>
        <w:t>κοινού.</w:t>
      </w:r>
    </w:p>
    <w:p>
      <w:pPr>
        <w:pStyle w:val="ListParagraph"/>
        <w:numPr>
          <w:ilvl w:val="0"/>
          <w:numId w:val="13"/>
        </w:numPr>
        <w:tabs>
          <w:tab w:pos="821" w:val="left" w:leader="none"/>
        </w:tabs>
        <w:spacing w:line="276" w:lineRule="auto" w:before="121" w:after="0"/>
        <w:ind w:left="820" w:right="116" w:hanging="360"/>
        <w:jc w:val="both"/>
        <w:rPr>
          <w:sz w:val="22"/>
        </w:rPr>
      </w:pPr>
      <w:r>
        <w:rPr>
          <w:sz w:val="22"/>
        </w:rPr>
        <w:t>οι επιχειρήσεις που εντάσσονται σε ήδη οργανωμένο ομοιόμορφο δίκτυο διανομής προϊόντων ή παροχής υπηρεσιών και οι οποίες εκμεταλλεύονται κατόπιν σχετικών συμβάσεων άδειες εκμετάλλευσης δικαιωμάτων διανοητικής ιδιοκτησίας, που αφορούν συνήθως εμπορικά σήματα ή διακριτικούς τίτλους και τεχνογνωσία για την χρήση και τη διανομή αγαθών ή υπηρεσιών (π.χ. franchising, Shop in shop, δίκτυο πρακτόρευσης</w:t>
      </w:r>
      <w:r>
        <w:rPr>
          <w:spacing w:val="-19"/>
          <w:sz w:val="22"/>
        </w:rPr>
        <w:t> </w:t>
      </w:r>
      <w:r>
        <w:rPr>
          <w:sz w:val="22"/>
        </w:rPr>
        <w:t>κλπ).</w:t>
      </w:r>
    </w:p>
    <w:p>
      <w:pPr>
        <w:pStyle w:val="BodyText"/>
      </w:pPr>
    </w:p>
    <w:p>
      <w:pPr>
        <w:pStyle w:val="BodyText"/>
        <w:spacing w:before="162"/>
        <w:ind w:left="100"/>
        <w:jc w:val="both"/>
      </w:pPr>
      <w:r>
        <w:rPr/>
        <w:t>Διευκρινίζεται ότι:</w:t>
      </w:r>
    </w:p>
    <w:p>
      <w:pPr>
        <w:pStyle w:val="ListParagraph"/>
        <w:numPr>
          <w:ilvl w:val="0"/>
          <w:numId w:val="13"/>
        </w:numPr>
        <w:tabs>
          <w:tab w:pos="821" w:val="left" w:leader="none"/>
        </w:tabs>
        <w:spacing w:line="276" w:lineRule="auto" w:before="39" w:after="0"/>
        <w:ind w:left="820" w:right="119" w:hanging="360"/>
        <w:jc w:val="both"/>
        <w:rPr>
          <w:sz w:val="22"/>
        </w:rPr>
      </w:pPr>
      <w:r>
        <w:rPr>
          <w:sz w:val="22"/>
        </w:rPr>
        <w:t>Η επένδυση διατηρείται στην περιοχή όπου χορηγείται η ενίσχυση για τουλάχιστον τρία (3) χρόνια, μετά την ολοκλήρωση της επένδυσης. Αυτό δεν εμποδίζει την αντικατάσταση μονάδας ή εξοπλισμού που κατέστησαν παρωχημένα ή υπέστησαν βλάβες κατά την περίοδο αυτή, εφόσον η οικονομική δραστηριότητα διατηρείται στη συγκεκριμένη περιοχή κατά την ανωτέρω ελάχιστη απαιτούμενη περίοδο και κατόπιν έγκρισης του αιτήματος από το αρμόδιο όργανο παρακολούθησης της</w:t>
      </w:r>
      <w:r>
        <w:rPr>
          <w:spacing w:val="-7"/>
          <w:sz w:val="22"/>
        </w:rPr>
        <w:t> </w:t>
      </w:r>
      <w:r>
        <w:rPr>
          <w:sz w:val="22"/>
        </w:rPr>
        <w:t>πράξης.</w:t>
      </w:r>
    </w:p>
    <w:p>
      <w:pPr>
        <w:pStyle w:val="ListParagraph"/>
        <w:numPr>
          <w:ilvl w:val="0"/>
          <w:numId w:val="13"/>
        </w:numPr>
        <w:tabs>
          <w:tab w:pos="821" w:val="left" w:leader="none"/>
        </w:tabs>
        <w:spacing w:line="276" w:lineRule="auto" w:before="0" w:after="0"/>
        <w:ind w:left="820" w:right="118" w:hanging="360"/>
        <w:jc w:val="both"/>
        <w:rPr>
          <w:sz w:val="22"/>
        </w:rPr>
      </w:pPr>
      <w:r>
        <w:rPr>
          <w:sz w:val="22"/>
        </w:rPr>
        <w:t>Το προς ενίσχυση επενδυτικό σχέδιο δεν πρέπει να έχει ολοκληρωθεί πριν από την ημερομηνία υποβολής της αίτησης χρηματοδότησης από τους δυνητικούς δικαιούχους στο πλαίσιο της παρούσας πρόσκλησης. Σε αντίθετη περίπτωση το σύνολο του επενδυτικού σχεδίου καθίσταται μη επιλέξιμο προς</w:t>
      </w:r>
      <w:r>
        <w:rPr>
          <w:spacing w:val="-9"/>
          <w:sz w:val="22"/>
        </w:rPr>
        <w:t> </w:t>
      </w:r>
      <w:r>
        <w:rPr>
          <w:sz w:val="22"/>
        </w:rPr>
        <w:t>χρηματοδότηση.</w:t>
      </w:r>
    </w:p>
    <w:p>
      <w:pPr>
        <w:pStyle w:val="BodyText"/>
        <w:spacing w:before="5"/>
        <w:rPr>
          <w:sz w:val="25"/>
        </w:rPr>
      </w:pPr>
    </w:p>
    <w:p>
      <w:pPr>
        <w:pStyle w:val="Heading4"/>
        <w:spacing w:line="276" w:lineRule="auto"/>
        <w:ind w:right="117"/>
      </w:pPr>
      <w:r>
        <w:rPr/>
        <w:t>Υπογραμμίζεται ότι όλες οι ανωτέρω συνθήκες αποτελούν απαραίτητες προϋποθέσεις επιλεξιμότητας και συμμετοχής στη δράση. Η μη ικανοποίηση κάθε μίας εξ αυτών αποτελεί συνθήκη αποκλεισμού του επενδυτικού σχεδίου. Συνεπώς η μη ικανοποίησή τους ή η ελλιπής ή ανύπαρκτη τεκμηρίωση για την ικανοποίησή τους αποτελεί λόγο απόρριψης του επενδυτικού</w:t>
      </w:r>
      <w:r>
        <w:rPr>
          <w:spacing w:val="-23"/>
        </w:rPr>
        <w:t> </w:t>
      </w:r>
      <w:r>
        <w:rPr/>
        <w:t>σχεδίου.</w:t>
      </w:r>
    </w:p>
    <w:p>
      <w:pPr>
        <w:pStyle w:val="BodyText"/>
        <w:spacing w:before="2"/>
        <w:rPr>
          <w:b/>
          <w:sz w:val="25"/>
        </w:rPr>
      </w:pPr>
    </w:p>
    <w:p>
      <w:pPr>
        <w:spacing w:line="276" w:lineRule="auto" w:before="0"/>
        <w:ind w:left="100" w:right="116" w:firstLine="0"/>
        <w:jc w:val="both"/>
        <w:rPr>
          <w:i/>
          <w:sz w:val="22"/>
        </w:rPr>
      </w:pPr>
      <w:r>
        <w:rPr>
          <w:i/>
          <w:sz w:val="22"/>
        </w:rPr>
        <w:t>Επιπλέον, με την υποβολή της πρότασης, ο Δικαιούχος, δεσμεύεται να συμμετάσχει σε έρευνες που θα </w:t>
      </w:r>
      <w:r>
        <w:rPr>
          <w:i/>
          <w:sz w:val="22"/>
        </w:rPr>
        <w:t>διεξάγει η ΕΥΔ ΕΠ ΠΘ, υπό τη μορφή ερωτηματολογίων, σε οποιαδήποτε φάση της Πρόσκλησης (υποβολής δικαιολογητικών, ένταξης ή απόρριψης Προτάσεων, ή/και ολοκλήρωσης των Πράξεων), με σκοπό τη  συλλογή πληροφοριών που θα χρησιμεύσουν τόσο στην παρακολούθηση, όσο και στην αξιολόγηση των Δράσεων.</w:t>
      </w:r>
    </w:p>
    <w:p>
      <w:pPr>
        <w:spacing w:after="0" w:line="276" w:lineRule="auto"/>
        <w:jc w:val="both"/>
        <w:rPr>
          <w:sz w:val="22"/>
        </w:rPr>
        <w:sectPr>
          <w:footerReference w:type="default" r:id="rId23"/>
          <w:pgSz w:w="11910" w:h="16840"/>
          <w:pgMar w:footer="734" w:header="748" w:top="1420" w:bottom="920" w:left="980" w:right="960"/>
        </w:sectPr>
      </w:pPr>
    </w:p>
    <w:p>
      <w:pPr>
        <w:pStyle w:val="BodyText"/>
        <w:spacing w:before="2"/>
        <w:rPr>
          <w:i/>
          <w:sz w:val="18"/>
        </w:rPr>
      </w:pPr>
    </w:p>
    <w:p>
      <w:pPr>
        <w:pStyle w:val="Heading2"/>
        <w:numPr>
          <w:ilvl w:val="0"/>
          <w:numId w:val="10"/>
        </w:numPr>
        <w:tabs>
          <w:tab w:pos="667" w:val="left" w:leader="none"/>
        </w:tabs>
        <w:spacing w:line="240" w:lineRule="auto" w:before="52" w:after="0"/>
        <w:ind w:left="666" w:right="0" w:hanging="566"/>
        <w:jc w:val="both"/>
      </w:pPr>
      <w:bookmarkStart w:name="_TOC_250049" w:id="7"/>
      <w:r>
        <w:rPr/>
        <w:t>ΕΠΙΛΕΞΙΜΟΙ ΤΟΜΕΙΣ</w:t>
      </w:r>
      <w:r>
        <w:rPr>
          <w:spacing w:val="-10"/>
        </w:rPr>
        <w:t> </w:t>
      </w:r>
      <w:bookmarkEnd w:id="7"/>
      <w:r>
        <w:rPr/>
        <w:t>ΔΡΑΣΤΗΡΙΟΤΗΤΑΣ</w:t>
      </w:r>
    </w:p>
    <w:p>
      <w:pPr>
        <w:pStyle w:val="BodyText"/>
        <w:spacing w:before="5"/>
        <w:rPr>
          <w:b/>
          <w:sz w:val="19"/>
        </w:rPr>
      </w:pPr>
    </w:p>
    <w:p>
      <w:pPr>
        <w:pStyle w:val="BodyText"/>
        <w:spacing w:line="276" w:lineRule="auto"/>
        <w:ind w:left="100" w:right="115"/>
        <w:jc w:val="both"/>
      </w:pPr>
      <w:r>
        <w:rPr/>
        <w:t>Η παρούσα πρόσκληση υποβολής προτάσεων αφορά στην ενίσχυση επενδυτικών σχεδίων Μικρομεσαίων Επιχειρήσεων (ΜΜΕ) για τον εκσυγχρονισμό ή την επέκταση αυτών μέσω τεχνολογικής και μη τεχνολογικής αναβάθμισης, με αξιοποίηση υποστηρικτικών τεχνολογιών ή και καινοτομίας, για τη βελτίωση της παραγωγικότητας, της ποιότητας και καινοτομίας σε επίπεδο επιχείρησης έχοντας ως στόχο την ανάπτυξη νέων προϊόντων και υπηρεσιών και τον εκσυγχρονισμό των επιχειρήσεων.</w:t>
      </w:r>
    </w:p>
    <w:p>
      <w:pPr>
        <w:pStyle w:val="BodyText"/>
        <w:spacing w:line="276" w:lineRule="auto" w:before="120"/>
        <w:ind w:left="100" w:right="121"/>
        <w:jc w:val="both"/>
      </w:pPr>
      <w:r>
        <w:rPr/>
        <w:t>Η δράση αυτή αναμένεται να συμβάλει στην παραγωγή νέων /καινοτόμων /εξελιγμένων (βελτιωμένων) προϊόντων και υπηρεσιών, υψηλής προστιθέμενης αξίας, με σκοπό τη δημιουργία ανταγωνιστικού πλεονεκτήματος των επιχειρήσεων της Περιφέρειας, καθώς και στη διείσδυσή τους σε νέες αγορές.</w:t>
      </w:r>
    </w:p>
    <w:p>
      <w:pPr>
        <w:pStyle w:val="BodyText"/>
        <w:spacing w:line="276" w:lineRule="auto" w:before="121"/>
        <w:ind w:left="100" w:right="114"/>
        <w:jc w:val="both"/>
      </w:pPr>
      <w:r>
        <w:rPr/>
        <w:t>Ευνοούνται οι επιχειρήσεις που δραστηριοποιούνται στους τομείς που παρουσιάζουν ιδιαίτερη δυναμική για την Περιφέρεια, σύμφωνα με την RIS3 της Περιφέρειας και τις σχετικές δράσεις επιχειρηματικής ανακάλυψης.</w:t>
      </w:r>
    </w:p>
    <w:p>
      <w:pPr>
        <w:pStyle w:val="BodyText"/>
        <w:spacing w:line="276" w:lineRule="auto" w:before="120"/>
        <w:ind w:left="100" w:right="116"/>
        <w:jc w:val="both"/>
      </w:pPr>
      <w:r>
        <w:rPr/>
        <w:t>Συγκεκριμένα, πριμοδοτούνται βαθμολογικά στο πλαίσιο του κριτηρίου αξιολόγησης 4.1 του Σταδίου Γ’ της αξιολόγησης τα υποβαλλόμενα επενδυτικά σχέδια που εμπίπτουν σε ΚΑΔ που αντιστοιχεί στους οικονομικούς τομείς προτεραιότητας της Περιφερειακής RIS3 της Θεσσαλίας:</w:t>
      </w:r>
    </w:p>
    <w:p>
      <w:pPr>
        <w:pStyle w:val="ListParagraph"/>
        <w:numPr>
          <w:ilvl w:val="0"/>
          <w:numId w:val="14"/>
        </w:numPr>
        <w:tabs>
          <w:tab w:pos="1180" w:val="left" w:leader="none"/>
          <w:tab w:pos="1181" w:val="left" w:leader="none"/>
        </w:tabs>
        <w:spacing w:line="240" w:lineRule="auto" w:before="121" w:after="0"/>
        <w:ind w:left="1180" w:right="0" w:hanging="360"/>
        <w:jc w:val="left"/>
        <w:rPr>
          <w:sz w:val="22"/>
        </w:rPr>
      </w:pPr>
      <w:r>
        <w:rPr>
          <w:sz w:val="22"/>
        </w:rPr>
        <w:t>Αγροδιατροφικό</w:t>
      </w:r>
      <w:r>
        <w:rPr>
          <w:spacing w:val="-6"/>
          <w:sz w:val="22"/>
        </w:rPr>
        <w:t> </w:t>
      </w:r>
      <w:r>
        <w:rPr>
          <w:sz w:val="22"/>
        </w:rPr>
        <w:t>Σύμπλεγμα,</w:t>
      </w:r>
    </w:p>
    <w:p>
      <w:pPr>
        <w:pStyle w:val="ListParagraph"/>
        <w:numPr>
          <w:ilvl w:val="0"/>
          <w:numId w:val="14"/>
        </w:numPr>
        <w:tabs>
          <w:tab w:pos="1180" w:val="left" w:leader="none"/>
          <w:tab w:pos="1181" w:val="left" w:leader="none"/>
        </w:tabs>
        <w:spacing w:line="240" w:lineRule="auto" w:before="118" w:after="0"/>
        <w:ind w:left="1180" w:right="0" w:hanging="360"/>
        <w:jc w:val="left"/>
        <w:rPr>
          <w:sz w:val="22"/>
        </w:rPr>
      </w:pPr>
      <w:r>
        <w:rPr>
          <w:sz w:val="22"/>
        </w:rPr>
        <w:t>Ενέργεια,</w:t>
      </w:r>
    </w:p>
    <w:p>
      <w:pPr>
        <w:pStyle w:val="ListParagraph"/>
        <w:numPr>
          <w:ilvl w:val="0"/>
          <w:numId w:val="14"/>
        </w:numPr>
        <w:tabs>
          <w:tab w:pos="1180" w:val="left" w:leader="none"/>
          <w:tab w:pos="1181" w:val="left" w:leader="none"/>
        </w:tabs>
        <w:spacing w:line="240" w:lineRule="auto" w:before="120" w:after="0"/>
        <w:ind w:left="1180" w:right="0" w:hanging="360"/>
        <w:jc w:val="left"/>
        <w:rPr>
          <w:sz w:val="22"/>
        </w:rPr>
      </w:pPr>
      <w:r>
        <w:rPr>
          <w:sz w:val="22"/>
        </w:rPr>
        <w:t>Περιβάλλον,</w:t>
      </w:r>
    </w:p>
    <w:p>
      <w:pPr>
        <w:pStyle w:val="ListParagraph"/>
        <w:numPr>
          <w:ilvl w:val="0"/>
          <w:numId w:val="14"/>
        </w:numPr>
        <w:tabs>
          <w:tab w:pos="1180" w:val="left" w:leader="none"/>
          <w:tab w:pos="1181" w:val="left" w:leader="none"/>
        </w:tabs>
        <w:spacing w:line="240" w:lineRule="auto" w:before="121" w:after="0"/>
        <w:ind w:left="1180" w:right="0" w:hanging="360"/>
        <w:jc w:val="left"/>
        <w:rPr>
          <w:sz w:val="22"/>
        </w:rPr>
      </w:pPr>
      <w:r>
        <w:rPr>
          <w:sz w:val="22"/>
        </w:rPr>
        <w:t>Δημιουργικός</w:t>
      </w:r>
      <w:r>
        <w:rPr>
          <w:spacing w:val="-3"/>
          <w:sz w:val="22"/>
        </w:rPr>
        <w:t> </w:t>
      </w:r>
      <w:r>
        <w:rPr>
          <w:sz w:val="22"/>
        </w:rPr>
        <w:t>Τουρισμός,</w:t>
      </w:r>
    </w:p>
    <w:p>
      <w:pPr>
        <w:pStyle w:val="ListParagraph"/>
        <w:numPr>
          <w:ilvl w:val="0"/>
          <w:numId w:val="14"/>
        </w:numPr>
        <w:tabs>
          <w:tab w:pos="1180" w:val="left" w:leader="none"/>
          <w:tab w:pos="1181" w:val="left" w:leader="none"/>
        </w:tabs>
        <w:spacing w:line="240" w:lineRule="auto" w:before="120" w:after="0"/>
        <w:ind w:left="1180" w:right="0" w:hanging="360"/>
        <w:jc w:val="left"/>
        <w:rPr>
          <w:sz w:val="22"/>
        </w:rPr>
      </w:pPr>
      <w:r>
        <w:rPr>
          <w:sz w:val="22"/>
        </w:rPr>
        <w:t>Αποκατάσταση και Προηγμένες Υπηρεσίες</w:t>
      </w:r>
      <w:r>
        <w:rPr>
          <w:spacing w:val="-7"/>
          <w:sz w:val="22"/>
        </w:rPr>
        <w:t> </w:t>
      </w:r>
      <w:r>
        <w:rPr>
          <w:sz w:val="22"/>
        </w:rPr>
        <w:t>Υγείας,</w:t>
      </w:r>
    </w:p>
    <w:p>
      <w:pPr>
        <w:pStyle w:val="ListParagraph"/>
        <w:numPr>
          <w:ilvl w:val="0"/>
          <w:numId w:val="14"/>
        </w:numPr>
        <w:tabs>
          <w:tab w:pos="1180" w:val="left" w:leader="none"/>
          <w:tab w:pos="1181" w:val="left" w:leader="none"/>
        </w:tabs>
        <w:spacing w:line="240" w:lineRule="auto" w:before="120" w:after="0"/>
        <w:ind w:left="1180" w:right="0" w:hanging="360"/>
        <w:jc w:val="left"/>
        <w:rPr>
          <w:sz w:val="22"/>
        </w:rPr>
      </w:pPr>
      <w:r>
        <w:rPr>
          <w:sz w:val="22"/>
        </w:rPr>
        <w:t>Μέταλλα και Δομικά</w:t>
      </w:r>
      <w:r>
        <w:rPr>
          <w:spacing w:val="-7"/>
          <w:sz w:val="22"/>
        </w:rPr>
        <w:t> </w:t>
      </w:r>
      <w:r>
        <w:rPr>
          <w:sz w:val="22"/>
        </w:rPr>
        <w:t>Υλικά,</w:t>
      </w:r>
    </w:p>
    <w:p>
      <w:pPr>
        <w:pStyle w:val="BodyText"/>
        <w:spacing w:line="360" w:lineRule="auto" w:before="118"/>
        <w:ind w:left="100" w:right="117"/>
        <w:jc w:val="both"/>
      </w:pPr>
      <w:r>
        <w:rPr/>
        <w:t>σύμφωνα με το Παράρτημα VIII που περιλαμβάνει το σύνολο των ΚΑΔ που είναι επιλέξιμοι για την  παρούσα πρόσκληση και όπου συγκεκριμένα </w:t>
      </w:r>
      <w:r>
        <w:rPr>
          <w:u w:val="single"/>
        </w:rPr>
        <w:t>σημειώνονται οι ΚΑΔ που αντιστοιχούν σε οικονομικό τομέα της RIS3, </w:t>
      </w:r>
      <w:r>
        <w:rPr/>
        <w:t>καθώς και αυτοί που είναι εκτός</w:t>
      </w:r>
      <w:r>
        <w:rPr>
          <w:spacing w:val="-7"/>
        </w:rPr>
        <w:t> </w:t>
      </w:r>
      <w:r>
        <w:rPr/>
        <w:t>RIS3.</w:t>
      </w:r>
    </w:p>
    <w:p>
      <w:pPr>
        <w:pStyle w:val="BodyText"/>
        <w:spacing w:line="276" w:lineRule="auto" w:before="120"/>
        <w:ind w:left="100"/>
      </w:pPr>
      <w:r>
        <w:rPr/>
        <w:t>Οι προτάσεις που θα υποβληθούν θα πρέπει να τηρούν τις προϋποθέσεις που τίθενται στις διατάξεις του Κανονισμού (Ε.Ε.)1407/2013.</w:t>
      </w:r>
    </w:p>
    <w:p>
      <w:pPr>
        <w:pStyle w:val="BodyText"/>
        <w:spacing w:before="119"/>
        <w:ind w:left="100"/>
      </w:pPr>
      <w:r>
        <w:rPr/>
        <w:t>Επισημαίνεται ότι σύμφωνα με τον κανονισμό Ε.Ε. 1407/2013 και κατά συνέπεια στην παρούσα πρόσκληση</w:t>
      </w:r>
    </w:p>
    <w:p>
      <w:pPr>
        <w:pStyle w:val="BodyText"/>
        <w:spacing w:before="134"/>
        <w:ind w:left="100"/>
      </w:pPr>
      <w:r>
        <w:rPr>
          <w:b/>
        </w:rPr>
        <w:t>δεν </w:t>
      </w:r>
      <w:r>
        <w:rPr/>
        <w:t>είναι επιλέξιμες:</w:t>
      </w:r>
    </w:p>
    <w:p>
      <w:pPr>
        <w:pStyle w:val="BodyText"/>
        <w:spacing w:before="10"/>
        <w:rPr>
          <w:sz w:val="20"/>
        </w:rPr>
      </w:pPr>
    </w:p>
    <w:p>
      <w:pPr>
        <w:pStyle w:val="BodyText"/>
        <w:spacing w:line="360" w:lineRule="auto"/>
        <w:ind w:left="100" w:right="162"/>
      </w:pPr>
      <w:r>
        <w:rPr/>
        <w:t>α) επιχειρήσεις που δραστηριοποιούνται στους τομείς της αλιείας και της υδατοκαλλιέργειας, που εμπίπτουν στον κανονισμό (ΕΚ) αριθ. 104/2000 του Συμβουλίου,</w:t>
      </w:r>
    </w:p>
    <w:p>
      <w:pPr>
        <w:pStyle w:val="BodyText"/>
        <w:spacing w:before="120"/>
        <w:ind w:left="100"/>
      </w:pPr>
      <w:r>
        <w:rPr/>
        <w:t>β) επιχειρήσεις που δραστηριοποιούνται στην πρωτογενή παραγωγή γεωργικών προϊόντων,</w:t>
      </w:r>
    </w:p>
    <w:p>
      <w:pPr>
        <w:pStyle w:val="BodyText"/>
        <w:spacing w:before="8"/>
        <w:rPr>
          <w:sz w:val="20"/>
        </w:rPr>
      </w:pPr>
    </w:p>
    <w:p>
      <w:pPr>
        <w:pStyle w:val="BodyText"/>
        <w:spacing w:line="360" w:lineRule="auto"/>
        <w:ind w:left="100" w:right="162"/>
      </w:pPr>
      <w:r>
        <w:rPr/>
        <w:t>γ) ενισχύσεις που χορηγούνται σε επιχειρήσεις που δραστηριοποιούνται στον τομέα της μεταποίησης και της εμπορίας γεωργικών προϊόντων, στις ακόλουθες περιπτώσεις:</w:t>
      </w:r>
    </w:p>
    <w:p>
      <w:pPr>
        <w:spacing w:after="0" w:line="360" w:lineRule="auto"/>
        <w:sectPr>
          <w:footerReference w:type="default" r:id="rId24"/>
          <w:pgSz w:w="11910" w:h="16840"/>
          <w:pgMar w:footer="734" w:header="748" w:top="1420" w:bottom="920" w:left="980" w:right="960"/>
          <w:pgNumType w:start="21"/>
        </w:sectPr>
      </w:pPr>
    </w:p>
    <w:p>
      <w:pPr>
        <w:pStyle w:val="BodyText"/>
        <w:spacing w:before="7"/>
        <w:rPr>
          <w:sz w:val="17"/>
        </w:rPr>
      </w:pPr>
    </w:p>
    <w:p>
      <w:pPr>
        <w:pStyle w:val="ListParagraph"/>
        <w:numPr>
          <w:ilvl w:val="0"/>
          <w:numId w:val="15"/>
        </w:numPr>
        <w:tabs>
          <w:tab w:pos="312" w:val="left" w:leader="none"/>
        </w:tabs>
        <w:spacing w:line="360" w:lineRule="auto" w:before="57" w:after="0"/>
        <w:ind w:left="100" w:right="123" w:firstLine="0"/>
        <w:jc w:val="both"/>
        <w:rPr>
          <w:sz w:val="22"/>
        </w:rPr>
      </w:pPr>
      <w:r>
        <w:rPr>
          <w:sz w:val="22"/>
        </w:rPr>
        <w:t>όπου το ποσό της ενίσχυσης καθορίζεται με βάση την τιμή ή την ποσότητα τέτοιων προϊόντων που πωλούνται από πρωτογενείς παραγωγούς ή διατίθενται στην αγορά από τις οικείες</w:t>
      </w:r>
      <w:r>
        <w:rPr>
          <w:spacing w:val="-12"/>
          <w:sz w:val="22"/>
        </w:rPr>
        <w:t> </w:t>
      </w:r>
      <w:r>
        <w:rPr>
          <w:sz w:val="22"/>
        </w:rPr>
        <w:t>επιχειρήσεις,</w:t>
      </w:r>
    </w:p>
    <w:p>
      <w:pPr>
        <w:pStyle w:val="ListParagraph"/>
        <w:numPr>
          <w:ilvl w:val="0"/>
          <w:numId w:val="15"/>
        </w:numPr>
        <w:tabs>
          <w:tab w:pos="393" w:val="left" w:leader="none"/>
        </w:tabs>
        <w:spacing w:line="360" w:lineRule="auto" w:before="120" w:after="0"/>
        <w:ind w:left="100" w:right="119" w:firstLine="0"/>
        <w:jc w:val="both"/>
        <w:rPr>
          <w:sz w:val="22"/>
        </w:rPr>
      </w:pPr>
      <w:r>
        <w:rPr>
          <w:sz w:val="22"/>
        </w:rPr>
        <w:t>όπου η ενίσχυση συνοδεύεται από την υποχρέωση απόδοσής της εν μέρει ή εξ ολοκλήρου σε πρωτογενείς</w:t>
      </w:r>
      <w:r>
        <w:rPr>
          <w:spacing w:val="-2"/>
          <w:sz w:val="22"/>
        </w:rPr>
        <w:t> </w:t>
      </w:r>
      <w:r>
        <w:rPr>
          <w:sz w:val="22"/>
        </w:rPr>
        <w:t>παραγωγούς.</w:t>
      </w:r>
    </w:p>
    <w:p>
      <w:pPr>
        <w:pStyle w:val="BodyText"/>
        <w:spacing w:line="360" w:lineRule="auto" w:before="118"/>
        <w:ind w:left="100" w:right="114"/>
        <w:jc w:val="both"/>
      </w:pPr>
      <w:r>
        <w:rPr/>
        <w:t>δ) ενισχύσεις για δραστηριότητες που σχετίζονται με εξαγωγές προς τρίτες χώρες ή προς κράτη μέλη, ιδίως δε ενισχύσεις που συνδέονται άμεσα με τις εξαγόμενες ποσότητες, με τη δημιουργία και λειτουργία  δικτύου διανομής ή με άλλες τρέχουσες δαπάνες που σχετίζονται με την εξαγωγική</w:t>
      </w:r>
      <w:r>
        <w:rPr>
          <w:spacing w:val="-20"/>
        </w:rPr>
        <w:t> </w:t>
      </w:r>
      <w:r>
        <w:rPr/>
        <w:t>δραστηριότητα·</w:t>
      </w:r>
    </w:p>
    <w:p>
      <w:pPr>
        <w:pStyle w:val="BodyText"/>
        <w:spacing w:before="121"/>
        <w:ind w:left="100"/>
        <w:jc w:val="both"/>
      </w:pPr>
      <w:r>
        <w:rPr/>
        <w:t>ε) ενισχύσεις για τις οποίες τίθεται ως όρος η χρήση εγχώριων αγαθών αντί των εισαγόμενων.</w:t>
      </w:r>
    </w:p>
    <w:p>
      <w:pPr>
        <w:pStyle w:val="BodyText"/>
        <w:spacing w:before="10"/>
        <w:rPr>
          <w:sz w:val="20"/>
        </w:rPr>
      </w:pPr>
    </w:p>
    <w:p>
      <w:pPr>
        <w:pStyle w:val="BodyText"/>
        <w:spacing w:line="276" w:lineRule="auto"/>
        <w:ind w:left="100" w:right="117"/>
        <w:jc w:val="both"/>
      </w:pPr>
      <w:r>
        <w:rPr/>
        <w:t>Στην περίπτωση επιχειρήσεων που δραστηριοποιούνται στους παραπάνω τομείς α), β) ή γ) της προηγούμενης παραγράφου </w:t>
      </w:r>
      <w:r>
        <w:rPr>
          <w:spacing w:val="-3"/>
        </w:rPr>
        <w:t>και </w:t>
      </w:r>
      <w:r>
        <w:rPr/>
        <w:t>δραστηριοποιούνται επίσης σε έναν ή περισσότερους από τους επιλέξιμους ΚΑΔ του Παραρτήματος VIII δύνανται να ενισχυθούν για τις επιλέξιμες δραστηριότητες, υπό </w:t>
      </w:r>
      <w:r>
        <w:rPr>
          <w:spacing w:val="-3"/>
        </w:rPr>
        <w:t>την </w:t>
      </w:r>
      <w:r>
        <w:rPr/>
        <w:t>προϋπόθεση ότι διασφαλίζεται με κατάλληλη λογιστική παρακολούθηση ο διαχωρισμός των δραστηριοτήτων </w:t>
      </w:r>
      <w:r>
        <w:rPr>
          <w:spacing w:val="-3"/>
        </w:rPr>
        <w:t>και </w:t>
      </w:r>
      <w:r>
        <w:rPr/>
        <w:t>η διάκριση του κόστους, έτσι ώστε η ενίσχυση να αφορά μόνο την επιλέξιμη δραστηριότητα </w:t>
      </w:r>
      <w:r>
        <w:rPr>
          <w:spacing w:val="-3"/>
        </w:rPr>
        <w:t>και </w:t>
      </w:r>
      <w:r>
        <w:rPr/>
        <w:t>να μην ενισχύεται η μη επιλέξιμη από τον Καν. ΕΕ 1407/2013</w:t>
      </w:r>
      <w:r>
        <w:rPr>
          <w:spacing w:val="-34"/>
        </w:rPr>
        <w:t> </w:t>
      </w:r>
      <w:r>
        <w:rPr/>
        <w:t>δραστηριότητα.</w:t>
      </w:r>
    </w:p>
    <w:p>
      <w:pPr>
        <w:pStyle w:val="BodyText"/>
      </w:pPr>
    </w:p>
    <w:p>
      <w:pPr>
        <w:pStyle w:val="BodyText"/>
      </w:pPr>
    </w:p>
    <w:p>
      <w:pPr>
        <w:pStyle w:val="Heading2"/>
        <w:numPr>
          <w:ilvl w:val="0"/>
          <w:numId w:val="10"/>
        </w:numPr>
        <w:tabs>
          <w:tab w:pos="667" w:val="left" w:leader="none"/>
        </w:tabs>
        <w:spacing w:line="240" w:lineRule="auto" w:before="136" w:after="0"/>
        <w:ind w:left="666" w:right="0" w:hanging="566"/>
        <w:jc w:val="both"/>
      </w:pPr>
      <w:bookmarkStart w:name="_TOC_250048" w:id="8"/>
      <w:r>
        <w:rPr/>
        <w:t>ΕΠΙΛΕΞΙΜΕΣ ΔΑΠΑΝΕΣ – ΠΡΟΫΠΟΛΟΓΙΣΜΟΣ</w:t>
      </w:r>
      <w:r>
        <w:rPr>
          <w:spacing w:val="-8"/>
        </w:rPr>
        <w:t> </w:t>
      </w:r>
      <w:bookmarkEnd w:id="8"/>
      <w:r>
        <w:rPr/>
        <w:t>ΠΡΑΞΕΩΝ</w:t>
      </w:r>
    </w:p>
    <w:p>
      <w:pPr>
        <w:pStyle w:val="BodyText"/>
        <w:spacing w:before="5"/>
        <w:rPr>
          <w:b/>
          <w:sz w:val="19"/>
        </w:rPr>
      </w:pPr>
    </w:p>
    <w:p>
      <w:pPr>
        <w:spacing w:before="0"/>
        <w:ind w:left="100" w:right="0" w:firstLine="0"/>
        <w:jc w:val="both"/>
        <w:rPr>
          <w:b/>
          <w:sz w:val="22"/>
        </w:rPr>
      </w:pPr>
      <w:r>
        <w:rPr>
          <w:sz w:val="22"/>
        </w:rPr>
        <w:t>Ως χρόνος </w:t>
      </w:r>
      <w:r>
        <w:rPr>
          <w:b/>
          <w:sz w:val="22"/>
        </w:rPr>
        <w:t>έναρξης επιλεξιμότητας δαπανών </w:t>
      </w:r>
      <w:r>
        <w:rPr>
          <w:sz w:val="22"/>
        </w:rPr>
        <w:t>ορίζεται η </w:t>
      </w:r>
      <w:r>
        <w:rPr>
          <w:b/>
          <w:sz w:val="22"/>
        </w:rPr>
        <w:t>13η Ιουλίου 2018.</w:t>
      </w:r>
    </w:p>
    <w:p>
      <w:pPr>
        <w:pStyle w:val="BodyText"/>
        <w:rPr>
          <w:b/>
        </w:rPr>
      </w:pPr>
    </w:p>
    <w:p>
      <w:pPr>
        <w:pStyle w:val="BodyText"/>
        <w:rPr>
          <w:b/>
        </w:rPr>
      </w:pPr>
    </w:p>
    <w:p>
      <w:pPr>
        <w:pStyle w:val="Heading4"/>
        <w:numPr>
          <w:ilvl w:val="1"/>
          <w:numId w:val="16"/>
        </w:numPr>
        <w:tabs>
          <w:tab w:pos="821" w:val="left" w:leader="none"/>
        </w:tabs>
        <w:spacing w:line="240" w:lineRule="auto" w:before="171" w:after="0"/>
        <w:ind w:left="820" w:right="0" w:hanging="720"/>
        <w:jc w:val="both"/>
      </w:pPr>
      <w:bookmarkStart w:name="_TOC_250047" w:id="9"/>
      <w:r>
        <w:rPr/>
        <w:t>ΕΠΙΛΕΞΙΜΕΣ</w:t>
      </w:r>
      <w:r>
        <w:rPr>
          <w:spacing w:val="-2"/>
        </w:rPr>
        <w:t> </w:t>
      </w:r>
      <w:bookmarkEnd w:id="9"/>
      <w:r>
        <w:rPr/>
        <w:t>ΔΑΠΑΝΕΣ</w:t>
      </w:r>
    </w:p>
    <w:p>
      <w:pPr>
        <w:spacing w:before="120"/>
        <w:ind w:left="100" w:right="0" w:firstLine="0"/>
        <w:jc w:val="both"/>
        <w:rPr>
          <w:b/>
          <w:sz w:val="22"/>
        </w:rPr>
      </w:pPr>
      <w:r>
        <w:rPr>
          <w:b/>
          <w:sz w:val="22"/>
        </w:rPr>
        <w:t>α)   Κόστος για επενδύσεις σε στοιχεία ενεργητικού :</w:t>
      </w:r>
    </w:p>
    <w:p>
      <w:pPr>
        <w:pStyle w:val="BodyText"/>
        <w:spacing w:line="273" w:lineRule="auto" w:before="161"/>
        <w:ind w:left="458" w:right="162"/>
      </w:pPr>
      <w:r>
        <w:rPr/>
        <w:t>Οι επενδυτικές ενισχύσεις </w:t>
      </w:r>
      <w:r>
        <w:rPr>
          <w:b/>
        </w:rPr>
        <w:t>σε στοιχεία ενεργητικού </w:t>
      </w:r>
      <w:r>
        <w:rPr/>
        <w:t>αφορούν επενδύσεις σε ενσώματα και άυλα στοιχεία ενεργητικού σε σχέση με:</w:t>
      </w:r>
    </w:p>
    <w:p>
      <w:pPr>
        <w:pStyle w:val="ListParagraph"/>
        <w:numPr>
          <w:ilvl w:val="2"/>
          <w:numId w:val="16"/>
        </w:numPr>
        <w:tabs>
          <w:tab w:pos="813" w:val="left" w:leader="none"/>
          <w:tab w:pos="814" w:val="left" w:leader="none"/>
        </w:tabs>
        <w:spacing w:line="240" w:lineRule="auto" w:before="3" w:after="0"/>
        <w:ind w:left="820" w:right="0" w:hanging="362"/>
        <w:jc w:val="left"/>
        <w:rPr>
          <w:sz w:val="22"/>
        </w:rPr>
      </w:pPr>
      <w:r>
        <w:rPr>
          <w:sz w:val="22"/>
        </w:rPr>
        <w:t>τη δημιουργία νέας επιχειρηματικής</w:t>
      </w:r>
      <w:r>
        <w:rPr>
          <w:spacing w:val="-9"/>
          <w:sz w:val="22"/>
        </w:rPr>
        <w:t> </w:t>
      </w:r>
      <w:r>
        <w:rPr>
          <w:sz w:val="22"/>
        </w:rPr>
        <w:t>εγκατάστασης</w:t>
      </w:r>
    </w:p>
    <w:p>
      <w:pPr>
        <w:pStyle w:val="ListParagraph"/>
        <w:numPr>
          <w:ilvl w:val="2"/>
          <w:numId w:val="16"/>
        </w:numPr>
        <w:tabs>
          <w:tab w:pos="813" w:val="left" w:leader="none"/>
          <w:tab w:pos="814" w:val="left" w:leader="none"/>
        </w:tabs>
        <w:spacing w:line="240" w:lineRule="auto" w:before="41" w:after="0"/>
        <w:ind w:left="813" w:right="0" w:hanging="355"/>
        <w:jc w:val="left"/>
        <w:rPr>
          <w:sz w:val="22"/>
        </w:rPr>
      </w:pPr>
      <w:r>
        <w:rPr>
          <w:sz w:val="22"/>
        </w:rPr>
        <w:t>την επέκταση της δυναμικότητας υφιστάμενης επιχειρηματικής</w:t>
      </w:r>
      <w:r>
        <w:rPr>
          <w:spacing w:val="-20"/>
          <w:sz w:val="22"/>
        </w:rPr>
        <w:t> </w:t>
      </w:r>
      <w:r>
        <w:rPr>
          <w:sz w:val="22"/>
        </w:rPr>
        <w:t>εγκατάστασης</w:t>
      </w:r>
    </w:p>
    <w:p>
      <w:pPr>
        <w:pStyle w:val="ListParagraph"/>
        <w:numPr>
          <w:ilvl w:val="2"/>
          <w:numId w:val="16"/>
        </w:numPr>
        <w:tabs>
          <w:tab w:pos="813" w:val="left" w:leader="none"/>
          <w:tab w:pos="814" w:val="left" w:leader="none"/>
        </w:tabs>
        <w:spacing w:line="240" w:lineRule="auto" w:before="39" w:after="0"/>
        <w:ind w:left="813" w:right="0" w:hanging="355"/>
        <w:jc w:val="left"/>
        <w:rPr>
          <w:sz w:val="22"/>
        </w:rPr>
      </w:pPr>
      <w:r>
        <w:rPr>
          <w:sz w:val="22"/>
        </w:rPr>
        <w:t>τη διαφοροποίηση της δραστηριότητας επιχειρηματικής</w:t>
      </w:r>
      <w:r>
        <w:rPr>
          <w:spacing w:val="-15"/>
          <w:sz w:val="22"/>
        </w:rPr>
        <w:t> </w:t>
      </w:r>
      <w:r>
        <w:rPr>
          <w:sz w:val="22"/>
        </w:rPr>
        <w:t>εγκατάστασης</w:t>
      </w:r>
    </w:p>
    <w:p>
      <w:pPr>
        <w:pStyle w:val="ListParagraph"/>
        <w:numPr>
          <w:ilvl w:val="2"/>
          <w:numId w:val="16"/>
        </w:numPr>
        <w:tabs>
          <w:tab w:pos="813" w:val="left" w:leader="none"/>
          <w:tab w:pos="814" w:val="left" w:leader="none"/>
        </w:tabs>
        <w:spacing w:line="240" w:lineRule="auto" w:before="41" w:after="0"/>
        <w:ind w:left="813" w:right="0" w:hanging="355"/>
        <w:jc w:val="left"/>
        <w:rPr>
          <w:sz w:val="22"/>
        </w:rPr>
      </w:pPr>
      <w:r>
        <w:rPr>
          <w:sz w:val="22"/>
        </w:rPr>
        <w:t>μέτρα βελτίωσης ενεργειακής</w:t>
      </w:r>
      <w:r>
        <w:rPr>
          <w:spacing w:val="-6"/>
          <w:sz w:val="22"/>
        </w:rPr>
        <w:t> </w:t>
      </w:r>
      <w:r>
        <w:rPr>
          <w:sz w:val="22"/>
        </w:rPr>
        <w:t>απόδοσης</w:t>
      </w:r>
    </w:p>
    <w:p>
      <w:pPr>
        <w:pStyle w:val="ListParagraph"/>
        <w:numPr>
          <w:ilvl w:val="2"/>
          <w:numId w:val="16"/>
        </w:numPr>
        <w:tabs>
          <w:tab w:pos="820" w:val="left" w:leader="none"/>
          <w:tab w:pos="821" w:val="left" w:leader="none"/>
        </w:tabs>
        <w:spacing w:line="276" w:lineRule="auto" w:before="39" w:after="0"/>
        <w:ind w:left="820" w:right="114" w:hanging="360"/>
        <w:jc w:val="left"/>
        <w:rPr>
          <w:sz w:val="22"/>
        </w:rPr>
      </w:pPr>
      <w:r>
        <w:rPr>
          <w:sz w:val="22"/>
        </w:rPr>
        <w:t>την πιστοποίηση Συστημάτων, τον Σχεδιασμό και την Τυποποίηση (ΤΥΠΟΠΟΙΗΣΗ – ΠΙΣΤΟΠΟΙΗΣΗ – ΔΙΑΠΙΣΤΕΥΣΗ),</w:t>
      </w:r>
    </w:p>
    <w:p>
      <w:pPr>
        <w:pStyle w:val="ListParagraph"/>
        <w:numPr>
          <w:ilvl w:val="2"/>
          <w:numId w:val="16"/>
        </w:numPr>
        <w:tabs>
          <w:tab w:pos="820" w:val="left" w:leader="none"/>
          <w:tab w:pos="821" w:val="left" w:leader="none"/>
        </w:tabs>
        <w:spacing w:line="276" w:lineRule="auto" w:before="0" w:after="0"/>
        <w:ind w:left="820" w:right="117" w:hanging="360"/>
        <w:jc w:val="left"/>
        <w:rPr>
          <w:sz w:val="22"/>
        </w:rPr>
      </w:pPr>
      <w:r>
        <w:rPr>
          <w:sz w:val="22"/>
        </w:rPr>
        <w:t>την απόκτηση δικαιωμάτων τεχνογνωσίας για την αποτελεσματικότερη παραγωγή προϊόντων και υπηρεσιών.</w:t>
      </w:r>
    </w:p>
    <w:p>
      <w:pPr>
        <w:pStyle w:val="Heading4"/>
        <w:spacing w:before="120"/>
      </w:pPr>
      <w:r>
        <w:rPr/>
        <w:t>β)   Συμβουλευτικές υπηρεσίες:</w:t>
      </w:r>
    </w:p>
    <w:p>
      <w:pPr>
        <w:pStyle w:val="BodyText"/>
        <w:spacing w:line="276" w:lineRule="auto" w:before="158"/>
        <w:ind w:left="458" w:right="114"/>
        <w:jc w:val="both"/>
      </w:pPr>
      <w:r>
        <w:rPr/>
        <w:t>Επιλέξιμες είναι οι δαπάνες παροχής εξειδικευμένων υπηρεσιών από εξωτερικούς συμβούλους / εμπειρογνώμονες, οι οποίες σχετίζονται αποκλειστικά με την υλοποίηση του  επενδυτικού  σχεδίου όπως η εκπόνηση επιχειρηματικού σχεδίου, μελέτη οικονομικής βιωσιμότητας, μελέτη έρευνας αγοράς. Δεν είναι επιλέξιμες οι συνήθεις ή περιοδικές υπηρεσίες.</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Heading4"/>
        <w:spacing w:before="57"/>
      </w:pPr>
      <w:r>
        <w:rPr/>
        <w:t>γ)    Ενισχύσεις για συμμετοχή σε εμπορικές εκθέσεις:</w:t>
      </w:r>
    </w:p>
    <w:p>
      <w:pPr>
        <w:pStyle w:val="BodyText"/>
        <w:spacing w:line="273" w:lineRule="auto" w:before="161"/>
        <w:ind w:left="460" w:right="162"/>
      </w:pPr>
      <w:r>
        <w:rPr/>
        <w:t>Επιλέξιμες είναι οι δαπάνες μίσθωσης, εγκατάστασης και διαχείρισης περιπτέρου για τη συμμετοχή μιας επιχείρησης σε οποιαδήποτε εμπορική</w:t>
      </w:r>
      <w:r>
        <w:rPr>
          <w:spacing w:val="-7"/>
        </w:rPr>
        <w:t> </w:t>
      </w:r>
      <w:r>
        <w:rPr/>
        <w:t>έκθεση.</w:t>
      </w:r>
    </w:p>
    <w:p>
      <w:pPr>
        <w:pStyle w:val="BodyText"/>
      </w:pPr>
    </w:p>
    <w:p>
      <w:pPr>
        <w:pStyle w:val="Heading4"/>
        <w:spacing w:before="164"/>
      </w:pPr>
      <w:r>
        <w:rPr/>
        <w:t>δ)   Ενισχύσεις Καινοτομίας:</w:t>
      </w:r>
    </w:p>
    <w:p>
      <w:pPr>
        <w:pStyle w:val="BodyText"/>
        <w:spacing w:before="158"/>
        <w:ind w:left="460"/>
      </w:pPr>
      <w:r>
        <w:rPr/>
        <w:t>Οι επιλέξιμες δαπάνες είναι οι εξής:</w:t>
      </w:r>
    </w:p>
    <w:p>
      <w:pPr>
        <w:pStyle w:val="ListParagraph"/>
        <w:numPr>
          <w:ilvl w:val="0"/>
          <w:numId w:val="17"/>
        </w:numPr>
        <w:tabs>
          <w:tab w:pos="763" w:val="left" w:leader="none"/>
        </w:tabs>
        <w:spacing w:line="276" w:lineRule="auto" w:before="161" w:after="0"/>
        <w:ind w:left="762" w:right="115" w:hanging="247"/>
        <w:jc w:val="both"/>
        <w:rPr>
          <w:sz w:val="22"/>
        </w:rPr>
      </w:pPr>
      <w:r>
        <w:rPr>
          <w:sz w:val="22"/>
        </w:rPr>
        <w:t>Δαπάνες για άυλα στοιχεία ενεργητικού: Αφορά σε δαπάνες για την απόκτηση, την επικύρωση και την προστασία των διπλωμάτων ευρεσιτεχνίας και λοιπών άυλων στοιχείων ενεργητικού (σχετίζονται με την απονομή δικαιώματος που προκύπτει ως αποτέλεσμα ερευνητικών δραστηριοτήτων που εκτελεί, χρηματοδοτεί ή στις οποίες συμμετέχει ο</w:t>
      </w:r>
      <w:r>
        <w:rPr>
          <w:spacing w:val="-12"/>
          <w:sz w:val="22"/>
        </w:rPr>
        <w:t> </w:t>
      </w:r>
      <w:r>
        <w:rPr>
          <w:sz w:val="22"/>
        </w:rPr>
        <w:t>δικαιούχος).</w:t>
      </w:r>
    </w:p>
    <w:p>
      <w:pPr>
        <w:pStyle w:val="ListParagraph"/>
        <w:numPr>
          <w:ilvl w:val="0"/>
          <w:numId w:val="17"/>
        </w:numPr>
        <w:tabs>
          <w:tab w:pos="763" w:val="left" w:leader="none"/>
        </w:tabs>
        <w:spacing w:line="276" w:lineRule="auto" w:before="0" w:after="0"/>
        <w:ind w:left="762" w:right="113" w:hanging="297"/>
        <w:jc w:val="both"/>
        <w:rPr>
          <w:sz w:val="22"/>
        </w:rPr>
      </w:pPr>
      <w:r>
        <w:rPr>
          <w:sz w:val="22"/>
        </w:rPr>
        <w:t>Δαπάνες για υπηρεσίες καινοτομίας: Στην υποκατηγορία περιλαμβάνονται οι δαπάνες για συμβουλευτικές και υποστηρικτικές υπηρεσίες στον τομέα της καινοτομίας. Συμβουλευτικές υπηρεσίες στον τομέα της καινοτομίας συγκαταλέγονται η συνδρομή και η επαγγελματική κατάρτιση στους τομείς της μεταφοράς γνώσεων, της απόκτησης, της προστασίας και της εκμετάλλευσης άυλων στοιχείων ενεργητικού, της χρήσης προτύπων και κανονισμών που τα εμπεριέχουν, καθώς και οι δαπάνες μετάφρασης για υποβολή διπλώματος ευρεσιτεχνίας. Υποστηρικτικές υπηρεσίες στον τομέα της καινοτομίας είναι η παροχή χώρων γραφείων, βάσεων δεδομένων, βιβλιοθηκών, χρήσης εργαστηρίου, σήμανσης ποιότητας, δοκιμών και πιστοποίησης με σκοπό την ανάπτυξη αποτελεσματικότερων προϊόντων, διεργασιών ή</w:t>
      </w:r>
      <w:r>
        <w:rPr>
          <w:spacing w:val="-21"/>
          <w:sz w:val="22"/>
        </w:rPr>
        <w:t> </w:t>
      </w:r>
      <w:r>
        <w:rPr>
          <w:sz w:val="22"/>
        </w:rPr>
        <w:t>υπηρεσιών.</w:t>
      </w:r>
    </w:p>
    <w:p>
      <w:pPr>
        <w:pStyle w:val="ListParagraph"/>
        <w:numPr>
          <w:ilvl w:val="0"/>
          <w:numId w:val="17"/>
        </w:numPr>
        <w:tabs>
          <w:tab w:pos="763" w:val="left" w:leader="none"/>
        </w:tabs>
        <w:spacing w:line="240" w:lineRule="auto" w:before="1" w:after="0"/>
        <w:ind w:left="762" w:right="0" w:hanging="348"/>
        <w:jc w:val="left"/>
        <w:rPr>
          <w:sz w:val="22"/>
        </w:rPr>
      </w:pPr>
      <w:r>
        <w:rPr>
          <w:sz w:val="22"/>
        </w:rPr>
        <w:t>Γνώσεις και διπλώματα</w:t>
      </w:r>
      <w:r>
        <w:rPr>
          <w:spacing w:val="-3"/>
          <w:sz w:val="22"/>
        </w:rPr>
        <w:t> </w:t>
      </w:r>
      <w:r>
        <w:rPr>
          <w:sz w:val="22"/>
        </w:rPr>
        <w:t>ευρεσιτεχνίας</w:t>
      </w:r>
    </w:p>
    <w:p>
      <w:pPr>
        <w:pStyle w:val="BodyText"/>
        <w:spacing w:line="276" w:lineRule="auto" w:before="41"/>
        <w:ind w:left="762" w:right="113"/>
        <w:jc w:val="both"/>
      </w:pPr>
      <w:r>
        <w:rPr/>
        <w:t>Η υποκατηγορία περιλαμβάνει δαπάνες που αφορούν στην αγορά γνώσεων και διπλωμάτων ευρεσιτεχνίας (bought or licensed), οι οποίες είναι επιλέξιμες υπό την προϋπόθεση της τήρησης των ίσων αποστάσεων. Δηλαδή θα πρέπει οι όροι της συναλλαγής μεταξύ των συμβαλλόμενων μερών  να μην διαφέρουν από εκείνους που θα είχαν οριστεί μεταξύ ανεξάρτητων επιχειρήσεων και να μην περιέχουν κανένα στοιχείο αθέμιτης σύμπραξης. Κάθε συναλλαγή που προκύπτει από ανοιχτή, διαφανή και χωρίς διακρίσεις διαδικασία θεωρείται ότι πληροί την αρχή της τήρησης ίσων αποστάσεων.</w:t>
      </w:r>
    </w:p>
    <w:p>
      <w:pPr>
        <w:pStyle w:val="Heading4"/>
        <w:spacing w:before="118"/>
      </w:pPr>
      <w:r>
        <w:rPr>
          <w:sz w:val="20"/>
        </w:rPr>
        <w:t>ε)     </w:t>
      </w:r>
      <w:r>
        <w:rPr/>
        <w:t>Δαπάνες προσωπικού (Μισθολογικό κόστος νέου προσωπικού):</w:t>
      </w:r>
    </w:p>
    <w:p>
      <w:pPr>
        <w:pStyle w:val="BodyText"/>
        <w:spacing w:before="161"/>
        <w:ind w:left="460"/>
      </w:pPr>
      <w:r>
        <w:rPr/>
        <w:t>Επιλέξιμες είναι οι δαπάνες για το μισθολογικό κόστος Νεοπροσλαμβανόμενου Προσωπικού.</w:t>
      </w:r>
    </w:p>
    <w:p>
      <w:pPr>
        <w:pStyle w:val="BodyText"/>
      </w:pPr>
    </w:p>
    <w:p>
      <w:pPr>
        <w:pStyle w:val="BodyText"/>
        <w:spacing w:before="7"/>
        <w:rPr>
          <w:sz w:val="16"/>
        </w:rPr>
      </w:pPr>
    </w:p>
    <w:p>
      <w:pPr>
        <w:spacing w:before="0"/>
        <w:ind w:left="100" w:right="0" w:firstLine="0"/>
        <w:jc w:val="both"/>
        <w:rPr>
          <w:b/>
          <w:sz w:val="22"/>
        </w:rPr>
      </w:pPr>
      <w:r>
        <w:rPr>
          <w:sz w:val="22"/>
        </w:rPr>
        <w:t>Οι επιλέξιμες δαπάνες πληρούν τους όρους που καθορίζει η με αρ. πρωτ. </w:t>
      </w:r>
      <w:r>
        <w:rPr>
          <w:b/>
          <w:sz w:val="22"/>
        </w:rPr>
        <w:t>137675/EΥΘΥ1016/19-12/2018</w:t>
      </w:r>
    </w:p>
    <w:p>
      <w:pPr>
        <w:pStyle w:val="BodyText"/>
        <w:spacing w:before="38"/>
        <w:ind w:left="100"/>
        <w:jc w:val="both"/>
      </w:pPr>
      <w:r>
        <w:rPr/>
        <w:t>(ΦΕΚ 5968/Β/31-12-2018) Απόφαση του Υφυπουργού Οικονομίας και Ανάπτυξης.</w:t>
      </w:r>
    </w:p>
    <w:p>
      <w:pPr>
        <w:pStyle w:val="BodyText"/>
        <w:spacing w:line="276" w:lineRule="auto" w:before="161"/>
        <w:ind w:left="100" w:right="118"/>
        <w:jc w:val="both"/>
      </w:pPr>
      <w:r>
        <w:rPr/>
        <w:t>Η επένδυση διατηρείται στην περιοχή όπου χορηγείται η ενίσχυση για τουλάχιστον τρία (3) χρόνια, μετά  την ολοκλήρωση της επένδυσης. Αυτό δεν εμποδίζει την αντικατάσταση μονάδας ή εξοπλισμού που κατέστησαν παρωχημένα ή υπέστησαν βλάβες κατά την περίοδο αυτή, εφόσον η οικονομική δραστηριότητα διατηρείται στη συγκεκριμένη περιοχή κατά την ανωτέρω ελάχιστη απαιτούμενη περίοδο και κατόπιν έγκρισης του αιτήματος από το αρμόδιο όργανο παρακολούθησης της</w:t>
      </w:r>
      <w:r>
        <w:rPr>
          <w:spacing w:val="-13"/>
        </w:rPr>
        <w:t> </w:t>
      </w:r>
      <w:r>
        <w:rPr/>
        <w:t>πράξης.</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Heading4"/>
        <w:numPr>
          <w:ilvl w:val="1"/>
          <w:numId w:val="16"/>
        </w:numPr>
        <w:tabs>
          <w:tab w:pos="820" w:val="left" w:leader="none"/>
          <w:tab w:pos="821" w:val="left" w:leader="none"/>
        </w:tabs>
        <w:spacing w:line="240" w:lineRule="auto" w:before="57" w:after="0"/>
        <w:ind w:left="820" w:right="118" w:hanging="720"/>
        <w:jc w:val="left"/>
      </w:pPr>
      <w:bookmarkStart w:name="_TOC_250046" w:id="10"/>
      <w:r>
        <w:rPr/>
        <w:t>ΠΡΟΣΘΕΤΕΣ ΔΙΕΥΚΡΙΝΙΣΕΙΣ ΕΠΙΛΕΞΙΜΟΤΗΤΑΣ ΔΑΠΑΝΩΝ ΓΙΑ ΟΡΙΣΜΕΝΕΣ ΔΡΑΣΤΗΡΙΟΤΗΤΕΣ / ΚΑΤΗΓΟΡΙΕΣ</w:t>
      </w:r>
      <w:r>
        <w:rPr>
          <w:spacing w:val="-4"/>
        </w:rPr>
        <w:t> </w:t>
      </w:r>
      <w:bookmarkEnd w:id="10"/>
      <w:r>
        <w:rPr/>
        <w:t>ΔΑΠΑΝΩΝ.</w:t>
      </w:r>
    </w:p>
    <w:p>
      <w:pPr>
        <w:pStyle w:val="BodyText"/>
        <w:rPr>
          <w:b/>
        </w:rPr>
      </w:pPr>
    </w:p>
    <w:p>
      <w:pPr>
        <w:spacing w:before="161"/>
        <w:ind w:left="100" w:right="0" w:firstLine="0"/>
        <w:jc w:val="left"/>
        <w:rPr>
          <w:b/>
          <w:sz w:val="22"/>
        </w:rPr>
      </w:pPr>
      <w:r>
        <w:rPr>
          <w:b/>
          <w:sz w:val="22"/>
        </w:rPr>
        <w:t>Γενικές επισημάνσεις:</w:t>
      </w:r>
    </w:p>
    <w:p>
      <w:pPr>
        <w:pStyle w:val="ListParagraph"/>
        <w:numPr>
          <w:ilvl w:val="0"/>
          <w:numId w:val="18"/>
        </w:numPr>
        <w:tabs>
          <w:tab w:pos="814" w:val="left" w:leader="none"/>
        </w:tabs>
        <w:spacing w:line="276" w:lineRule="auto" w:before="132" w:after="0"/>
        <w:ind w:left="813" w:right="121" w:hanging="355"/>
        <w:jc w:val="both"/>
        <w:rPr>
          <w:sz w:val="22"/>
        </w:rPr>
      </w:pPr>
      <w:r>
        <w:rPr>
          <w:sz w:val="22"/>
        </w:rPr>
        <w:t>Δεν θεωρούνται επιλέξιμες οι δαπάνες που πραγματοποιούνται πριν από τον χρόνο έναρξης επιλεξιμότητας δαπανών όπως ορίζεται στην</w:t>
      </w:r>
      <w:r>
        <w:rPr>
          <w:spacing w:val="-12"/>
          <w:sz w:val="22"/>
        </w:rPr>
        <w:t> </w:t>
      </w:r>
      <w:r>
        <w:rPr>
          <w:sz w:val="22"/>
        </w:rPr>
        <w:t>παρούσα.</w:t>
      </w:r>
    </w:p>
    <w:p>
      <w:pPr>
        <w:pStyle w:val="ListParagraph"/>
        <w:numPr>
          <w:ilvl w:val="0"/>
          <w:numId w:val="18"/>
        </w:numPr>
        <w:tabs>
          <w:tab w:pos="814" w:val="left" w:leader="none"/>
        </w:tabs>
        <w:spacing w:line="276" w:lineRule="auto" w:before="120" w:after="0"/>
        <w:ind w:left="813" w:right="118" w:hanging="355"/>
        <w:jc w:val="both"/>
        <w:rPr>
          <w:sz w:val="22"/>
        </w:rPr>
      </w:pPr>
      <w:r>
        <w:rPr>
          <w:sz w:val="22"/>
        </w:rPr>
        <w:t>Για την περίπτωση τιμολογίων, που είναι ξενόγλωσσα (εκτός αγγλικής) και δυσκολεύουν την απόφαση για την επιλεξιμότητά τους μπορεί να ζητηθεί η μετάφραση τους στην ελληνική γλώσσα, από επίσημο φορέα. Επίσης, θα προσκομίζονται για την πιστοποίηση των δαπανών όλα τα συνοδευτικά έγγραφα και οι αντίστοιχες τραπεζικές συναλλαγές, ώστε να είναι δυνατή η ύπαρξη αξιόπιστης και επαρκούς διαδρομής ελέγχου για την προμήθεια, τη διακίνηση των προϊόντων και την εξόφληση του</w:t>
      </w:r>
      <w:r>
        <w:rPr>
          <w:spacing w:val="-5"/>
          <w:sz w:val="22"/>
        </w:rPr>
        <w:t> </w:t>
      </w:r>
      <w:r>
        <w:rPr>
          <w:sz w:val="22"/>
        </w:rPr>
        <w:t>προμηθευτή.</w:t>
      </w:r>
    </w:p>
    <w:p>
      <w:pPr>
        <w:pStyle w:val="ListParagraph"/>
        <w:numPr>
          <w:ilvl w:val="0"/>
          <w:numId w:val="18"/>
        </w:numPr>
        <w:tabs>
          <w:tab w:pos="814" w:val="left" w:leader="none"/>
        </w:tabs>
        <w:spacing w:line="276" w:lineRule="auto" w:before="120" w:after="0"/>
        <w:ind w:left="813" w:right="113" w:hanging="355"/>
        <w:jc w:val="both"/>
        <w:rPr>
          <w:sz w:val="22"/>
        </w:rPr>
      </w:pPr>
      <w:r>
        <w:rPr>
          <w:sz w:val="22"/>
        </w:rPr>
        <w:t>Για τον έλεγχο των τιμών, οι αρμόδιοι μπορούν να ελέγχουν τα στοιχεία αξίας των μηχανημάτων και εξοπλισμού και μπορεί να ζητούν από το δικαιούχο, τον προμηθευτικό οίκο ή και τρίτους πρόσθετα κατά την κρίση τους στοιχεία και πληροφορίες για εξακρίβωση της αξίας για τον έλεγχο των τιμών αυτών.</w:t>
      </w:r>
    </w:p>
    <w:p>
      <w:pPr>
        <w:pStyle w:val="ListParagraph"/>
        <w:numPr>
          <w:ilvl w:val="0"/>
          <w:numId w:val="18"/>
        </w:numPr>
        <w:tabs>
          <w:tab w:pos="814" w:val="left" w:leader="none"/>
        </w:tabs>
        <w:spacing w:line="276" w:lineRule="auto" w:before="120" w:after="0"/>
        <w:ind w:left="813" w:right="118" w:hanging="355"/>
        <w:jc w:val="both"/>
        <w:rPr>
          <w:sz w:val="22"/>
        </w:rPr>
      </w:pPr>
      <w:r>
        <w:rPr>
          <w:sz w:val="22"/>
        </w:rPr>
        <w:t>Για τον έλεγχο του κόστους των δαπανών της επένδυσης μπορούν να χρησιμοποιούνται από τους αρμόδιους κάθε είδους αποδεικτικά στοιχεία, όπως μέθοδοι κοστολόγησης κτιριακών και άλλων κατασκευαστικών εργασιών που θα λαμβάνουν υπόψη τη φύση και το είδος των συγκεκριμένων κτιριακών</w:t>
      </w:r>
      <w:r>
        <w:rPr>
          <w:spacing w:val="-2"/>
          <w:sz w:val="22"/>
        </w:rPr>
        <w:t> </w:t>
      </w:r>
      <w:r>
        <w:rPr>
          <w:sz w:val="22"/>
        </w:rPr>
        <w:t>κατασκευών.</w:t>
      </w:r>
    </w:p>
    <w:p>
      <w:pPr>
        <w:pStyle w:val="ListParagraph"/>
        <w:numPr>
          <w:ilvl w:val="0"/>
          <w:numId w:val="18"/>
        </w:numPr>
        <w:tabs>
          <w:tab w:pos="814" w:val="left" w:leader="none"/>
        </w:tabs>
        <w:spacing w:line="276" w:lineRule="auto" w:before="118" w:after="0"/>
        <w:ind w:left="813" w:right="114" w:hanging="355"/>
        <w:jc w:val="both"/>
        <w:rPr>
          <w:sz w:val="22"/>
        </w:rPr>
      </w:pPr>
      <w:r>
        <w:rPr>
          <w:sz w:val="22"/>
        </w:rPr>
        <w:t>Όλες οι δαπάνες θα εξετάζονται για την επιλεξιμότητά τους, το εύλογο του κόστους καθώς και για τη σκοπιμότητά τους σε σχέση με την επιχείρηση και το επενδυτικό σχέδιο κατά την πιστοποίησή τους. Σε περίπτωση που οι δαπάνες που πιστοποιούνται δεν κριθούν επιλέξιμες, εύλογες ή/και σχετικές με την επιλέξιμη δραστηριότητα της επιχείρησης κατά την πιστοποίηση τους, θα γίνεται δεκτό μόνο το ποσό που χαρακτηρίζεται ως επιλέξιμο, εύλογο και</w:t>
      </w:r>
      <w:r>
        <w:rPr>
          <w:spacing w:val="-16"/>
          <w:sz w:val="22"/>
        </w:rPr>
        <w:t> </w:t>
      </w:r>
      <w:r>
        <w:rPr>
          <w:sz w:val="22"/>
        </w:rPr>
        <w:t>σχετικό.</w:t>
      </w:r>
    </w:p>
    <w:p>
      <w:pPr>
        <w:pStyle w:val="ListParagraph"/>
        <w:numPr>
          <w:ilvl w:val="0"/>
          <w:numId w:val="18"/>
        </w:numPr>
        <w:tabs>
          <w:tab w:pos="814" w:val="left" w:leader="none"/>
        </w:tabs>
        <w:spacing w:line="273" w:lineRule="auto" w:before="120" w:after="0"/>
        <w:ind w:left="813" w:right="122" w:hanging="355"/>
        <w:jc w:val="both"/>
        <w:rPr>
          <w:sz w:val="22"/>
        </w:rPr>
      </w:pPr>
      <w:r>
        <w:rPr>
          <w:sz w:val="22"/>
        </w:rPr>
        <w:t>Δεν γίνονται αποδεκτές ως επιλέξιμες δαπάνες πάσης φύσεως παραστατικά αυτοτιμολόγησης σε περίπτωση λήψης υπηρεσιών (αποδείξεις δαπανών, τιμολόγια αυτοπαράδοσης</w:t>
      </w:r>
      <w:r>
        <w:rPr>
          <w:spacing w:val="-17"/>
          <w:sz w:val="22"/>
        </w:rPr>
        <w:t> </w:t>
      </w:r>
      <w:r>
        <w:rPr>
          <w:sz w:val="22"/>
        </w:rPr>
        <w:t>κ.ά.).</w:t>
      </w:r>
    </w:p>
    <w:p>
      <w:pPr>
        <w:pStyle w:val="ListParagraph"/>
        <w:numPr>
          <w:ilvl w:val="0"/>
          <w:numId w:val="18"/>
        </w:numPr>
        <w:tabs>
          <w:tab w:pos="814" w:val="left" w:leader="none"/>
        </w:tabs>
        <w:spacing w:line="276" w:lineRule="auto" w:before="123" w:after="0"/>
        <w:ind w:left="813" w:right="121" w:hanging="355"/>
        <w:jc w:val="both"/>
        <w:rPr>
          <w:sz w:val="22"/>
        </w:rPr>
      </w:pPr>
      <w:r>
        <w:rPr>
          <w:sz w:val="22"/>
        </w:rPr>
        <w:t>Συμβάσεις ή Ιδιωτικά Συμφωνητικά συντάσσονται, κατατίθενται στην φορολογική αρχή και προσκομίζονται υποχρεωτικά, όταν αυτό απαιτείται από τη Φορολογική</w:t>
      </w:r>
      <w:r>
        <w:rPr>
          <w:spacing w:val="-17"/>
          <w:sz w:val="22"/>
        </w:rPr>
        <w:t> </w:t>
      </w:r>
      <w:r>
        <w:rPr>
          <w:sz w:val="22"/>
        </w:rPr>
        <w:t>Νομοθεσία.</w:t>
      </w:r>
    </w:p>
    <w:p>
      <w:pPr>
        <w:pStyle w:val="ListParagraph"/>
        <w:numPr>
          <w:ilvl w:val="0"/>
          <w:numId w:val="18"/>
        </w:numPr>
        <w:tabs>
          <w:tab w:pos="821" w:val="left" w:leader="none"/>
        </w:tabs>
        <w:spacing w:line="276" w:lineRule="auto" w:before="119" w:after="0"/>
        <w:ind w:left="820" w:right="113" w:hanging="360"/>
        <w:jc w:val="both"/>
        <w:rPr>
          <w:sz w:val="22"/>
        </w:rPr>
      </w:pPr>
      <w:r>
        <w:rPr>
          <w:sz w:val="22"/>
        </w:rPr>
        <w:t>Σημειώνεται ότι </w:t>
      </w:r>
      <w:r>
        <w:rPr>
          <w:b/>
          <w:sz w:val="22"/>
        </w:rPr>
        <w:t>δεν </w:t>
      </w:r>
      <w:r>
        <w:rPr>
          <w:sz w:val="22"/>
        </w:rPr>
        <w:t>είναι επιλέξιμη η πρόσληψη συζύγων και συγγενών α’ και β’ βαθμού των εταίρων/ μετόχων της</w:t>
      </w:r>
      <w:r>
        <w:rPr>
          <w:spacing w:val="-3"/>
          <w:sz w:val="22"/>
        </w:rPr>
        <w:t> </w:t>
      </w:r>
      <w:r>
        <w:rPr>
          <w:sz w:val="22"/>
        </w:rPr>
        <w:t>επιχείρησης.</w:t>
      </w:r>
    </w:p>
    <w:p>
      <w:pPr>
        <w:pStyle w:val="ListParagraph"/>
        <w:numPr>
          <w:ilvl w:val="0"/>
          <w:numId w:val="18"/>
        </w:numPr>
        <w:tabs>
          <w:tab w:pos="821" w:val="left" w:leader="none"/>
        </w:tabs>
        <w:spacing w:line="276" w:lineRule="auto" w:before="120" w:after="0"/>
        <w:ind w:left="820" w:right="112" w:hanging="360"/>
        <w:jc w:val="both"/>
        <w:rPr>
          <w:sz w:val="22"/>
        </w:rPr>
      </w:pPr>
      <w:r>
        <w:rPr>
          <w:sz w:val="22"/>
        </w:rPr>
        <w:t>Δεν επιτρέπεται η συστέγαση επιχειρήσεων αν στο επενδυτικό σχέδιο περιέχονται δαπάνες για επενδύσεις σε κτηριακές εγκαταστάσεις. Με τον όρο συστέγαση νοείται η εγκατάσταση της επιχείρησης σε ίδιο, μη διακριτό χώρο με άλλη</w:t>
      </w:r>
      <w:r>
        <w:rPr>
          <w:spacing w:val="-12"/>
          <w:sz w:val="22"/>
        </w:rPr>
        <w:t> </w:t>
      </w:r>
      <w:r>
        <w:rPr>
          <w:sz w:val="22"/>
        </w:rPr>
        <w:t>επιχείρηση.</w:t>
      </w:r>
    </w:p>
    <w:p>
      <w:pPr>
        <w:pStyle w:val="BodyText"/>
      </w:pPr>
    </w:p>
    <w:p>
      <w:pPr>
        <w:pStyle w:val="BodyText"/>
        <w:spacing w:before="1"/>
        <w:rPr>
          <w:sz w:val="23"/>
        </w:rPr>
      </w:pPr>
    </w:p>
    <w:p>
      <w:pPr>
        <w:pStyle w:val="Heading4"/>
        <w:spacing w:line="357" w:lineRule="auto"/>
        <w:ind w:right="4213"/>
        <w:jc w:val="left"/>
      </w:pPr>
      <w:r>
        <w:rPr/>
        <w:t>α) Κόστος για επενδύσεις σε στοιχεία ενεργητικού Επενδύσεις σε κτιριακές εγκαταστάσεις</w:t>
      </w:r>
    </w:p>
    <w:p>
      <w:pPr>
        <w:pStyle w:val="BodyText"/>
        <w:spacing w:line="360" w:lineRule="auto" w:before="3"/>
        <w:ind w:left="100"/>
      </w:pPr>
      <w:r>
        <w:rPr/>
        <w:t>Επενδυτικές δαπάνες για κατασκευή, αναβάθμιση, διαμόρφωση κτιριακών υποδομών, για τη δημιουργία νέας  επιχειρηματικής  εγκατάστασης  ή  την  επέκταση  της  δυναμικότητας  υφιστάμενης   επιχειρηματικής</w:t>
      </w:r>
    </w:p>
    <w:p>
      <w:pPr>
        <w:spacing w:after="0" w:line="360" w:lineRule="auto"/>
        <w:sectPr>
          <w:pgSz w:w="11910" w:h="16840"/>
          <w:pgMar w:header="748" w:footer="734" w:top="1420" w:bottom="920" w:left="980" w:right="960"/>
        </w:sectPr>
      </w:pPr>
    </w:p>
    <w:p>
      <w:pPr>
        <w:pStyle w:val="BodyText"/>
        <w:spacing w:before="7"/>
        <w:rPr>
          <w:sz w:val="17"/>
        </w:rPr>
      </w:pPr>
    </w:p>
    <w:p>
      <w:pPr>
        <w:pStyle w:val="BodyText"/>
        <w:spacing w:line="360" w:lineRule="auto" w:before="57"/>
        <w:ind w:left="100" w:right="162"/>
      </w:pPr>
      <w:r>
        <w:rPr/>
        <w:t>εγκατάστασης ή τη διαφοροποίηση της παραγωγής μιας επιχειρηματικής εγκατάστασης σε νέα προϊόντα και</w:t>
      </w:r>
      <w:r>
        <w:rPr>
          <w:spacing w:val="1"/>
        </w:rPr>
        <w:t> </w:t>
      </w:r>
      <w:r>
        <w:rPr/>
        <w:t>υπηρεσίες.</w:t>
      </w:r>
    </w:p>
    <w:p>
      <w:pPr>
        <w:pStyle w:val="BodyText"/>
        <w:ind w:left="100"/>
        <w:jc w:val="both"/>
      </w:pPr>
      <w:r>
        <w:rPr/>
        <w:t>Οι κτιριακές επενδύσεις περιλαμβάνουν ενδεικτικά :</w:t>
      </w:r>
    </w:p>
    <w:p>
      <w:pPr>
        <w:pStyle w:val="ListParagraph"/>
        <w:numPr>
          <w:ilvl w:val="0"/>
          <w:numId w:val="19"/>
        </w:numPr>
        <w:tabs>
          <w:tab w:pos="384" w:val="left" w:leader="none"/>
        </w:tabs>
        <w:spacing w:line="276" w:lineRule="auto" w:before="159" w:after="0"/>
        <w:ind w:left="383" w:right="116" w:hanging="283"/>
        <w:jc w:val="both"/>
        <w:rPr>
          <w:rFonts w:ascii="Symbol" w:hAnsi="Symbol"/>
          <w:sz w:val="22"/>
        </w:rPr>
      </w:pPr>
      <w:r>
        <w:rPr>
          <w:sz w:val="22"/>
        </w:rPr>
        <w:t>Κτιριακές εργασίες, ηλεκτρομηχανολογικές εργασίες, εγκατάσταση δικτύων και ειδικές εγκαταστάσεις στους χώρους παραγωγής, αποθήκευσης και διάθεσης προϊόντων, εργαστηριακούς χώρους, χώρους παροχής υπηρεσιών και χώρους διοίκησης της</w:t>
      </w:r>
      <w:r>
        <w:rPr>
          <w:spacing w:val="-11"/>
          <w:sz w:val="22"/>
        </w:rPr>
        <w:t> </w:t>
      </w:r>
      <w:r>
        <w:rPr>
          <w:sz w:val="22"/>
        </w:rPr>
        <w:t>επιχείρησης.</w:t>
      </w:r>
    </w:p>
    <w:p>
      <w:pPr>
        <w:pStyle w:val="ListParagraph"/>
        <w:numPr>
          <w:ilvl w:val="0"/>
          <w:numId w:val="19"/>
        </w:numPr>
        <w:tabs>
          <w:tab w:pos="384" w:val="left" w:leader="none"/>
        </w:tabs>
        <w:spacing w:line="240" w:lineRule="auto" w:before="118" w:after="0"/>
        <w:ind w:left="383" w:right="0" w:hanging="283"/>
        <w:jc w:val="both"/>
        <w:rPr>
          <w:rFonts w:ascii="Symbol" w:hAnsi="Symbol"/>
          <w:sz w:val="22"/>
        </w:rPr>
      </w:pPr>
      <w:r>
        <w:rPr>
          <w:sz w:val="22"/>
        </w:rPr>
        <w:t>Εργασίες βελτίωσης, αναβάθμισης και διαμόρφωσης περιβάλλοντος</w:t>
      </w:r>
      <w:r>
        <w:rPr>
          <w:spacing w:val="-13"/>
          <w:sz w:val="22"/>
        </w:rPr>
        <w:t> </w:t>
      </w:r>
      <w:r>
        <w:rPr>
          <w:sz w:val="22"/>
        </w:rPr>
        <w:t>χώρου.</w:t>
      </w:r>
    </w:p>
    <w:p>
      <w:pPr>
        <w:pStyle w:val="ListParagraph"/>
        <w:numPr>
          <w:ilvl w:val="0"/>
          <w:numId w:val="19"/>
        </w:numPr>
        <w:tabs>
          <w:tab w:pos="384" w:val="left" w:leader="none"/>
        </w:tabs>
        <w:spacing w:line="276" w:lineRule="auto" w:before="161" w:after="0"/>
        <w:ind w:left="383" w:right="114" w:hanging="283"/>
        <w:jc w:val="both"/>
        <w:rPr>
          <w:rFonts w:ascii="Symbol" w:hAnsi="Symbol"/>
          <w:sz w:val="22"/>
        </w:rPr>
      </w:pPr>
      <w:r>
        <w:rPr>
          <w:sz w:val="22"/>
        </w:rPr>
        <w:t>Εργασίες προμήθειας και εγκατάστασης συστημάτων αυτοματοποίησης και ποιοτικού ελέγχου, που συνδέονται πάγια με τις κτιριακές υποδομές με τρόπο μόνιμο και σταθερό, ώστε ο διαχωρισμός τους να μην είναι εφικτός για χρήση σε άλλο</w:t>
      </w:r>
      <w:r>
        <w:rPr>
          <w:spacing w:val="-9"/>
          <w:sz w:val="22"/>
        </w:rPr>
        <w:t> </w:t>
      </w:r>
      <w:r>
        <w:rPr>
          <w:sz w:val="22"/>
        </w:rPr>
        <w:t>χώρο.</w:t>
      </w:r>
    </w:p>
    <w:p>
      <w:pPr>
        <w:pStyle w:val="ListParagraph"/>
        <w:numPr>
          <w:ilvl w:val="0"/>
          <w:numId w:val="19"/>
        </w:numPr>
        <w:tabs>
          <w:tab w:pos="384" w:val="left" w:leader="none"/>
        </w:tabs>
        <w:spacing w:line="276" w:lineRule="auto" w:before="121" w:after="0"/>
        <w:ind w:left="383" w:right="117" w:hanging="283"/>
        <w:jc w:val="both"/>
        <w:rPr>
          <w:rFonts w:ascii="Symbol" w:hAnsi="Symbol"/>
          <w:sz w:val="22"/>
        </w:rPr>
      </w:pPr>
      <w:r>
        <w:rPr>
          <w:sz w:val="22"/>
        </w:rPr>
        <w:t>Κατασκευές, διαμορφώσεις, επεκτάσεις, διαρρυθμίσεις των κτιριακών εγκαταστάσεων που αποβλέπουν στη διευκόλυνση πρόσβασης των ΑμεΑ, σύμφωνα με τις Οδηγίες Σχεδιασμού για ΑμεΑ «Σχεδιάζοντας για όλους» του</w:t>
      </w:r>
      <w:r>
        <w:rPr>
          <w:spacing w:val="-4"/>
          <w:sz w:val="22"/>
        </w:rPr>
        <w:t> </w:t>
      </w:r>
      <w:r>
        <w:rPr>
          <w:sz w:val="22"/>
        </w:rPr>
        <w:t>ΥΠΕΚΑ.</w:t>
      </w:r>
    </w:p>
    <w:p>
      <w:pPr>
        <w:pStyle w:val="BodyText"/>
      </w:pPr>
    </w:p>
    <w:p>
      <w:pPr>
        <w:pStyle w:val="BodyText"/>
        <w:spacing w:before="10"/>
      </w:pPr>
    </w:p>
    <w:p>
      <w:pPr>
        <w:pStyle w:val="BodyText"/>
        <w:spacing w:line="276" w:lineRule="auto" w:before="1"/>
        <w:ind w:left="100" w:right="117"/>
        <w:jc w:val="both"/>
      </w:pPr>
      <w:r>
        <w:rPr/>
        <w:t>Οι δαπάνες κατασκευής, αναβάθμισης, διαμόρφωσης κτιριακών εγκαταστάσεων προκύπτουν από υποβαλλόμενο φάκελο τεχνικών στοιχείων, υπογεγραμμένο από αρμόδιο / αρμόδιους μηχανικό / μηχανικούς και σύμφωνο με τις απαραίτητες εγκρίσεις και αδειοδοτήσεις, όπως ορίζει η κείμενη νομοθεσία.</w:t>
      </w:r>
    </w:p>
    <w:p>
      <w:pPr>
        <w:pStyle w:val="BodyText"/>
        <w:spacing w:line="276" w:lineRule="auto" w:before="118"/>
        <w:ind w:left="100"/>
      </w:pPr>
      <w:r>
        <w:rPr/>
        <w:t>Οι δαπάνες εργασιών πρέπει να γίνονται μετά την έκδοση των προβλεπόμενων από τη νομοθεσία αδειών, ειδάλλως θα είναι μη επιλέξιμες.</w:t>
      </w:r>
    </w:p>
    <w:p>
      <w:pPr>
        <w:pStyle w:val="BodyText"/>
        <w:spacing w:before="120"/>
        <w:ind w:left="100"/>
        <w:jc w:val="both"/>
      </w:pPr>
      <w:r>
        <w:rPr/>
        <w:t>Απαραίτητες προϋποθέσεις για την υλοποίηση των κτιριακών δαπανών είναι:</w:t>
      </w:r>
    </w:p>
    <w:p>
      <w:pPr>
        <w:pStyle w:val="ListParagraph"/>
        <w:numPr>
          <w:ilvl w:val="1"/>
          <w:numId w:val="19"/>
        </w:numPr>
        <w:tabs>
          <w:tab w:pos="821" w:val="left" w:leader="none"/>
        </w:tabs>
        <w:spacing w:line="276" w:lineRule="auto" w:before="159" w:after="0"/>
        <w:ind w:left="820" w:right="113" w:hanging="360"/>
        <w:jc w:val="both"/>
        <w:rPr>
          <w:rFonts w:ascii="Symbol" w:hAnsi="Symbol"/>
          <w:sz w:val="22"/>
        </w:rPr>
      </w:pPr>
      <w:r>
        <w:rPr>
          <w:sz w:val="22"/>
        </w:rPr>
        <w:t>η προσκόμιση της απαιτούμενης - σύμφωνα με τον ισχύοντα Οικοδομικό Κανονισμό - άδειας για τις εκτελούμενες</w:t>
      </w:r>
      <w:r>
        <w:rPr>
          <w:spacing w:val="-2"/>
          <w:sz w:val="22"/>
        </w:rPr>
        <w:t> </w:t>
      </w:r>
      <w:r>
        <w:rPr>
          <w:sz w:val="22"/>
        </w:rPr>
        <w:t>εργασίες.</w:t>
      </w:r>
    </w:p>
    <w:p>
      <w:pPr>
        <w:pStyle w:val="ListParagraph"/>
        <w:numPr>
          <w:ilvl w:val="1"/>
          <w:numId w:val="19"/>
        </w:numPr>
        <w:tabs>
          <w:tab w:pos="821" w:val="left" w:leader="none"/>
        </w:tabs>
        <w:spacing w:line="276" w:lineRule="auto" w:before="118" w:after="0"/>
        <w:ind w:left="820" w:right="115" w:hanging="360"/>
        <w:jc w:val="both"/>
        <w:rPr>
          <w:rFonts w:ascii="Symbol" w:hAnsi="Symbol"/>
          <w:sz w:val="22"/>
        </w:rPr>
      </w:pPr>
      <w:r>
        <w:rPr>
          <w:sz w:val="22"/>
        </w:rPr>
        <w:t>η ύπαρξη ιδιοκτησίας ή παραχώρησης χρήσης ή μίσθωση ή νόμιμη σύσταση επικαρπίας επί του ακινήτου σε ισχύ κατά το χρόνο πραγματοποίησης της δαπάνης </w:t>
      </w:r>
      <w:r>
        <w:rPr>
          <w:i/>
          <w:sz w:val="22"/>
        </w:rPr>
        <w:t>και για χρονικό διάστημα </w:t>
      </w:r>
      <w:r>
        <w:rPr>
          <w:i/>
          <w:sz w:val="22"/>
        </w:rPr>
        <w:t>τουλάχιστον οκτώ (8) ετών</w:t>
      </w:r>
      <w:r>
        <w:rPr>
          <w:sz w:val="22"/>
        </w:rPr>
        <w:t>. Η περίοδος της οκταετίας υπολογίζεται από την ημερομηνία έκδοσης της Απόφασης Ένταξης της επένδυσης. Η ιδιοκτησία, η μίσθωση, η σύσταση επικαρπίας ή η παραχώρηση χρήσης θα πρέπει να καταδεικνύεται με το 1ο αίτημα πιστοποίησης και πριν την καταβολή της δημόσιας</w:t>
      </w:r>
      <w:r>
        <w:rPr>
          <w:spacing w:val="-11"/>
          <w:sz w:val="22"/>
        </w:rPr>
        <w:t> </w:t>
      </w:r>
      <w:r>
        <w:rPr>
          <w:sz w:val="22"/>
        </w:rPr>
        <w:t>επιχορήγησης.</w:t>
      </w:r>
    </w:p>
    <w:p>
      <w:pPr>
        <w:pStyle w:val="BodyText"/>
        <w:spacing w:before="118"/>
        <w:ind w:left="100"/>
        <w:jc w:val="both"/>
      </w:pPr>
      <w:r>
        <w:rPr/>
        <w:t>Σημειώνεται ότι:</w:t>
      </w:r>
    </w:p>
    <w:p>
      <w:pPr>
        <w:pStyle w:val="ListParagraph"/>
        <w:numPr>
          <w:ilvl w:val="1"/>
          <w:numId w:val="19"/>
        </w:numPr>
        <w:tabs>
          <w:tab w:pos="821" w:val="left" w:leader="none"/>
        </w:tabs>
        <w:spacing w:line="276" w:lineRule="auto" w:before="161" w:after="0"/>
        <w:ind w:left="820" w:right="117" w:hanging="360"/>
        <w:jc w:val="both"/>
        <w:rPr>
          <w:rFonts w:ascii="Symbol" w:hAnsi="Symbol"/>
          <w:sz w:val="22"/>
        </w:rPr>
      </w:pPr>
      <w:r>
        <w:rPr>
          <w:sz w:val="22"/>
        </w:rPr>
        <w:t>Δεν είναι επιλέξιμες οι εργοδοτικές εισφορές για κατασκευαστικές εργασίες καθώς και οι δαπάνες που αφορούν σε δασμούς, φόρους,</w:t>
      </w:r>
      <w:r>
        <w:rPr>
          <w:spacing w:val="-10"/>
          <w:sz w:val="22"/>
        </w:rPr>
        <w:t> </w:t>
      </w:r>
      <w:r>
        <w:rPr>
          <w:sz w:val="22"/>
        </w:rPr>
        <w:t>τέλη.</w:t>
      </w:r>
    </w:p>
    <w:p>
      <w:pPr>
        <w:pStyle w:val="ListParagraph"/>
        <w:numPr>
          <w:ilvl w:val="1"/>
          <w:numId w:val="19"/>
        </w:numPr>
        <w:tabs>
          <w:tab w:pos="821" w:val="left" w:leader="none"/>
        </w:tabs>
        <w:spacing w:line="276" w:lineRule="auto" w:before="118" w:after="0"/>
        <w:ind w:left="820" w:right="120" w:hanging="360"/>
        <w:jc w:val="both"/>
        <w:rPr>
          <w:rFonts w:ascii="Symbol" w:hAnsi="Symbol"/>
          <w:sz w:val="22"/>
        </w:rPr>
      </w:pPr>
      <w:r>
        <w:rPr>
          <w:sz w:val="22"/>
        </w:rPr>
        <w:t>Δεν είναι επιλέξιμες οι υποχρεωτικές και σχετιζόμενες είτε με την έκδοση αδειών είτε με την επίβλεψη</w:t>
      </w:r>
      <w:r>
        <w:rPr>
          <w:spacing w:val="1"/>
          <w:sz w:val="22"/>
        </w:rPr>
        <w:t> </w:t>
      </w:r>
      <w:r>
        <w:rPr>
          <w:sz w:val="22"/>
        </w:rPr>
        <w:t>δαπάνες.</w:t>
      </w:r>
    </w:p>
    <w:p>
      <w:pPr>
        <w:pStyle w:val="ListParagraph"/>
        <w:numPr>
          <w:ilvl w:val="1"/>
          <w:numId w:val="19"/>
        </w:numPr>
        <w:tabs>
          <w:tab w:pos="821" w:val="left" w:leader="none"/>
        </w:tabs>
        <w:spacing w:line="273" w:lineRule="auto" w:before="121" w:after="0"/>
        <w:ind w:left="820" w:right="115" w:hanging="360"/>
        <w:jc w:val="both"/>
        <w:rPr>
          <w:rFonts w:ascii="Symbol" w:hAnsi="Symbol"/>
          <w:sz w:val="22"/>
        </w:rPr>
      </w:pPr>
      <w:r>
        <w:rPr>
          <w:sz w:val="22"/>
        </w:rPr>
        <w:t>Δεν είναι επιλέξιμες στην παρούσα Κατηγορία δαπάνες μελετών ανακαίνισης, διακόσμησης και λοιπές παρεμφερείς δαπάνες</w:t>
      </w:r>
      <w:r>
        <w:rPr>
          <w:spacing w:val="-9"/>
          <w:sz w:val="22"/>
        </w:rPr>
        <w:t> </w:t>
      </w:r>
      <w:r>
        <w:rPr>
          <w:sz w:val="22"/>
        </w:rPr>
        <w:t>μελετών.</w:t>
      </w:r>
    </w:p>
    <w:p>
      <w:pPr>
        <w:spacing w:after="0" w:line="273" w:lineRule="auto"/>
        <w:jc w:val="both"/>
        <w:rPr>
          <w:rFonts w:ascii="Symbol" w:hAnsi="Symbol"/>
          <w:sz w:val="22"/>
        </w:rPr>
        <w:sectPr>
          <w:pgSz w:w="11910" w:h="16840"/>
          <w:pgMar w:header="748" w:footer="734" w:top="1420" w:bottom="920" w:left="980" w:right="960"/>
        </w:sectPr>
      </w:pPr>
    </w:p>
    <w:p>
      <w:pPr>
        <w:pStyle w:val="BodyText"/>
        <w:spacing w:before="7"/>
        <w:rPr>
          <w:sz w:val="17"/>
        </w:rPr>
      </w:pPr>
    </w:p>
    <w:p>
      <w:pPr>
        <w:pStyle w:val="Heading4"/>
        <w:spacing w:before="57"/>
      </w:pPr>
      <w:r>
        <w:rPr/>
        <w:t>Μηχανήματα – εξοπλισμός</w:t>
      </w:r>
    </w:p>
    <w:p>
      <w:pPr>
        <w:pStyle w:val="BodyText"/>
        <w:spacing w:line="276" w:lineRule="auto" w:before="134"/>
        <w:ind w:left="100" w:right="112"/>
        <w:jc w:val="both"/>
      </w:pPr>
      <w:r>
        <w:rPr/>
        <w:t>Επενδυτικές δαπάνες για απόκτηση ή χρηματοδοτική μίσθωση μηχανημάτων και εξοπλισμού, πάγιων στοιχείων για τον εκσυγχρονισμό ή την επέκταση της επιχειρηματικής εγκατάστασης ή την επέκταση της δυναμικότητας της υφιστάμενης επιχειρηματικής εγκατάστασης ή τη διαφοροποίηση της παραγωγής μιας επιχειρηματικής εγκατάστασης σε νέα προϊόντα και υπηρεσίες.</w:t>
      </w:r>
    </w:p>
    <w:p>
      <w:pPr>
        <w:pStyle w:val="BodyText"/>
        <w:spacing w:line="276" w:lineRule="auto" w:before="120"/>
        <w:ind w:left="100" w:right="119"/>
        <w:jc w:val="both"/>
      </w:pPr>
      <w:r>
        <w:rPr/>
        <w:t>Εξοπλισμός που αποτελεί πάγιο στοιχείο θεωρείται κάθε στοιχείο το οποίο με κατάλληλη χρήση και συντήρηση έχει ωφέλιμη διάρκεια χρήσης μεγαλύτερη του ενός έτους, διατηρεί το αρχικό του σχήμα και εμφάνιση κατά τη χρήση, δεν χάνει την ταυτότητά του με ενσωμάτωση σε άλλο ή πιο σύνθετο στοιχείο και καταχωρίζεται, κατά περίπτωση, στο μητρώο παγίων και δέχεται αποσβέσεις.</w:t>
      </w:r>
    </w:p>
    <w:p>
      <w:pPr>
        <w:pStyle w:val="BodyText"/>
        <w:spacing w:line="276" w:lineRule="auto" w:before="119"/>
        <w:ind w:left="100" w:right="113"/>
        <w:jc w:val="both"/>
      </w:pPr>
      <w:r>
        <w:rPr/>
        <w:t>Τα μηχανήματα – εξοπλισμός πρέπει να είναι σύγχρονης τεχνολογίας, καινούργια και αμεταχείριστα. Για το λόγο, αυτό οι επιχειρήσεις θα πρέπει να προσκομίζουν σχετική βεβαίωση του οίκου κατασκευής ή του προμηθευτή.</w:t>
      </w:r>
    </w:p>
    <w:p>
      <w:pPr>
        <w:pStyle w:val="BodyText"/>
        <w:spacing w:line="276" w:lineRule="auto" w:before="118"/>
        <w:ind w:left="100" w:right="122"/>
        <w:jc w:val="both"/>
      </w:pPr>
      <w:r>
        <w:rPr/>
        <w:t>Οι δαπάνες προμήθειας περιλαμβάνουν και το κόστος μεταφοράς και εγκατάστασης, παραμετροποίησης και εκπαίδευσης για τη χρήση του εξοπλισμού.</w:t>
      </w:r>
    </w:p>
    <w:p>
      <w:pPr>
        <w:pStyle w:val="BodyText"/>
        <w:spacing w:before="120"/>
        <w:ind w:left="100"/>
        <w:jc w:val="both"/>
      </w:pPr>
      <w:r>
        <w:rPr/>
        <w:t>Οι επενδυτικές δαπάνες μηχανολογικού και λοιπού εξοπλισμού περιλαμβάνουν ενδεικτικά:</w:t>
      </w:r>
    </w:p>
    <w:p>
      <w:pPr>
        <w:pStyle w:val="ListParagraph"/>
        <w:numPr>
          <w:ilvl w:val="0"/>
          <w:numId w:val="20"/>
        </w:numPr>
        <w:tabs>
          <w:tab w:pos="527" w:val="left" w:leader="none"/>
          <w:tab w:pos="528" w:val="left" w:leader="none"/>
        </w:tabs>
        <w:spacing w:line="276" w:lineRule="auto" w:before="159" w:after="0"/>
        <w:ind w:left="527" w:right="118" w:hanging="427"/>
        <w:jc w:val="left"/>
        <w:rPr>
          <w:sz w:val="22"/>
        </w:rPr>
      </w:pPr>
      <w:r>
        <w:rPr>
          <w:sz w:val="22"/>
        </w:rPr>
        <w:t>Προμήθεια και χρηματοδοτική μίσθωση μηχανολογικού και λοιπού εξοπλισμού για την παραγωγή, αποθήκευση, συντήρηση και διάθεση</w:t>
      </w:r>
      <w:r>
        <w:rPr>
          <w:spacing w:val="-5"/>
          <w:sz w:val="22"/>
        </w:rPr>
        <w:t> </w:t>
      </w:r>
      <w:r>
        <w:rPr>
          <w:sz w:val="22"/>
        </w:rPr>
        <w:t>προϊόντων.</w:t>
      </w:r>
    </w:p>
    <w:p>
      <w:pPr>
        <w:pStyle w:val="ListParagraph"/>
        <w:numPr>
          <w:ilvl w:val="0"/>
          <w:numId w:val="20"/>
        </w:numPr>
        <w:tabs>
          <w:tab w:pos="527" w:val="left" w:leader="none"/>
          <w:tab w:pos="528" w:val="left" w:leader="none"/>
        </w:tabs>
        <w:spacing w:line="273" w:lineRule="auto" w:before="121" w:after="0"/>
        <w:ind w:left="527" w:right="122" w:hanging="427"/>
        <w:jc w:val="left"/>
        <w:rPr>
          <w:sz w:val="22"/>
        </w:rPr>
      </w:pPr>
      <w:r>
        <w:rPr>
          <w:sz w:val="22"/>
        </w:rPr>
        <w:t>Προμήθεια και χρηματοδοτική μίσθωση εργαστηριακού εξοπλισμού για τον ποιοτικό έλεγχο της παραγωγής.</w:t>
      </w:r>
    </w:p>
    <w:p>
      <w:pPr>
        <w:pStyle w:val="ListParagraph"/>
        <w:numPr>
          <w:ilvl w:val="0"/>
          <w:numId w:val="20"/>
        </w:numPr>
        <w:tabs>
          <w:tab w:pos="527" w:val="left" w:leader="none"/>
          <w:tab w:pos="528" w:val="left" w:leader="none"/>
        </w:tabs>
        <w:spacing w:line="276" w:lineRule="auto" w:before="123" w:after="0"/>
        <w:ind w:left="527" w:right="118" w:hanging="427"/>
        <w:jc w:val="left"/>
        <w:rPr>
          <w:sz w:val="22"/>
        </w:rPr>
      </w:pPr>
      <w:r>
        <w:rPr>
          <w:sz w:val="22"/>
        </w:rPr>
        <w:t>Προμήθεια και χρηματοδοτική μίσθωση συστημάτων αυτοματοποίησης και ποιοτικού ελέγχου παραγωγικής διαδικασίας.</w:t>
      </w:r>
    </w:p>
    <w:p>
      <w:pPr>
        <w:pStyle w:val="ListParagraph"/>
        <w:numPr>
          <w:ilvl w:val="0"/>
          <w:numId w:val="20"/>
        </w:numPr>
        <w:tabs>
          <w:tab w:pos="528" w:val="left" w:leader="none"/>
        </w:tabs>
        <w:spacing w:line="240" w:lineRule="auto" w:before="118" w:after="0"/>
        <w:ind w:left="527" w:right="0" w:hanging="427"/>
        <w:jc w:val="both"/>
        <w:rPr>
          <w:sz w:val="22"/>
        </w:rPr>
      </w:pPr>
      <w:r>
        <w:rPr>
          <w:sz w:val="22"/>
        </w:rPr>
        <w:t>Προμήθεια και χρηματοδοτική μίσθωση ειδικού εξοπλισμού για την ανάπτυξη</w:t>
      </w:r>
      <w:r>
        <w:rPr>
          <w:spacing w:val="-13"/>
          <w:sz w:val="22"/>
        </w:rPr>
        <w:t> </w:t>
      </w:r>
      <w:r>
        <w:rPr>
          <w:sz w:val="22"/>
        </w:rPr>
        <w:t>υπηρεσιών.</w:t>
      </w:r>
    </w:p>
    <w:p>
      <w:pPr>
        <w:pStyle w:val="ListParagraph"/>
        <w:numPr>
          <w:ilvl w:val="0"/>
          <w:numId w:val="20"/>
        </w:numPr>
        <w:tabs>
          <w:tab w:pos="528" w:val="left" w:leader="none"/>
        </w:tabs>
        <w:spacing w:line="240" w:lineRule="auto" w:before="161" w:after="0"/>
        <w:ind w:left="527" w:right="0" w:hanging="427"/>
        <w:jc w:val="both"/>
        <w:rPr>
          <w:sz w:val="22"/>
        </w:rPr>
      </w:pPr>
      <w:r>
        <w:rPr>
          <w:sz w:val="22"/>
        </w:rPr>
        <w:t>Προμήθεια και χρηματοδοτική μίσθωση συστημάτων πληροφορικής και</w:t>
      </w:r>
      <w:r>
        <w:rPr>
          <w:spacing w:val="-15"/>
          <w:sz w:val="22"/>
        </w:rPr>
        <w:t> </w:t>
      </w:r>
      <w:r>
        <w:rPr>
          <w:sz w:val="22"/>
        </w:rPr>
        <w:t>δικτυώσεων.</w:t>
      </w:r>
    </w:p>
    <w:p>
      <w:pPr>
        <w:pStyle w:val="BodyText"/>
        <w:rPr>
          <w:sz w:val="28"/>
        </w:rPr>
      </w:pPr>
    </w:p>
    <w:p>
      <w:pPr>
        <w:pStyle w:val="BodyText"/>
        <w:spacing w:line="276" w:lineRule="auto" w:before="246"/>
        <w:ind w:left="100" w:right="115"/>
        <w:jc w:val="both"/>
      </w:pPr>
      <w:r>
        <w:rPr/>
        <w:t>Οι δαπάνες συντήρησης και επισκευής εξοπλισμού, που χρησιμοποιείται ήδη από την επιχείρηση, δεν είναι επιλέξιμες.</w:t>
      </w:r>
    </w:p>
    <w:p>
      <w:pPr>
        <w:pStyle w:val="BodyText"/>
        <w:spacing w:line="276" w:lineRule="auto" w:before="119"/>
        <w:ind w:left="100" w:right="115"/>
        <w:jc w:val="both"/>
        <w:rPr>
          <w:b/>
        </w:rPr>
      </w:pPr>
      <w:r>
        <w:rPr/>
        <w:t>Οι δαπάνες προμήθειας ανταλλακτικών είναι επιλέξιμες εφόσον αυτά είναι παρελκόμενα των κύριων εξαρτημάτων του εξοπλισμού, που προμηθεύεται, αποτελούν δηλαδή αναπόσπαστο τμήμα του για την ομαλή λειτουργία του σύμφωνα με της όρους προμήθειας του εξοπλισμού που προσφέρει ο προμηθευτής και δεν υπερβαίνουν, σε ποσοστό, το 10% της δαπάνης απόκτησης του υπό προμήθεια εξοπλισμού. Θα ελέγχεται μέσω του Παραρτήματος </w:t>
      </w:r>
      <w:r>
        <w:rPr>
          <w:b/>
        </w:rPr>
        <w:t>Ι.2.</w:t>
      </w:r>
    </w:p>
    <w:p>
      <w:pPr>
        <w:pStyle w:val="BodyText"/>
        <w:spacing w:line="276" w:lineRule="auto" w:before="120"/>
        <w:ind w:left="100" w:right="122"/>
        <w:jc w:val="both"/>
      </w:pPr>
      <w:r>
        <w:rPr/>
        <w:t>Η χρηματοδοτική μίσθωση εξοπλισμού είναι επιλέξιμη όταν περιλαμβάνει υποχρέωση αγοράς του πάγιου στοιχείου, που αποτελεί το αντικείμενο της σύμβασης της χρηματοδοτικής μίσθωσης μετά την λήξη της περιόδου μίσθωσης και με την τήρηση των εξής όρων:</w:t>
      </w:r>
    </w:p>
    <w:p>
      <w:pPr>
        <w:pStyle w:val="ListParagraph"/>
        <w:numPr>
          <w:ilvl w:val="0"/>
          <w:numId w:val="21"/>
        </w:numPr>
        <w:tabs>
          <w:tab w:pos="837" w:val="left" w:leader="none"/>
          <w:tab w:pos="838" w:val="left" w:leader="none"/>
        </w:tabs>
        <w:spacing w:line="240" w:lineRule="auto" w:before="120" w:after="0"/>
        <w:ind w:left="837" w:right="0" w:hanging="466"/>
        <w:jc w:val="left"/>
        <w:rPr>
          <w:sz w:val="22"/>
        </w:rPr>
      </w:pPr>
      <w:r>
        <w:rPr>
          <w:sz w:val="22"/>
        </w:rPr>
        <w:t>ο μισθωτής είναι ο άμεσος δικαιούχος της κοινοτικής</w:t>
      </w:r>
      <w:r>
        <w:rPr>
          <w:spacing w:val="-17"/>
          <w:sz w:val="22"/>
        </w:rPr>
        <w:t> </w:t>
      </w:r>
      <w:r>
        <w:rPr>
          <w:sz w:val="22"/>
        </w:rPr>
        <w:t>συγχρηματοδότησης,</w:t>
      </w:r>
    </w:p>
    <w:p>
      <w:pPr>
        <w:pStyle w:val="ListParagraph"/>
        <w:numPr>
          <w:ilvl w:val="0"/>
          <w:numId w:val="21"/>
        </w:numPr>
        <w:tabs>
          <w:tab w:pos="838" w:val="left" w:leader="none"/>
        </w:tabs>
        <w:spacing w:line="276" w:lineRule="auto" w:before="161" w:after="0"/>
        <w:ind w:left="837" w:right="122" w:hanging="516"/>
        <w:jc w:val="both"/>
        <w:rPr>
          <w:sz w:val="22"/>
        </w:rPr>
      </w:pPr>
      <w:r>
        <w:rPr>
          <w:sz w:val="22"/>
        </w:rPr>
        <w:t>τα μισθώματα που καταβάλλει ο μισθωτής στον εκμισθωτή, συνοδευόμενα από εξοφλημένο τιμολόγιο ή λογιστικό έγγραφο ισοδύναμης αποδεικτικής ισχύος, αποτελούν τη δαπάνη που είναι επιλέξιμη για</w:t>
      </w:r>
      <w:r>
        <w:rPr>
          <w:spacing w:val="-6"/>
          <w:sz w:val="22"/>
        </w:rPr>
        <w:t> </w:t>
      </w:r>
      <w:r>
        <w:rPr>
          <w:sz w:val="22"/>
        </w:rPr>
        <w:t>συγχρηματοδότηση,</w:t>
      </w:r>
    </w:p>
    <w:p>
      <w:pPr>
        <w:spacing w:after="0" w:line="276" w:lineRule="auto"/>
        <w:jc w:val="both"/>
        <w:rPr>
          <w:sz w:val="22"/>
        </w:rPr>
        <w:sectPr>
          <w:pgSz w:w="11910" w:h="16840"/>
          <w:pgMar w:header="748" w:footer="734" w:top="1420" w:bottom="920" w:left="980" w:right="960"/>
        </w:sectPr>
      </w:pPr>
    </w:p>
    <w:p>
      <w:pPr>
        <w:pStyle w:val="BodyText"/>
        <w:spacing w:before="7"/>
        <w:rPr>
          <w:sz w:val="17"/>
        </w:rPr>
      </w:pPr>
    </w:p>
    <w:p>
      <w:pPr>
        <w:pStyle w:val="ListParagraph"/>
        <w:numPr>
          <w:ilvl w:val="0"/>
          <w:numId w:val="21"/>
        </w:numPr>
        <w:tabs>
          <w:tab w:pos="838" w:val="left" w:leader="none"/>
        </w:tabs>
        <w:spacing w:line="276" w:lineRule="auto" w:before="57" w:after="0"/>
        <w:ind w:left="837" w:right="115" w:hanging="567"/>
        <w:jc w:val="both"/>
        <w:rPr>
          <w:sz w:val="22"/>
        </w:rPr>
      </w:pPr>
      <w:r>
        <w:rPr>
          <w:sz w:val="22"/>
        </w:rPr>
        <w:t>στη σύμβαση χρηματοδοτικής μίσθωσης που περιλαμβάνει ρήτρα αγοράς του πάγιου στοιχείου που αποτελεί το αντικείμενο της σύμβασης της χρηματοδοτικής μίσθωσης, το ανώτατο ποσό που είναι επιλέξιμο για τη κοινοτική συγχρηματοδότηση δεν πρέπει να υπερβαίνει την καθαρή αγοραία αξία του εκμισθούμενου πάγιου στοιχείου. Οι άλλες δαπάνες που σχετίζονται με τη σύμβαση χρηματοδοτικής μίσθωσης (φόροι, περιθώριο κέρδους του εκμισθωτή, κόστος  αναχρηματοδότησης, γενικά έξοδα, έξοδα ασφαλίσεων κ.λπ.) δεν είναι</w:t>
      </w:r>
      <w:r>
        <w:rPr>
          <w:spacing w:val="-14"/>
          <w:sz w:val="22"/>
        </w:rPr>
        <w:t> </w:t>
      </w:r>
      <w:r>
        <w:rPr>
          <w:sz w:val="22"/>
        </w:rPr>
        <w:t>επιλέξιμες,</w:t>
      </w:r>
    </w:p>
    <w:p>
      <w:pPr>
        <w:pStyle w:val="ListParagraph"/>
        <w:numPr>
          <w:ilvl w:val="0"/>
          <w:numId w:val="21"/>
        </w:numPr>
        <w:tabs>
          <w:tab w:pos="838" w:val="left" w:leader="none"/>
        </w:tabs>
        <w:spacing w:line="276" w:lineRule="auto" w:before="120" w:after="0"/>
        <w:ind w:left="837" w:right="121" w:hanging="565"/>
        <w:jc w:val="both"/>
        <w:rPr>
          <w:sz w:val="22"/>
        </w:rPr>
      </w:pPr>
      <w:r>
        <w:rPr>
          <w:sz w:val="22"/>
        </w:rPr>
        <w:t>η ενίσχυση για τις συμβάσεις χρηματοδοτικής μίσθωσης καταβάλλεται στον μισθωτή σε μία ή περισσότερες δόσεις ανάλογα με τα μισθώματα, που έχουν πραγματικά</w:t>
      </w:r>
      <w:r>
        <w:rPr>
          <w:spacing w:val="-19"/>
          <w:sz w:val="22"/>
        </w:rPr>
        <w:t> </w:t>
      </w:r>
      <w:r>
        <w:rPr>
          <w:sz w:val="22"/>
        </w:rPr>
        <w:t>καταβληθεί,</w:t>
      </w:r>
    </w:p>
    <w:p>
      <w:pPr>
        <w:pStyle w:val="ListParagraph"/>
        <w:numPr>
          <w:ilvl w:val="0"/>
          <w:numId w:val="21"/>
        </w:numPr>
        <w:tabs>
          <w:tab w:pos="838" w:val="left" w:leader="none"/>
        </w:tabs>
        <w:spacing w:line="276" w:lineRule="auto" w:before="120" w:after="0"/>
        <w:ind w:left="837" w:right="114" w:hanging="514"/>
        <w:jc w:val="both"/>
        <w:rPr>
          <w:sz w:val="22"/>
        </w:rPr>
      </w:pPr>
      <w:r>
        <w:rPr>
          <w:sz w:val="22"/>
        </w:rPr>
        <w:t>ωστόσο ο μισθωτής πρέπει να αποδεικνύει ότι η χρηματοδοτική μίσθωση είναι η πλέον αποτελεσματική από πλευράς κόστους μέθοδος για την απόκτηση της χρήσης του εξοπλισμού. Εάν η χρησιμοποίηση εναλλακτικής μεθόδου συνεπαγόταν χαμηλότερο κόστος, το επιπλέον κόστος αφαιρείται από την επιλέξιμη</w:t>
      </w:r>
      <w:r>
        <w:rPr>
          <w:spacing w:val="-6"/>
          <w:sz w:val="22"/>
        </w:rPr>
        <w:t> </w:t>
      </w:r>
      <w:r>
        <w:rPr>
          <w:sz w:val="22"/>
        </w:rPr>
        <w:t>δαπάνη.</w:t>
      </w:r>
    </w:p>
    <w:p>
      <w:pPr>
        <w:pStyle w:val="BodyText"/>
        <w:spacing w:line="276" w:lineRule="auto" w:before="118"/>
        <w:ind w:left="100" w:right="115"/>
        <w:jc w:val="both"/>
      </w:pPr>
      <w:r>
        <w:rPr/>
        <w:t>Η αγορά οχημάτων επαγγελματικής χρήσης σχετικής με το αντικείμενο δραστηριότητας της επιχείρησης είναι επιλέξιμη, υπό την προϋπόθεση ότι οι επιχειρήσεις θα χρησιμοποιήσουν τα οχήματα για ίδιες ανάγκες στο πλαίσιο του επενδυτικού σχεδίου που υποβάλουν στην παρούσα πρόσκληση. Επιπλέον, για τις επιχειρήσεις του τομέα οδικών εμπορευματικών μεταφορών δεν είναι επιλέξιμη η απόκτηση οχήματος, σύμφωνα με τον Καν. ΕΕ 1407/2013.</w:t>
      </w:r>
    </w:p>
    <w:p>
      <w:pPr>
        <w:pStyle w:val="BodyText"/>
      </w:pPr>
    </w:p>
    <w:p>
      <w:pPr>
        <w:pStyle w:val="BodyText"/>
        <w:spacing w:before="10"/>
      </w:pPr>
    </w:p>
    <w:p>
      <w:pPr>
        <w:pStyle w:val="Heading4"/>
        <w:spacing w:before="1"/>
        <w:jc w:val="left"/>
      </w:pPr>
      <w:r>
        <w:rPr/>
        <w:t>Άυλα στοιχεία ενεργητικού</w:t>
      </w:r>
    </w:p>
    <w:p>
      <w:pPr>
        <w:pStyle w:val="BodyText"/>
        <w:spacing w:line="276" w:lineRule="auto" w:before="135"/>
        <w:ind w:left="100" w:right="162"/>
      </w:pPr>
      <w:r>
        <w:rPr/>
        <w:t>Επενδύσεις για την απόκτηση στοιχείων ενεργητικού, που δεν έχουν φυσική ή χρηματοοικονομική υπόσταση. Αναφέρονται σε δαπάνες διαφορετικές από τις δαπάνες για καινοτομία.</w:t>
      </w:r>
    </w:p>
    <w:p>
      <w:pPr>
        <w:pStyle w:val="BodyText"/>
        <w:spacing w:line="273" w:lineRule="auto" w:before="120"/>
        <w:ind w:left="100"/>
      </w:pPr>
      <w:r>
        <w:rPr/>
        <w:t>Οι επενδυτικές δαπάνες άυλων στοιχείων ενεργητικού περιλαμβάνουν ενδεικτικά δαπάνες που σχετίζονται με:</w:t>
      </w:r>
    </w:p>
    <w:p>
      <w:pPr>
        <w:pStyle w:val="ListParagraph"/>
        <w:numPr>
          <w:ilvl w:val="0"/>
          <w:numId w:val="20"/>
        </w:numPr>
        <w:tabs>
          <w:tab w:pos="527" w:val="left" w:leader="none"/>
          <w:tab w:pos="528" w:val="left" w:leader="none"/>
        </w:tabs>
        <w:spacing w:line="240" w:lineRule="auto" w:before="123" w:after="0"/>
        <w:ind w:left="527" w:right="0" w:hanging="427"/>
        <w:jc w:val="left"/>
        <w:rPr>
          <w:sz w:val="22"/>
        </w:rPr>
      </w:pPr>
      <w:r>
        <w:rPr>
          <w:sz w:val="22"/>
        </w:rPr>
        <w:t>Συστήματα διασφάλισης</w:t>
      </w:r>
      <w:r>
        <w:rPr>
          <w:spacing w:val="-6"/>
          <w:sz w:val="22"/>
        </w:rPr>
        <w:t> </w:t>
      </w:r>
      <w:r>
        <w:rPr>
          <w:sz w:val="22"/>
        </w:rPr>
        <w:t>ποιότητας</w:t>
      </w:r>
    </w:p>
    <w:p>
      <w:pPr>
        <w:pStyle w:val="ListParagraph"/>
        <w:numPr>
          <w:ilvl w:val="0"/>
          <w:numId w:val="20"/>
        </w:numPr>
        <w:tabs>
          <w:tab w:pos="527" w:val="left" w:leader="none"/>
          <w:tab w:pos="528" w:val="left" w:leader="none"/>
        </w:tabs>
        <w:spacing w:line="240" w:lineRule="auto" w:before="159" w:after="0"/>
        <w:ind w:left="527" w:right="0" w:hanging="427"/>
        <w:jc w:val="left"/>
        <w:rPr>
          <w:sz w:val="22"/>
        </w:rPr>
      </w:pPr>
      <w:r>
        <w:rPr>
          <w:sz w:val="22"/>
        </w:rPr>
        <w:t>Το σχεδιασμό, την πιστοποίηση και τη συσκευασία / ετικέτα των προϊόντων/</w:t>
      </w:r>
      <w:r>
        <w:rPr>
          <w:spacing w:val="-12"/>
          <w:sz w:val="22"/>
        </w:rPr>
        <w:t> </w:t>
      </w:r>
      <w:r>
        <w:rPr>
          <w:sz w:val="22"/>
        </w:rPr>
        <w:t>υπηρεσιών.</w:t>
      </w:r>
    </w:p>
    <w:p>
      <w:pPr>
        <w:pStyle w:val="ListParagraph"/>
        <w:numPr>
          <w:ilvl w:val="0"/>
          <w:numId w:val="20"/>
        </w:numPr>
        <w:tabs>
          <w:tab w:pos="527" w:val="left" w:leader="none"/>
          <w:tab w:pos="528" w:val="left" w:leader="none"/>
        </w:tabs>
        <w:spacing w:line="276" w:lineRule="auto" w:before="161" w:after="0"/>
        <w:ind w:left="527" w:right="118" w:hanging="427"/>
        <w:jc w:val="left"/>
        <w:rPr>
          <w:sz w:val="22"/>
        </w:rPr>
      </w:pPr>
      <w:r>
        <w:rPr>
          <w:sz w:val="22"/>
        </w:rPr>
        <w:t>Την πιστοποίηση ή/και διαπίστευση (όπου απαιτείται) σύμφωνα με εξειδικευμένα πρότυπα για δικαίωμα εισόδου των προϊόντων της επιχείρησης σε συγκεκριμένες νέες αγορές –</w:t>
      </w:r>
      <w:r>
        <w:rPr>
          <w:spacing w:val="-13"/>
          <w:sz w:val="22"/>
        </w:rPr>
        <w:t> </w:t>
      </w:r>
      <w:r>
        <w:rPr>
          <w:sz w:val="22"/>
        </w:rPr>
        <w:t>στόχους.</w:t>
      </w:r>
    </w:p>
    <w:p>
      <w:pPr>
        <w:pStyle w:val="ListParagraph"/>
        <w:numPr>
          <w:ilvl w:val="0"/>
          <w:numId w:val="20"/>
        </w:numPr>
        <w:tabs>
          <w:tab w:pos="527" w:val="left" w:leader="none"/>
          <w:tab w:pos="528" w:val="left" w:leader="none"/>
        </w:tabs>
        <w:spacing w:line="276" w:lineRule="auto" w:before="119" w:after="0"/>
        <w:ind w:left="527" w:right="120" w:hanging="427"/>
        <w:jc w:val="left"/>
        <w:rPr>
          <w:sz w:val="22"/>
        </w:rPr>
      </w:pPr>
      <w:r>
        <w:rPr>
          <w:sz w:val="22"/>
        </w:rPr>
        <w:t>Απόκτηση δικαιωμάτων Τεχνογνωσίας και αξιοποίησή τους για την αποτελεσματικότερη παραγωγή προϊόντων και</w:t>
      </w:r>
      <w:r>
        <w:rPr>
          <w:spacing w:val="-2"/>
          <w:sz w:val="22"/>
        </w:rPr>
        <w:t> </w:t>
      </w:r>
      <w:r>
        <w:rPr>
          <w:sz w:val="22"/>
        </w:rPr>
        <w:t>υπηρεσιών</w:t>
      </w:r>
    </w:p>
    <w:p>
      <w:pPr>
        <w:pStyle w:val="ListParagraph"/>
        <w:numPr>
          <w:ilvl w:val="0"/>
          <w:numId w:val="20"/>
        </w:numPr>
        <w:tabs>
          <w:tab w:pos="527" w:val="left" w:leader="none"/>
          <w:tab w:pos="528" w:val="left" w:leader="none"/>
        </w:tabs>
        <w:spacing w:line="240" w:lineRule="auto" w:before="121" w:after="0"/>
        <w:ind w:left="527" w:right="0" w:hanging="427"/>
        <w:jc w:val="left"/>
        <w:rPr>
          <w:sz w:val="22"/>
        </w:rPr>
      </w:pPr>
      <w:r>
        <w:rPr>
          <w:sz w:val="22"/>
        </w:rPr>
        <w:t>Δημιουργία εμπορικού</w:t>
      </w:r>
      <w:r>
        <w:rPr>
          <w:spacing w:val="-6"/>
          <w:sz w:val="22"/>
        </w:rPr>
        <w:t> </w:t>
      </w:r>
      <w:r>
        <w:rPr>
          <w:sz w:val="22"/>
        </w:rPr>
        <w:t>σήματος</w:t>
      </w:r>
    </w:p>
    <w:p>
      <w:pPr>
        <w:pStyle w:val="BodyText"/>
        <w:spacing w:line="276" w:lineRule="auto" w:before="158"/>
        <w:ind w:left="100"/>
      </w:pPr>
      <w:r>
        <w:rPr/>
        <w:t>Τα άυλα στοιχεία ενεργητικού είναι επιλέξιμα για τον υπολογισμό των επενδυτικών δαπανών, εφόσον πληρούν τις ακόλουθες προϋποθέσεις:</w:t>
      </w:r>
    </w:p>
    <w:p>
      <w:pPr>
        <w:pStyle w:val="ListParagraph"/>
        <w:numPr>
          <w:ilvl w:val="0"/>
          <w:numId w:val="22"/>
        </w:numPr>
        <w:tabs>
          <w:tab w:pos="838" w:val="left" w:leader="none"/>
        </w:tabs>
        <w:spacing w:line="276" w:lineRule="auto" w:before="118" w:after="0"/>
        <w:ind w:left="837" w:right="119" w:hanging="466"/>
        <w:jc w:val="both"/>
        <w:rPr>
          <w:sz w:val="22"/>
        </w:rPr>
      </w:pPr>
      <w:r>
        <w:rPr>
          <w:sz w:val="22"/>
        </w:rPr>
        <w:t>πρέπει να χρησιμοποιούνται αποκλειστικά στην επιχειρηματική εγκατάσταση που λαμβάνει την ενίσχυση,</w:t>
      </w:r>
    </w:p>
    <w:p>
      <w:pPr>
        <w:pStyle w:val="ListParagraph"/>
        <w:numPr>
          <w:ilvl w:val="0"/>
          <w:numId w:val="22"/>
        </w:numPr>
        <w:tabs>
          <w:tab w:pos="837" w:val="left" w:leader="none"/>
          <w:tab w:pos="838" w:val="left" w:leader="none"/>
        </w:tabs>
        <w:spacing w:line="240" w:lineRule="auto" w:before="120" w:after="0"/>
        <w:ind w:left="837" w:right="0" w:hanging="516"/>
        <w:jc w:val="left"/>
        <w:rPr>
          <w:sz w:val="22"/>
        </w:rPr>
      </w:pPr>
      <w:r>
        <w:rPr>
          <w:sz w:val="22"/>
        </w:rPr>
        <w:t>πρέπει να είναι</w:t>
      </w:r>
      <w:r>
        <w:rPr>
          <w:spacing w:val="-5"/>
          <w:sz w:val="22"/>
        </w:rPr>
        <w:t> </w:t>
      </w:r>
      <w:r>
        <w:rPr>
          <w:sz w:val="22"/>
        </w:rPr>
        <w:t>αποσβεστέα,</w:t>
      </w:r>
    </w:p>
    <w:p>
      <w:pPr>
        <w:pStyle w:val="ListParagraph"/>
        <w:numPr>
          <w:ilvl w:val="0"/>
          <w:numId w:val="22"/>
        </w:numPr>
        <w:tabs>
          <w:tab w:pos="838" w:val="left" w:leader="none"/>
        </w:tabs>
        <w:spacing w:line="276" w:lineRule="auto" w:before="161" w:after="0"/>
        <w:ind w:left="837" w:right="122" w:hanging="567"/>
        <w:jc w:val="both"/>
        <w:rPr>
          <w:sz w:val="22"/>
        </w:rPr>
      </w:pPr>
      <w:r>
        <w:rPr>
          <w:sz w:val="22"/>
        </w:rPr>
        <w:t>πρέπει να αγοράζονται σύμφωνα με τους όρους της αγοράς από τρίτους που δεν έχουν σχέση με τον</w:t>
      </w:r>
      <w:r>
        <w:rPr>
          <w:spacing w:val="-2"/>
          <w:sz w:val="22"/>
        </w:rPr>
        <w:t> </w:t>
      </w:r>
      <w:r>
        <w:rPr>
          <w:sz w:val="22"/>
        </w:rPr>
        <w:t>αγοραστή,</w:t>
      </w:r>
    </w:p>
    <w:p>
      <w:pPr>
        <w:spacing w:after="0" w:line="276" w:lineRule="auto"/>
        <w:jc w:val="both"/>
        <w:rPr>
          <w:sz w:val="22"/>
        </w:rPr>
        <w:sectPr>
          <w:pgSz w:w="11910" w:h="16840"/>
          <w:pgMar w:header="748" w:footer="734" w:top="1420" w:bottom="920" w:left="980" w:right="960"/>
        </w:sectPr>
      </w:pPr>
    </w:p>
    <w:p>
      <w:pPr>
        <w:pStyle w:val="BodyText"/>
        <w:spacing w:before="7"/>
        <w:rPr>
          <w:sz w:val="17"/>
        </w:rPr>
      </w:pPr>
    </w:p>
    <w:p>
      <w:pPr>
        <w:pStyle w:val="ListParagraph"/>
        <w:numPr>
          <w:ilvl w:val="0"/>
          <w:numId w:val="22"/>
        </w:numPr>
        <w:tabs>
          <w:tab w:pos="838" w:val="left" w:leader="none"/>
        </w:tabs>
        <w:spacing w:line="276" w:lineRule="auto" w:before="57" w:after="0"/>
        <w:ind w:left="837" w:right="119" w:hanging="565"/>
        <w:jc w:val="both"/>
        <w:rPr>
          <w:sz w:val="22"/>
        </w:rPr>
      </w:pPr>
      <w:r>
        <w:rPr>
          <w:sz w:val="22"/>
        </w:rPr>
        <w:t>πρέπει να περιλαμβάνονται στα στοιχεία ενεργητικού της επιχείρησης στην οποία χορηγείται η ενίσχυση και να παραμένουν συνδεδεμένα με το έργο για το οποίο χορηγείται η ενίσχυση επί τουλάχιστον τρία (3) έτη από την ημερομηνία λήξης του επενδυτικού</w:t>
      </w:r>
      <w:r>
        <w:rPr>
          <w:spacing w:val="-19"/>
          <w:sz w:val="22"/>
        </w:rPr>
        <w:t> </w:t>
      </w:r>
      <w:r>
        <w:rPr>
          <w:sz w:val="22"/>
        </w:rPr>
        <w:t>σχεδίου.</w:t>
      </w:r>
    </w:p>
    <w:p>
      <w:pPr>
        <w:pStyle w:val="BodyText"/>
        <w:spacing w:before="120"/>
        <w:ind w:left="100"/>
      </w:pPr>
      <w:r>
        <w:rPr/>
        <w:t>Ενδεικτικά δύναται να περιλαμβάνονται τα εξής:</w:t>
      </w:r>
    </w:p>
    <w:p>
      <w:pPr>
        <w:pStyle w:val="ListParagraph"/>
        <w:numPr>
          <w:ilvl w:val="1"/>
          <w:numId w:val="22"/>
        </w:numPr>
        <w:tabs>
          <w:tab w:pos="837" w:val="left" w:leader="none"/>
          <w:tab w:pos="838" w:val="left" w:leader="none"/>
        </w:tabs>
        <w:spacing w:line="273" w:lineRule="auto" w:before="161" w:after="0"/>
        <w:ind w:left="837" w:right="122" w:hanging="360"/>
        <w:jc w:val="left"/>
        <w:rPr>
          <w:sz w:val="22"/>
        </w:rPr>
      </w:pPr>
      <w:r>
        <w:rPr>
          <w:sz w:val="22"/>
        </w:rPr>
        <w:t>Σχεδιασμός προϊόντος/υπηρεσίας ή επανασχεδιασμός υφιστάμενων προϊόντων προς διάθεση σε νέες</w:t>
      </w:r>
      <w:r>
        <w:rPr>
          <w:spacing w:val="-1"/>
          <w:sz w:val="22"/>
        </w:rPr>
        <w:t> </w:t>
      </w:r>
      <w:r>
        <w:rPr>
          <w:sz w:val="22"/>
        </w:rPr>
        <w:t>αγορές.</w:t>
      </w:r>
    </w:p>
    <w:p>
      <w:pPr>
        <w:pStyle w:val="ListParagraph"/>
        <w:numPr>
          <w:ilvl w:val="1"/>
          <w:numId w:val="22"/>
        </w:numPr>
        <w:tabs>
          <w:tab w:pos="837" w:val="left" w:leader="none"/>
          <w:tab w:pos="838" w:val="left" w:leader="none"/>
        </w:tabs>
        <w:spacing w:line="240" w:lineRule="auto" w:before="123" w:after="0"/>
        <w:ind w:left="837" w:right="0" w:hanging="360"/>
        <w:jc w:val="left"/>
        <w:rPr>
          <w:sz w:val="22"/>
        </w:rPr>
      </w:pPr>
      <w:r>
        <w:rPr>
          <w:sz w:val="22"/>
        </w:rPr>
        <w:t>Σχεδιασμός ή επανασχεδιασμός ετικέτας /</w:t>
      </w:r>
      <w:r>
        <w:rPr>
          <w:spacing w:val="-11"/>
          <w:sz w:val="22"/>
        </w:rPr>
        <w:t> </w:t>
      </w:r>
      <w:r>
        <w:rPr>
          <w:sz w:val="22"/>
        </w:rPr>
        <w:t>συσκευασίας.</w:t>
      </w:r>
    </w:p>
    <w:p>
      <w:pPr>
        <w:pStyle w:val="ListParagraph"/>
        <w:numPr>
          <w:ilvl w:val="1"/>
          <w:numId w:val="22"/>
        </w:numPr>
        <w:tabs>
          <w:tab w:pos="837" w:val="left" w:leader="none"/>
          <w:tab w:pos="838" w:val="left" w:leader="none"/>
        </w:tabs>
        <w:spacing w:line="273" w:lineRule="auto" w:before="161" w:after="0"/>
        <w:ind w:left="837" w:right="115" w:hanging="360"/>
        <w:jc w:val="left"/>
        <w:rPr>
          <w:sz w:val="22"/>
        </w:rPr>
      </w:pPr>
      <w:r>
        <w:rPr>
          <w:sz w:val="22"/>
        </w:rPr>
        <w:t>Δοκιμές/επαληθεύσεις/πιστοποίηση προϊόντων/συσκευασίας προϊόντων από διαπιστευμένους φορείς (εσωτερικού ή</w:t>
      </w:r>
      <w:r>
        <w:rPr>
          <w:spacing w:val="-5"/>
          <w:sz w:val="22"/>
        </w:rPr>
        <w:t> </w:t>
      </w:r>
      <w:r>
        <w:rPr>
          <w:sz w:val="22"/>
        </w:rPr>
        <w:t>εξωτερικού).</w:t>
      </w:r>
    </w:p>
    <w:p>
      <w:pPr>
        <w:pStyle w:val="ListParagraph"/>
        <w:numPr>
          <w:ilvl w:val="1"/>
          <w:numId w:val="22"/>
        </w:numPr>
        <w:tabs>
          <w:tab w:pos="837" w:val="left" w:leader="none"/>
          <w:tab w:pos="838" w:val="left" w:leader="none"/>
        </w:tabs>
        <w:spacing w:line="240" w:lineRule="auto" w:before="124" w:after="0"/>
        <w:ind w:left="837" w:right="0" w:hanging="360"/>
        <w:jc w:val="left"/>
        <w:rPr>
          <w:sz w:val="22"/>
        </w:rPr>
      </w:pPr>
      <w:r>
        <w:rPr>
          <w:sz w:val="22"/>
        </w:rPr>
        <w:t>Δοκιμές και έλεγχοι υλικών από διαπιστευμένους φορείς (εσωτερικού ή</w:t>
      </w:r>
      <w:r>
        <w:rPr>
          <w:spacing w:val="-16"/>
          <w:sz w:val="22"/>
        </w:rPr>
        <w:t> </w:t>
      </w:r>
      <w:r>
        <w:rPr>
          <w:sz w:val="22"/>
        </w:rPr>
        <w:t>εξωτερικού).</w:t>
      </w:r>
    </w:p>
    <w:p>
      <w:pPr>
        <w:pStyle w:val="ListParagraph"/>
        <w:numPr>
          <w:ilvl w:val="1"/>
          <w:numId w:val="22"/>
        </w:numPr>
        <w:tabs>
          <w:tab w:pos="837" w:val="left" w:leader="none"/>
          <w:tab w:pos="838" w:val="left" w:leader="none"/>
        </w:tabs>
        <w:spacing w:line="240" w:lineRule="auto" w:before="159" w:after="0"/>
        <w:ind w:left="837" w:right="0" w:hanging="360"/>
        <w:jc w:val="left"/>
        <w:rPr>
          <w:sz w:val="22"/>
        </w:rPr>
      </w:pPr>
      <w:r>
        <w:rPr>
          <w:sz w:val="22"/>
        </w:rPr>
        <w:t>Χρήση υπηρεσιών εργαστηρίου και</w:t>
      </w:r>
      <w:r>
        <w:rPr>
          <w:spacing w:val="-4"/>
          <w:sz w:val="22"/>
        </w:rPr>
        <w:t> </w:t>
      </w:r>
      <w:r>
        <w:rPr>
          <w:sz w:val="22"/>
        </w:rPr>
        <w:t>αναλύσεις.</w:t>
      </w:r>
    </w:p>
    <w:p>
      <w:pPr>
        <w:pStyle w:val="ListParagraph"/>
        <w:numPr>
          <w:ilvl w:val="1"/>
          <w:numId w:val="22"/>
        </w:numPr>
        <w:tabs>
          <w:tab w:pos="837" w:val="left" w:leader="none"/>
          <w:tab w:pos="838" w:val="left" w:leader="none"/>
        </w:tabs>
        <w:spacing w:line="276" w:lineRule="auto" w:before="161" w:after="0"/>
        <w:ind w:left="837" w:right="115" w:hanging="360"/>
        <w:jc w:val="left"/>
        <w:rPr>
          <w:sz w:val="22"/>
        </w:rPr>
      </w:pPr>
      <w:r>
        <w:rPr>
          <w:sz w:val="22"/>
        </w:rPr>
        <w:t>Δημιουργία Βάσεων Δεδομένων με Σχεδιαστικά και Κατασκευαστικά Στοιχεία των Παραγόμενων Προϊόντων.</w:t>
      </w:r>
    </w:p>
    <w:p>
      <w:pPr>
        <w:pStyle w:val="ListParagraph"/>
        <w:numPr>
          <w:ilvl w:val="1"/>
          <w:numId w:val="22"/>
        </w:numPr>
        <w:tabs>
          <w:tab w:pos="837" w:val="left" w:leader="none"/>
          <w:tab w:pos="838" w:val="left" w:leader="none"/>
        </w:tabs>
        <w:spacing w:line="240" w:lineRule="auto" w:before="118" w:after="0"/>
        <w:ind w:left="837" w:right="0" w:hanging="360"/>
        <w:jc w:val="left"/>
        <w:rPr>
          <w:sz w:val="22"/>
        </w:rPr>
      </w:pPr>
      <w:r>
        <w:rPr>
          <w:sz w:val="22"/>
        </w:rPr>
        <w:t>Πιστοποίηση Συστημάτων από διαπιστευμένους φορείς (εσωτερικού ή</w:t>
      </w:r>
      <w:r>
        <w:rPr>
          <w:spacing w:val="-17"/>
          <w:sz w:val="22"/>
        </w:rPr>
        <w:t> </w:t>
      </w:r>
      <w:r>
        <w:rPr>
          <w:sz w:val="22"/>
        </w:rPr>
        <w:t>εξωτερικού).</w:t>
      </w:r>
    </w:p>
    <w:p>
      <w:pPr>
        <w:pStyle w:val="ListParagraph"/>
        <w:numPr>
          <w:ilvl w:val="1"/>
          <w:numId w:val="22"/>
        </w:numPr>
        <w:tabs>
          <w:tab w:pos="837" w:val="left" w:leader="none"/>
          <w:tab w:pos="838" w:val="left" w:leader="none"/>
        </w:tabs>
        <w:spacing w:line="273" w:lineRule="auto" w:before="161" w:after="0"/>
        <w:ind w:left="837" w:right="120" w:hanging="360"/>
        <w:jc w:val="left"/>
        <w:rPr>
          <w:sz w:val="22"/>
        </w:rPr>
      </w:pPr>
      <w:r>
        <w:rPr>
          <w:sz w:val="22"/>
        </w:rPr>
        <w:t>Εργαστηριακός Εξοπλισμός που αφορά τον ποιοτικό έλεγχο/ τη διασφάλιση ποιότητας/ τη διασφάλιση συμμόρφωσης με διάφορα</w:t>
      </w:r>
      <w:r>
        <w:rPr>
          <w:spacing w:val="-7"/>
          <w:sz w:val="22"/>
        </w:rPr>
        <w:t> </w:t>
      </w:r>
      <w:r>
        <w:rPr>
          <w:sz w:val="22"/>
        </w:rPr>
        <w:t>πρότυπα.</w:t>
      </w:r>
    </w:p>
    <w:p>
      <w:pPr>
        <w:pStyle w:val="ListParagraph"/>
        <w:numPr>
          <w:ilvl w:val="1"/>
          <w:numId w:val="22"/>
        </w:numPr>
        <w:tabs>
          <w:tab w:pos="837" w:val="left" w:leader="none"/>
          <w:tab w:pos="838" w:val="left" w:leader="none"/>
        </w:tabs>
        <w:spacing w:line="240" w:lineRule="auto" w:before="123" w:after="0"/>
        <w:ind w:left="837" w:right="0" w:hanging="360"/>
        <w:jc w:val="left"/>
        <w:rPr>
          <w:sz w:val="22"/>
        </w:rPr>
      </w:pPr>
      <w:r>
        <w:rPr>
          <w:sz w:val="22"/>
        </w:rPr>
        <w:t>Διαδικασίες εξειδικευμένων σημάτων</w:t>
      </w:r>
      <w:r>
        <w:rPr>
          <w:spacing w:val="-6"/>
          <w:sz w:val="22"/>
        </w:rPr>
        <w:t> </w:t>
      </w:r>
      <w:r>
        <w:rPr>
          <w:sz w:val="22"/>
        </w:rPr>
        <w:t>συμμόρφωσης.</w:t>
      </w:r>
    </w:p>
    <w:p>
      <w:pPr>
        <w:pStyle w:val="ListParagraph"/>
        <w:numPr>
          <w:ilvl w:val="1"/>
          <w:numId w:val="22"/>
        </w:numPr>
        <w:tabs>
          <w:tab w:pos="837" w:val="left" w:leader="none"/>
          <w:tab w:pos="838" w:val="left" w:leader="none"/>
        </w:tabs>
        <w:spacing w:line="273" w:lineRule="auto" w:before="161" w:after="0"/>
        <w:ind w:left="837" w:right="119" w:hanging="360"/>
        <w:jc w:val="left"/>
        <w:rPr>
          <w:sz w:val="22"/>
        </w:rPr>
      </w:pPr>
      <w:r>
        <w:rPr>
          <w:sz w:val="22"/>
        </w:rPr>
        <w:t>Διαδικασίες σχεδιασμού και εγκατάστασης συστημάτων διαχείρισης, ελέγχου και μέτρησης, λειτουργιών και</w:t>
      </w:r>
      <w:r>
        <w:rPr>
          <w:spacing w:val="-3"/>
          <w:sz w:val="22"/>
        </w:rPr>
        <w:t> </w:t>
      </w:r>
      <w:r>
        <w:rPr>
          <w:sz w:val="22"/>
        </w:rPr>
        <w:t>διαδικασιών.</w:t>
      </w:r>
    </w:p>
    <w:p>
      <w:pPr>
        <w:pStyle w:val="BodyText"/>
        <w:spacing w:before="123"/>
        <w:ind w:left="100"/>
      </w:pPr>
      <w:r>
        <w:rPr/>
        <w:t>Επισημαίνεται, ότι:</w:t>
      </w:r>
    </w:p>
    <w:p>
      <w:pPr>
        <w:pStyle w:val="ListParagraph"/>
        <w:numPr>
          <w:ilvl w:val="2"/>
          <w:numId w:val="22"/>
        </w:numPr>
        <w:tabs>
          <w:tab w:pos="1197" w:val="left" w:leader="none"/>
          <w:tab w:pos="1198" w:val="left" w:leader="none"/>
        </w:tabs>
        <w:spacing w:line="273" w:lineRule="auto" w:before="161" w:after="0"/>
        <w:ind w:left="1197" w:right="120" w:hanging="360"/>
        <w:jc w:val="left"/>
        <w:rPr>
          <w:sz w:val="22"/>
        </w:rPr>
      </w:pPr>
      <w:r>
        <w:rPr>
          <w:sz w:val="22"/>
        </w:rPr>
        <w:t>Όσα εκ των ανωτέρω σχετίζονται με πιστοποίηση, θα είναι επιλέξιμα μόνο εάν καταλήγουν σε λήψη της ζητούμενης Πιστοποίησης/</w:t>
      </w:r>
      <w:r>
        <w:rPr>
          <w:spacing w:val="-7"/>
          <w:sz w:val="22"/>
        </w:rPr>
        <w:t> </w:t>
      </w:r>
      <w:r>
        <w:rPr>
          <w:sz w:val="22"/>
        </w:rPr>
        <w:t>Διαπίστευσης.</w:t>
      </w:r>
    </w:p>
    <w:p>
      <w:pPr>
        <w:pStyle w:val="ListParagraph"/>
        <w:numPr>
          <w:ilvl w:val="2"/>
          <w:numId w:val="22"/>
        </w:numPr>
        <w:tabs>
          <w:tab w:pos="1197" w:val="left" w:leader="none"/>
          <w:tab w:pos="1198" w:val="left" w:leader="none"/>
        </w:tabs>
        <w:spacing w:line="240" w:lineRule="auto" w:before="123" w:after="0"/>
        <w:ind w:left="1197" w:right="0" w:hanging="360"/>
        <w:jc w:val="left"/>
        <w:rPr>
          <w:sz w:val="22"/>
        </w:rPr>
      </w:pPr>
      <w:r>
        <w:rPr>
          <w:sz w:val="22"/>
        </w:rPr>
        <w:t>Οι</w:t>
      </w:r>
      <w:r>
        <w:rPr>
          <w:spacing w:val="43"/>
          <w:sz w:val="22"/>
        </w:rPr>
        <w:t> </w:t>
      </w:r>
      <w:r>
        <w:rPr>
          <w:sz w:val="22"/>
        </w:rPr>
        <w:t>εν</w:t>
      </w:r>
      <w:r>
        <w:rPr>
          <w:spacing w:val="43"/>
          <w:sz w:val="22"/>
        </w:rPr>
        <w:t> </w:t>
      </w:r>
      <w:r>
        <w:rPr>
          <w:sz w:val="22"/>
        </w:rPr>
        <w:t>λόγω</w:t>
      </w:r>
      <w:r>
        <w:rPr>
          <w:spacing w:val="43"/>
          <w:sz w:val="22"/>
        </w:rPr>
        <w:t> </w:t>
      </w:r>
      <w:r>
        <w:rPr>
          <w:sz w:val="22"/>
        </w:rPr>
        <w:t>δαπάνες</w:t>
      </w:r>
      <w:r>
        <w:rPr>
          <w:spacing w:val="44"/>
          <w:sz w:val="22"/>
        </w:rPr>
        <w:t> </w:t>
      </w:r>
      <w:r>
        <w:rPr>
          <w:sz w:val="22"/>
        </w:rPr>
        <w:t>είναι</w:t>
      </w:r>
      <w:r>
        <w:rPr>
          <w:spacing w:val="43"/>
          <w:sz w:val="22"/>
        </w:rPr>
        <w:t> </w:t>
      </w:r>
      <w:r>
        <w:rPr>
          <w:sz w:val="22"/>
        </w:rPr>
        <w:t>επιλέξιμες</w:t>
      </w:r>
      <w:r>
        <w:rPr>
          <w:spacing w:val="44"/>
          <w:sz w:val="22"/>
        </w:rPr>
        <w:t> </w:t>
      </w:r>
      <w:r>
        <w:rPr>
          <w:sz w:val="22"/>
        </w:rPr>
        <w:t>με</w:t>
      </w:r>
      <w:r>
        <w:rPr>
          <w:spacing w:val="43"/>
          <w:sz w:val="22"/>
        </w:rPr>
        <w:t> </w:t>
      </w:r>
      <w:r>
        <w:rPr>
          <w:sz w:val="22"/>
        </w:rPr>
        <w:t>την</w:t>
      </w:r>
      <w:r>
        <w:rPr>
          <w:spacing w:val="43"/>
          <w:sz w:val="22"/>
        </w:rPr>
        <w:t> </w:t>
      </w:r>
      <w:r>
        <w:rPr>
          <w:sz w:val="22"/>
        </w:rPr>
        <w:t>προϋπόθεση</w:t>
      </w:r>
      <w:r>
        <w:rPr>
          <w:spacing w:val="43"/>
          <w:sz w:val="22"/>
        </w:rPr>
        <w:t> </w:t>
      </w:r>
      <w:r>
        <w:rPr>
          <w:sz w:val="22"/>
        </w:rPr>
        <w:t>ότι</w:t>
      </w:r>
      <w:r>
        <w:rPr>
          <w:spacing w:val="43"/>
          <w:sz w:val="22"/>
        </w:rPr>
        <w:t> </w:t>
      </w:r>
      <w:r>
        <w:rPr>
          <w:sz w:val="22"/>
        </w:rPr>
        <w:t>κατά</w:t>
      </w:r>
      <w:r>
        <w:rPr>
          <w:spacing w:val="43"/>
          <w:sz w:val="22"/>
        </w:rPr>
        <w:t> </w:t>
      </w:r>
      <w:r>
        <w:rPr>
          <w:sz w:val="22"/>
        </w:rPr>
        <w:t>την</w:t>
      </w:r>
      <w:r>
        <w:rPr>
          <w:spacing w:val="43"/>
          <w:sz w:val="22"/>
        </w:rPr>
        <w:t> </w:t>
      </w:r>
      <w:r>
        <w:rPr>
          <w:sz w:val="22"/>
        </w:rPr>
        <w:t>τελική</w:t>
      </w:r>
      <w:r>
        <w:rPr>
          <w:spacing w:val="43"/>
          <w:sz w:val="22"/>
        </w:rPr>
        <w:t> </w:t>
      </w:r>
      <w:r>
        <w:rPr>
          <w:sz w:val="22"/>
        </w:rPr>
        <w:t>επαλήθευση</w:t>
      </w:r>
    </w:p>
    <w:p>
      <w:pPr>
        <w:pStyle w:val="BodyText"/>
        <w:spacing w:line="276" w:lineRule="auto" w:before="38"/>
        <w:ind w:left="1197" w:right="116"/>
        <w:jc w:val="both"/>
      </w:pPr>
      <w:r>
        <w:rPr/>
        <w:t>/πιστοποίηση προσκομίζεται το σχετικό πιστοποιητικό που εκδίδεται από διαπιστευμένου φορέα πιστοποίησης , το οποίο θα πρέπει να έχει εκδοθεί έως την ημερομηνία της ολοκλήρωσης του επενδυτικού σχεδίου ή να τεκμηριώνεται αποδεδειγμένα ότι πληρούνται οι προϋποθέσεις για την έκδοσή του, ήτοι να έχει ολοκληρωθεί θετικά η επιθεώρηση πιστοποίησης.</w:t>
      </w:r>
    </w:p>
    <w:p>
      <w:pPr>
        <w:pStyle w:val="ListParagraph"/>
        <w:numPr>
          <w:ilvl w:val="2"/>
          <w:numId w:val="22"/>
        </w:numPr>
        <w:tabs>
          <w:tab w:pos="1197" w:val="left" w:leader="none"/>
          <w:tab w:pos="1198" w:val="left" w:leader="none"/>
        </w:tabs>
        <w:spacing w:line="240" w:lineRule="auto" w:before="121" w:after="0"/>
        <w:ind w:left="1197" w:right="0" w:hanging="360"/>
        <w:jc w:val="left"/>
        <w:rPr>
          <w:sz w:val="22"/>
        </w:rPr>
      </w:pPr>
      <w:r>
        <w:rPr>
          <w:sz w:val="22"/>
        </w:rPr>
        <w:t>Το κόστος για ανανέωση συστήματος πιστοποίησης δεν είναι</w:t>
      </w:r>
      <w:r>
        <w:rPr>
          <w:spacing w:val="-12"/>
          <w:sz w:val="22"/>
        </w:rPr>
        <w:t> </w:t>
      </w:r>
      <w:r>
        <w:rPr>
          <w:sz w:val="22"/>
        </w:rPr>
        <w:t>επιλέξιμο.</w:t>
      </w:r>
    </w:p>
    <w:p>
      <w:pPr>
        <w:pStyle w:val="BodyText"/>
        <w:rPr>
          <w:sz w:val="28"/>
        </w:rPr>
      </w:pPr>
    </w:p>
    <w:p>
      <w:pPr>
        <w:pStyle w:val="Heading4"/>
        <w:spacing w:before="220"/>
        <w:jc w:val="left"/>
      </w:pPr>
      <w:r>
        <w:rPr/>
        <w:t>Τεχνολογική αναβάθμιση μέσω της αύξησης της χρήσης ΤΠΕ</w:t>
      </w:r>
    </w:p>
    <w:p>
      <w:pPr>
        <w:pStyle w:val="ListParagraph"/>
        <w:numPr>
          <w:ilvl w:val="1"/>
          <w:numId w:val="22"/>
        </w:numPr>
        <w:tabs>
          <w:tab w:pos="821" w:val="left" w:leader="none"/>
        </w:tabs>
        <w:spacing w:line="276" w:lineRule="auto" w:before="135" w:after="0"/>
        <w:ind w:left="820" w:right="113" w:hanging="360"/>
        <w:jc w:val="both"/>
        <w:rPr>
          <w:sz w:val="22"/>
        </w:rPr>
      </w:pPr>
      <w:r>
        <w:rPr>
          <w:sz w:val="22"/>
        </w:rPr>
        <w:t>Αναβάθμιση τεχνολογικών υποδομών, ενσωμάτωση εξοπλισμού ΤΠΕ. Προμήθεια - μεταφορά - εγκατάσταση νέων σύγχρονων μηχανημάτων και λοιπού εξοπλισμού πληροφορικής όπως πχ. ηλεκτρονικοί υπολογιστές, εξοπλισμός μηχανογράφησης και ηλεκτρονικής</w:t>
      </w:r>
      <w:r>
        <w:rPr>
          <w:spacing w:val="-18"/>
          <w:sz w:val="22"/>
        </w:rPr>
        <w:t> </w:t>
      </w:r>
      <w:r>
        <w:rPr>
          <w:sz w:val="22"/>
        </w:rPr>
        <w:t>δικτύωσης.</w:t>
      </w:r>
    </w:p>
    <w:p>
      <w:pPr>
        <w:pStyle w:val="ListParagraph"/>
        <w:numPr>
          <w:ilvl w:val="1"/>
          <w:numId w:val="22"/>
        </w:numPr>
        <w:tabs>
          <w:tab w:pos="820" w:val="left" w:leader="none"/>
          <w:tab w:pos="821" w:val="left" w:leader="none"/>
        </w:tabs>
        <w:spacing w:line="273" w:lineRule="auto" w:before="1" w:after="0"/>
        <w:ind w:left="820" w:right="117" w:hanging="360"/>
        <w:jc w:val="left"/>
        <w:rPr>
          <w:sz w:val="22"/>
        </w:rPr>
      </w:pPr>
      <w:r>
        <w:rPr>
          <w:sz w:val="22"/>
        </w:rPr>
        <w:t>Κόστη Αδειών χρήσης λογισμικού ή σύμβασης παροχής υπηρεσιών συντήρησης για μέχρι ένα έτος από το χρόνο προμήθειας. Στα παραδοτέα υλοποίησης θα πρέπει να είναι σαφής ο τρόπος</w:t>
      </w:r>
      <w:r>
        <w:rPr>
          <w:spacing w:val="6"/>
          <w:sz w:val="22"/>
        </w:rPr>
        <w:t> </w:t>
      </w:r>
      <w:r>
        <w:rPr>
          <w:sz w:val="22"/>
        </w:rPr>
        <w:t>παροχής</w:t>
      </w:r>
    </w:p>
    <w:p>
      <w:pPr>
        <w:spacing w:after="0" w:line="273" w:lineRule="auto"/>
        <w:jc w:val="left"/>
        <w:rPr>
          <w:sz w:val="22"/>
        </w:rPr>
        <w:sectPr>
          <w:pgSz w:w="11910" w:h="16840"/>
          <w:pgMar w:header="748" w:footer="734" w:top="1420" w:bottom="920" w:left="980" w:right="960"/>
        </w:sectPr>
      </w:pPr>
    </w:p>
    <w:p>
      <w:pPr>
        <w:pStyle w:val="BodyText"/>
        <w:spacing w:before="7"/>
        <w:rPr>
          <w:sz w:val="17"/>
        </w:rPr>
      </w:pPr>
    </w:p>
    <w:p>
      <w:pPr>
        <w:pStyle w:val="BodyText"/>
        <w:spacing w:line="276" w:lineRule="auto" w:before="57"/>
        <w:ind w:left="820"/>
      </w:pPr>
      <w:r>
        <w:rPr/>
        <w:t>της άδειας χρήσης λογισμικού ή υπηρεσίας, π.χ. per named/concurrent user, per server, /CPU κ.τ.λ. Τα λογισμικά δύναται να αφορούν σε:</w:t>
      </w:r>
    </w:p>
    <w:p>
      <w:pPr>
        <w:pStyle w:val="ListParagraph"/>
        <w:numPr>
          <w:ilvl w:val="0"/>
          <w:numId w:val="23"/>
        </w:numPr>
        <w:tabs>
          <w:tab w:pos="1540" w:val="left" w:leader="none"/>
          <w:tab w:pos="1541" w:val="left" w:leader="none"/>
        </w:tabs>
        <w:spacing w:line="274" w:lineRule="exact" w:before="0" w:after="0"/>
        <w:ind w:left="1540" w:right="0" w:hanging="360"/>
        <w:jc w:val="left"/>
        <w:rPr>
          <w:sz w:val="22"/>
        </w:rPr>
      </w:pPr>
      <w:r>
        <w:rPr>
          <w:sz w:val="22"/>
        </w:rPr>
        <w:t>αυτοματοποίηση της</w:t>
      </w:r>
      <w:r>
        <w:rPr>
          <w:spacing w:val="-9"/>
          <w:sz w:val="22"/>
        </w:rPr>
        <w:t> </w:t>
      </w:r>
      <w:r>
        <w:rPr>
          <w:sz w:val="22"/>
        </w:rPr>
        <w:t>παραγωγής</w:t>
      </w:r>
    </w:p>
    <w:p>
      <w:pPr>
        <w:pStyle w:val="ListParagraph"/>
        <w:numPr>
          <w:ilvl w:val="0"/>
          <w:numId w:val="23"/>
        </w:numPr>
        <w:tabs>
          <w:tab w:pos="1540" w:val="left" w:leader="none"/>
          <w:tab w:pos="1541" w:val="left" w:leader="none"/>
        </w:tabs>
        <w:spacing w:line="240" w:lineRule="auto" w:before="34" w:after="0"/>
        <w:ind w:left="1540" w:right="0" w:hanging="360"/>
        <w:jc w:val="left"/>
        <w:rPr>
          <w:sz w:val="22"/>
        </w:rPr>
      </w:pPr>
      <w:r>
        <w:rPr>
          <w:sz w:val="22"/>
        </w:rPr>
        <w:t>ποιοτικό έλεγχο των παραγόμενων</w:t>
      </w:r>
      <w:r>
        <w:rPr>
          <w:spacing w:val="-11"/>
          <w:sz w:val="22"/>
        </w:rPr>
        <w:t> </w:t>
      </w:r>
      <w:r>
        <w:rPr>
          <w:sz w:val="22"/>
        </w:rPr>
        <w:t>προϊόντων</w:t>
      </w:r>
    </w:p>
    <w:p>
      <w:pPr>
        <w:pStyle w:val="ListParagraph"/>
        <w:numPr>
          <w:ilvl w:val="0"/>
          <w:numId w:val="23"/>
        </w:numPr>
        <w:tabs>
          <w:tab w:pos="1540" w:val="left" w:leader="none"/>
          <w:tab w:pos="1541" w:val="left" w:leader="none"/>
        </w:tabs>
        <w:spacing w:line="240" w:lineRule="auto" w:before="34" w:after="0"/>
        <w:ind w:left="1540" w:right="0" w:hanging="360"/>
        <w:jc w:val="left"/>
        <w:rPr>
          <w:sz w:val="22"/>
        </w:rPr>
      </w:pPr>
      <w:r>
        <w:rPr>
          <w:sz w:val="22"/>
        </w:rPr>
        <w:t>διασύνδεση των επιχειρήσεων με εθνικά ή διεθνή</w:t>
      </w:r>
      <w:r>
        <w:rPr>
          <w:spacing w:val="-6"/>
          <w:sz w:val="22"/>
        </w:rPr>
        <w:t> </w:t>
      </w:r>
      <w:r>
        <w:rPr>
          <w:sz w:val="22"/>
        </w:rPr>
        <w:t>δίκτυα</w:t>
      </w:r>
    </w:p>
    <w:p>
      <w:pPr>
        <w:pStyle w:val="ListParagraph"/>
        <w:numPr>
          <w:ilvl w:val="0"/>
          <w:numId w:val="23"/>
        </w:numPr>
        <w:tabs>
          <w:tab w:pos="1540" w:val="left" w:leader="none"/>
          <w:tab w:pos="1541" w:val="left" w:leader="none"/>
        </w:tabs>
        <w:spacing w:line="240" w:lineRule="auto" w:before="31" w:after="0"/>
        <w:ind w:left="1540" w:right="0" w:hanging="360"/>
        <w:jc w:val="left"/>
        <w:rPr>
          <w:sz w:val="22"/>
        </w:rPr>
      </w:pPr>
      <w:r>
        <w:rPr>
          <w:sz w:val="22"/>
        </w:rPr>
        <w:t>ανάπτυξη δραστηριοτήτων e- business, e-marketing και</w:t>
      </w:r>
      <w:r>
        <w:rPr>
          <w:spacing w:val="-16"/>
          <w:sz w:val="22"/>
        </w:rPr>
        <w:t> </w:t>
      </w:r>
      <w:r>
        <w:rPr>
          <w:sz w:val="22"/>
        </w:rPr>
        <w:t>e-commerce</w:t>
      </w:r>
    </w:p>
    <w:p>
      <w:pPr>
        <w:pStyle w:val="ListParagraph"/>
        <w:numPr>
          <w:ilvl w:val="0"/>
          <w:numId w:val="23"/>
        </w:numPr>
        <w:tabs>
          <w:tab w:pos="1540" w:val="left" w:leader="none"/>
          <w:tab w:pos="1541" w:val="left" w:leader="none"/>
        </w:tabs>
        <w:spacing w:line="240" w:lineRule="auto" w:before="34" w:after="0"/>
        <w:ind w:left="1540" w:right="0" w:hanging="360"/>
        <w:jc w:val="left"/>
        <w:rPr>
          <w:sz w:val="22"/>
        </w:rPr>
      </w:pPr>
      <w:r>
        <w:rPr>
          <w:sz w:val="22"/>
        </w:rPr>
        <w:t>σύνδεση σε</w:t>
      </w:r>
      <w:r>
        <w:rPr>
          <w:spacing w:val="-7"/>
          <w:sz w:val="22"/>
        </w:rPr>
        <w:t> </w:t>
      </w:r>
      <w:r>
        <w:rPr>
          <w:sz w:val="22"/>
        </w:rPr>
        <w:t>e-marketplaces</w:t>
      </w:r>
    </w:p>
    <w:p>
      <w:pPr>
        <w:pStyle w:val="ListParagraph"/>
        <w:numPr>
          <w:ilvl w:val="0"/>
          <w:numId w:val="23"/>
        </w:numPr>
        <w:tabs>
          <w:tab w:pos="1540" w:val="left" w:leader="none"/>
          <w:tab w:pos="1541" w:val="left" w:leader="none"/>
          <w:tab w:pos="2641" w:val="left" w:leader="none"/>
          <w:tab w:pos="3853" w:val="left" w:leader="none"/>
          <w:tab w:pos="5271" w:val="left" w:leader="none"/>
          <w:tab w:pos="6369" w:val="left" w:leader="none"/>
          <w:tab w:pos="6972" w:val="left" w:leader="none"/>
          <w:tab w:pos="7766" w:val="left" w:leader="none"/>
          <w:tab w:pos="8576" w:val="left" w:leader="none"/>
        </w:tabs>
        <w:spacing w:line="268" w:lineRule="auto" w:before="34" w:after="0"/>
        <w:ind w:left="1540" w:right="113" w:hanging="360"/>
        <w:jc w:val="left"/>
        <w:rPr>
          <w:sz w:val="22"/>
        </w:rPr>
      </w:pPr>
      <w:r>
        <w:rPr>
          <w:sz w:val="22"/>
        </w:rPr>
        <w:t>ψηφιακές</w:t>
        <w:tab/>
        <w:t>εφαρμογές</w:t>
        <w:tab/>
        <w:t>διαδικτυακής</w:t>
        <w:tab/>
        <w:t>προβολής</w:t>
        <w:tab/>
        <w:t>(π.χ.</w:t>
        <w:tab/>
        <w:t>search</w:t>
        <w:tab/>
        <w:t>engine</w:t>
        <w:tab/>
        <w:t>optimizations, accelerators</w:t>
      </w:r>
      <w:r>
        <w:rPr>
          <w:spacing w:val="-1"/>
          <w:sz w:val="22"/>
        </w:rPr>
        <w:t> </w:t>
      </w:r>
      <w:r>
        <w:rPr>
          <w:sz w:val="22"/>
        </w:rPr>
        <w:t>κτλ.)</w:t>
      </w:r>
    </w:p>
    <w:p>
      <w:pPr>
        <w:pStyle w:val="ListParagraph"/>
        <w:numPr>
          <w:ilvl w:val="0"/>
          <w:numId w:val="23"/>
        </w:numPr>
        <w:tabs>
          <w:tab w:pos="1540" w:val="left" w:leader="none"/>
          <w:tab w:pos="1541" w:val="left" w:leader="none"/>
        </w:tabs>
        <w:spacing w:line="240" w:lineRule="auto" w:before="6" w:after="0"/>
        <w:ind w:left="1540" w:right="0" w:hanging="360"/>
        <w:jc w:val="left"/>
        <w:rPr>
          <w:sz w:val="22"/>
        </w:rPr>
      </w:pPr>
      <w:r>
        <w:rPr>
          <w:sz w:val="22"/>
        </w:rPr>
        <w:t>εφαρμογές κοινωνικής</w:t>
      </w:r>
      <w:r>
        <w:rPr>
          <w:spacing w:val="-5"/>
          <w:sz w:val="22"/>
        </w:rPr>
        <w:t> </w:t>
      </w:r>
      <w:r>
        <w:rPr>
          <w:sz w:val="22"/>
        </w:rPr>
        <w:t>δικτύωσης</w:t>
      </w:r>
    </w:p>
    <w:p>
      <w:pPr>
        <w:pStyle w:val="ListParagraph"/>
        <w:numPr>
          <w:ilvl w:val="0"/>
          <w:numId w:val="23"/>
        </w:numPr>
        <w:tabs>
          <w:tab w:pos="1540" w:val="left" w:leader="none"/>
          <w:tab w:pos="1541" w:val="left" w:leader="none"/>
        </w:tabs>
        <w:spacing w:line="268" w:lineRule="auto" w:before="34" w:after="0"/>
        <w:ind w:left="1540" w:right="116" w:hanging="360"/>
        <w:jc w:val="left"/>
        <w:rPr>
          <w:sz w:val="22"/>
        </w:rPr>
      </w:pPr>
      <w:r>
        <w:rPr>
          <w:sz w:val="22"/>
        </w:rPr>
        <w:t>Προγραμμάτων διαχείρισης επιχειρηματικών πόρων, ή πελατών ή προσωπικού της επιχείρησης (τύπου ERP, CRM,</w:t>
      </w:r>
      <w:r>
        <w:rPr>
          <w:spacing w:val="-6"/>
          <w:sz w:val="22"/>
        </w:rPr>
        <w:t> </w:t>
      </w:r>
      <w:r>
        <w:rPr>
          <w:sz w:val="22"/>
        </w:rPr>
        <w:t>HRMS)</w:t>
      </w:r>
    </w:p>
    <w:p>
      <w:pPr>
        <w:pStyle w:val="ListParagraph"/>
        <w:numPr>
          <w:ilvl w:val="0"/>
          <w:numId w:val="23"/>
        </w:numPr>
        <w:tabs>
          <w:tab w:pos="1540" w:val="left" w:leader="none"/>
          <w:tab w:pos="1541" w:val="left" w:leader="none"/>
        </w:tabs>
        <w:spacing w:line="240" w:lineRule="auto" w:before="6" w:after="0"/>
        <w:ind w:left="1540" w:right="0" w:hanging="360"/>
        <w:jc w:val="left"/>
        <w:rPr>
          <w:sz w:val="22"/>
        </w:rPr>
      </w:pPr>
      <w:r>
        <w:rPr>
          <w:sz w:val="22"/>
        </w:rPr>
        <w:t>διαχείριση εγγράφων και υποστήριξη</w:t>
      </w:r>
      <w:r>
        <w:rPr>
          <w:spacing w:val="-8"/>
          <w:sz w:val="22"/>
        </w:rPr>
        <w:t> </w:t>
      </w:r>
      <w:r>
        <w:rPr>
          <w:sz w:val="22"/>
        </w:rPr>
        <w:t>διαδικασιών.</w:t>
      </w:r>
    </w:p>
    <w:p>
      <w:pPr>
        <w:pStyle w:val="ListParagraph"/>
        <w:numPr>
          <w:ilvl w:val="1"/>
          <w:numId w:val="22"/>
        </w:numPr>
        <w:tabs>
          <w:tab w:pos="820" w:val="left" w:leader="none"/>
          <w:tab w:pos="821" w:val="left" w:leader="none"/>
        </w:tabs>
        <w:spacing w:line="240" w:lineRule="auto" w:before="34" w:after="0"/>
        <w:ind w:left="820" w:right="0" w:hanging="360"/>
        <w:jc w:val="left"/>
        <w:rPr>
          <w:sz w:val="22"/>
        </w:rPr>
      </w:pPr>
      <w:r>
        <w:rPr>
          <w:sz w:val="22"/>
        </w:rPr>
        <w:t>Κόστη υιοθέτησης υπηρεσιών cloud</w:t>
      </w:r>
      <w:r>
        <w:rPr>
          <w:spacing w:val="-11"/>
          <w:sz w:val="22"/>
        </w:rPr>
        <w:t> </w:t>
      </w:r>
      <w:r>
        <w:rPr>
          <w:sz w:val="22"/>
        </w:rPr>
        <w:t>computing.</w:t>
      </w:r>
    </w:p>
    <w:p>
      <w:pPr>
        <w:pStyle w:val="ListParagraph"/>
        <w:numPr>
          <w:ilvl w:val="1"/>
          <w:numId w:val="22"/>
        </w:numPr>
        <w:tabs>
          <w:tab w:pos="821" w:val="left" w:leader="none"/>
        </w:tabs>
        <w:spacing w:line="276" w:lineRule="auto" w:before="41" w:after="0"/>
        <w:ind w:left="820" w:right="116" w:hanging="360"/>
        <w:jc w:val="both"/>
        <w:rPr>
          <w:b/>
          <w:sz w:val="22"/>
        </w:rPr>
      </w:pPr>
      <w:r>
        <w:rPr>
          <w:sz w:val="22"/>
        </w:rPr>
        <w:t>Κόστος για την εγκατάσταση και τυχόν παραμετροποίηση του λογισμικού καθώς και το κόστος εκπαίδευσης του προσωπικού. Οι εν λόγω δαπάνες είναι επιλέξιμες μέχρι το 20% του κόστους αγοράς του αντίστοιχου λογισμικού. Θα ελέγχονται μέσω του Παραρτήματος</w:t>
      </w:r>
      <w:r>
        <w:rPr>
          <w:spacing w:val="-18"/>
          <w:sz w:val="22"/>
        </w:rPr>
        <w:t> </w:t>
      </w:r>
      <w:r>
        <w:rPr>
          <w:b/>
          <w:sz w:val="22"/>
        </w:rPr>
        <w:t>Ι.2.</w:t>
      </w:r>
    </w:p>
    <w:p>
      <w:pPr>
        <w:pStyle w:val="BodyText"/>
        <w:rPr>
          <w:b/>
        </w:rPr>
      </w:pPr>
    </w:p>
    <w:p>
      <w:pPr>
        <w:pStyle w:val="Heading4"/>
        <w:spacing w:before="145"/>
        <w:jc w:val="left"/>
      </w:pPr>
      <w:r>
        <w:rPr/>
        <w:t>β)   Συμβουλευτικές υπηρεσίες:</w:t>
      </w:r>
    </w:p>
    <w:p>
      <w:pPr>
        <w:pStyle w:val="ListParagraph"/>
        <w:numPr>
          <w:ilvl w:val="1"/>
          <w:numId w:val="22"/>
        </w:numPr>
        <w:tabs>
          <w:tab w:pos="821" w:val="left" w:leader="none"/>
        </w:tabs>
        <w:spacing w:line="276" w:lineRule="auto" w:before="132" w:after="0"/>
        <w:ind w:left="820" w:right="113" w:hanging="360"/>
        <w:jc w:val="both"/>
        <w:rPr>
          <w:sz w:val="22"/>
        </w:rPr>
      </w:pPr>
      <w:r>
        <w:rPr>
          <w:sz w:val="22"/>
        </w:rPr>
        <w:t>Δαπάνες για την υποστήριξη της επιχείρησης στη συμμετοχή σε διαγωνισμούς, που αφορούν την προώθηση νέων προϊόντων/υπηρεσιών της επιχείρησης ή την επέκτασή της σε νέες</w:t>
      </w:r>
      <w:r>
        <w:rPr>
          <w:spacing w:val="-17"/>
          <w:sz w:val="22"/>
        </w:rPr>
        <w:t> </w:t>
      </w:r>
      <w:r>
        <w:rPr>
          <w:sz w:val="22"/>
        </w:rPr>
        <w:t>αγορές..</w:t>
      </w:r>
    </w:p>
    <w:p>
      <w:pPr>
        <w:pStyle w:val="ListParagraph"/>
        <w:numPr>
          <w:ilvl w:val="1"/>
          <w:numId w:val="22"/>
        </w:numPr>
        <w:tabs>
          <w:tab w:pos="821" w:val="left" w:leader="none"/>
        </w:tabs>
        <w:spacing w:line="273" w:lineRule="auto" w:before="1" w:after="0"/>
        <w:ind w:left="820" w:right="117" w:hanging="360"/>
        <w:jc w:val="both"/>
        <w:rPr>
          <w:sz w:val="22"/>
        </w:rPr>
      </w:pPr>
      <w:r>
        <w:rPr>
          <w:sz w:val="22"/>
        </w:rPr>
        <w:t>Δαπάνες τεχνικής υποστήριξης για τη σύναψη συμβάσεων συνεργασίας με οίκους του εξωτερικού ή Κοινών Επιχειρήσεων Joint-Ventures, που αφορούν νέες αγορές ή νέα προϊόντα /</w:t>
      </w:r>
      <w:r>
        <w:rPr>
          <w:spacing w:val="-17"/>
          <w:sz w:val="22"/>
        </w:rPr>
        <w:t> </w:t>
      </w:r>
      <w:r>
        <w:rPr>
          <w:sz w:val="22"/>
        </w:rPr>
        <w:t>υπηρεσίες.</w:t>
      </w:r>
    </w:p>
    <w:p>
      <w:pPr>
        <w:pStyle w:val="ListParagraph"/>
        <w:numPr>
          <w:ilvl w:val="1"/>
          <w:numId w:val="22"/>
        </w:numPr>
        <w:tabs>
          <w:tab w:pos="821" w:val="left" w:leader="none"/>
        </w:tabs>
        <w:spacing w:line="276" w:lineRule="auto" w:before="3" w:after="0"/>
        <w:ind w:left="820" w:right="114" w:hanging="360"/>
        <w:jc w:val="both"/>
        <w:rPr>
          <w:sz w:val="22"/>
        </w:rPr>
      </w:pPr>
      <w:r>
        <w:rPr>
          <w:sz w:val="22"/>
        </w:rPr>
        <w:t>Εκπόνηση μελετών και ερευνών όπως έρευνες αγοράς, μελέτες benchmarking, οργάνωσης διοίκησης, αναδιοργάνωσης των επιμέρους λειτουργιών της επιχείρησης, ανασχεδιασμού επιχειρηματικών διαδικασιών (reengineering), τυποποίησης διαδικασιών, εκτίμησης επιχειρηματικού κινδύνου - risk analysis, marketing</w:t>
      </w:r>
      <w:r>
        <w:rPr>
          <w:spacing w:val="-14"/>
          <w:sz w:val="22"/>
        </w:rPr>
        <w:t> </w:t>
      </w:r>
      <w:r>
        <w:rPr>
          <w:sz w:val="22"/>
        </w:rPr>
        <w:t>plan.</w:t>
      </w:r>
    </w:p>
    <w:p>
      <w:pPr>
        <w:pStyle w:val="ListParagraph"/>
        <w:numPr>
          <w:ilvl w:val="1"/>
          <w:numId w:val="22"/>
        </w:numPr>
        <w:tabs>
          <w:tab w:pos="821" w:val="left" w:leader="none"/>
        </w:tabs>
        <w:spacing w:line="276" w:lineRule="auto" w:before="0" w:after="0"/>
        <w:ind w:left="820" w:right="113" w:hanging="360"/>
        <w:jc w:val="both"/>
        <w:rPr>
          <w:sz w:val="22"/>
        </w:rPr>
      </w:pPr>
      <w:r>
        <w:rPr>
          <w:sz w:val="22"/>
        </w:rPr>
        <w:t>Δαπάνες που αφορούν στην αμοιβή ορκωτού λογιστή/ελεγκτή, εγγεγραμμένου στο Μητρώο Ελεγκτών της ΕΛΤΕ για την πιστοποίηση του οικονομικού αντικειμένου (δαπανών) της Πράξης. Τα παραστατικά δαπάνης απασχόλησης των ορκωτών λογιστών που τυχόν θα ελέγξουν το οικονομικό αντικείμενο του έργου, θα είναι επιλέξιμα μέχρι και τρεις (3) μήνες από τη λήξη κάθε</w:t>
      </w:r>
      <w:r>
        <w:rPr>
          <w:spacing w:val="-24"/>
          <w:sz w:val="22"/>
        </w:rPr>
        <w:t> </w:t>
      </w:r>
      <w:r>
        <w:rPr>
          <w:sz w:val="22"/>
        </w:rPr>
        <w:t>έργου.</w:t>
      </w:r>
    </w:p>
    <w:p>
      <w:pPr>
        <w:pStyle w:val="ListParagraph"/>
        <w:numPr>
          <w:ilvl w:val="1"/>
          <w:numId w:val="22"/>
        </w:numPr>
        <w:tabs>
          <w:tab w:pos="820" w:val="left" w:leader="none"/>
          <w:tab w:pos="821" w:val="left" w:leader="none"/>
        </w:tabs>
        <w:spacing w:line="276" w:lineRule="auto" w:before="1" w:after="0"/>
        <w:ind w:left="820" w:right="4785" w:hanging="360"/>
        <w:jc w:val="left"/>
        <w:rPr>
          <w:sz w:val="22"/>
        </w:rPr>
      </w:pPr>
      <w:r>
        <w:rPr>
          <w:sz w:val="22"/>
        </w:rPr>
        <w:t>Υπηρεσίες διαχείρισης του επενδυτικού σχεδίου Σημειώνεται</w:t>
      </w:r>
      <w:r>
        <w:rPr>
          <w:spacing w:val="-4"/>
          <w:sz w:val="22"/>
        </w:rPr>
        <w:t> </w:t>
      </w:r>
      <w:r>
        <w:rPr>
          <w:sz w:val="22"/>
        </w:rPr>
        <w:t>ότι:</w:t>
      </w:r>
    </w:p>
    <w:p>
      <w:pPr>
        <w:pStyle w:val="ListParagraph"/>
        <w:numPr>
          <w:ilvl w:val="0"/>
          <w:numId w:val="24"/>
        </w:numPr>
        <w:tabs>
          <w:tab w:pos="1540" w:val="left" w:leader="none"/>
          <w:tab w:pos="1541" w:val="left" w:leader="none"/>
        </w:tabs>
        <w:spacing w:line="268" w:lineRule="auto" w:before="0" w:after="0"/>
        <w:ind w:left="1540" w:right="114" w:hanging="360"/>
        <w:jc w:val="left"/>
        <w:rPr>
          <w:b/>
          <w:sz w:val="22"/>
        </w:rPr>
      </w:pPr>
      <w:r>
        <w:rPr>
          <w:sz w:val="22"/>
        </w:rPr>
        <w:t>Το συνολικό κόστος παρακολούθησης και διοίκησης του επενδυτικού σχεδίου δεν θα πρέπει να ξεπερνά τις 5.000€. Θα ελέγχεται μέσω του Παραρτήματος</w:t>
      </w:r>
      <w:r>
        <w:rPr>
          <w:spacing w:val="-17"/>
          <w:sz w:val="22"/>
        </w:rPr>
        <w:t> </w:t>
      </w:r>
      <w:r>
        <w:rPr>
          <w:b/>
          <w:sz w:val="22"/>
        </w:rPr>
        <w:t>Ι.2.</w:t>
      </w:r>
    </w:p>
    <w:p>
      <w:pPr>
        <w:pStyle w:val="ListParagraph"/>
        <w:numPr>
          <w:ilvl w:val="0"/>
          <w:numId w:val="24"/>
        </w:numPr>
        <w:tabs>
          <w:tab w:pos="1540" w:val="left" w:leader="none"/>
          <w:tab w:pos="1541" w:val="left" w:leader="none"/>
        </w:tabs>
        <w:spacing w:line="266" w:lineRule="auto" w:before="9" w:after="0"/>
        <w:ind w:left="1540" w:right="119" w:hanging="360"/>
        <w:jc w:val="left"/>
        <w:rPr>
          <w:sz w:val="22"/>
        </w:rPr>
      </w:pPr>
      <w:r>
        <w:rPr>
          <w:sz w:val="22"/>
        </w:rPr>
        <w:t>Οι πιθανές δαπάνες ταξιδιών των συμβούλων συμπεριλαμβάνονται στην συνολική αμοιβή τους και δεν είναι επιλέξιμες ως διακριτές</w:t>
      </w:r>
      <w:r>
        <w:rPr>
          <w:spacing w:val="-8"/>
          <w:sz w:val="22"/>
        </w:rPr>
        <w:t> </w:t>
      </w:r>
      <w:r>
        <w:rPr>
          <w:sz w:val="22"/>
        </w:rPr>
        <w:t>δαπάνες.</w:t>
      </w:r>
    </w:p>
    <w:p>
      <w:pPr>
        <w:pStyle w:val="ListParagraph"/>
        <w:numPr>
          <w:ilvl w:val="0"/>
          <w:numId w:val="24"/>
        </w:numPr>
        <w:tabs>
          <w:tab w:pos="1541" w:val="left" w:leader="none"/>
        </w:tabs>
        <w:spacing w:line="271" w:lineRule="auto" w:before="11" w:after="0"/>
        <w:ind w:left="1540" w:right="118" w:hanging="360"/>
        <w:jc w:val="both"/>
        <w:rPr>
          <w:sz w:val="22"/>
        </w:rPr>
      </w:pPr>
      <w:r>
        <w:rPr>
          <w:sz w:val="22"/>
        </w:rPr>
        <w:t>Για κάθε συμβουλευτική υπηρεσία, πρέπει να υπάρχει σχετική σύμβαση με την επιχείρηση. Η εν λόγω σύμβαση, ανεξαρτήτως του κόστους της συμβουλευτικής υπηρεσίας, θα πρέπει να είναι νομίμως καταχωρημένη στο</w:t>
      </w:r>
      <w:r>
        <w:rPr>
          <w:spacing w:val="-4"/>
          <w:sz w:val="22"/>
        </w:rPr>
        <w:t> </w:t>
      </w:r>
      <w:r>
        <w:rPr>
          <w:sz w:val="22"/>
        </w:rPr>
        <w:t>taxisnet.</w:t>
      </w:r>
    </w:p>
    <w:p>
      <w:pPr>
        <w:pStyle w:val="ListParagraph"/>
        <w:numPr>
          <w:ilvl w:val="0"/>
          <w:numId w:val="24"/>
        </w:numPr>
        <w:tabs>
          <w:tab w:pos="1541" w:val="left" w:leader="none"/>
        </w:tabs>
        <w:spacing w:line="271" w:lineRule="auto" w:before="6" w:after="0"/>
        <w:ind w:left="1540" w:right="118" w:hanging="360"/>
        <w:jc w:val="both"/>
        <w:rPr>
          <w:sz w:val="22"/>
        </w:rPr>
      </w:pPr>
      <w:r>
        <w:rPr>
          <w:sz w:val="22"/>
        </w:rPr>
        <w:t>Οι δαπάνες για τις μελέτες πυροπροστασίας, περιβαλλοντικών επιπτώσεων, απόκτησης άδειας λειτουργίας της επιχείρησης ή νόμιμου απαλλακτικού από αυτήν, καθώς και για μελέτες επαγγελματικού κινδύνου και άλλες παρεμφερείς μελέτες δεν είναι</w:t>
      </w:r>
      <w:r>
        <w:rPr>
          <w:spacing w:val="-22"/>
          <w:sz w:val="22"/>
        </w:rPr>
        <w:t> </w:t>
      </w:r>
      <w:r>
        <w:rPr>
          <w:sz w:val="22"/>
        </w:rPr>
        <w:t>επιλέξιμες.</w:t>
      </w:r>
    </w:p>
    <w:p>
      <w:pPr>
        <w:spacing w:after="0" w:line="271" w:lineRule="auto"/>
        <w:jc w:val="both"/>
        <w:rPr>
          <w:sz w:val="22"/>
        </w:rPr>
        <w:sectPr>
          <w:pgSz w:w="11910" w:h="16840"/>
          <w:pgMar w:header="748" w:footer="734" w:top="1420" w:bottom="920" w:left="980" w:right="960"/>
        </w:sectPr>
      </w:pPr>
    </w:p>
    <w:p>
      <w:pPr>
        <w:pStyle w:val="BodyText"/>
        <w:spacing w:before="1"/>
        <w:rPr>
          <w:sz w:val="16"/>
        </w:rPr>
      </w:pPr>
    </w:p>
    <w:p>
      <w:pPr>
        <w:pStyle w:val="ListParagraph"/>
        <w:numPr>
          <w:ilvl w:val="0"/>
          <w:numId w:val="24"/>
        </w:numPr>
        <w:tabs>
          <w:tab w:pos="1541" w:val="left" w:leader="none"/>
        </w:tabs>
        <w:spacing w:line="271" w:lineRule="auto" w:before="75" w:after="0"/>
        <w:ind w:left="1540" w:right="116" w:hanging="360"/>
        <w:jc w:val="both"/>
        <w:rPr>
          <w:sz w:val="22"/>
        </w:rPr>
      </w:pPr>
      <w:r>
        <w:rPr>
          <w:sz w:val="22"/>
        </w:rPr>
        <w:t>Οι δαπάνες της κατηγορίας αυτής θα αξιολογούνται για τη σκοπιμότητά τους σε σχέση με  το μέγεθος της επιχείρησης, καθώς και για τη συνάφειά τους σε σχέση με το επενδυτικό σχέδιο.</w:t>
      </w:r>
    </w:p>
    <w:p>
      <w:pPr>
        <w:pStyle w:val="ListParagraph"/>
        <w:numPr>
          <w:ilvl w:val="0"/>
          <w:numId w:val="24"/>
        </w:numPr>
        <w:tabs>
          <w:tab w:pos="1540" w:val="left" w:leader="none"/>
          <w:tab w:pos="1541" w:val="left" w:leader="none"/>
        </w:tabs>
        <w:spacing w:line="240" w:lineRule="auto" w:before="6" w:after="0"/>
        <w:ind w:left="1540" w:right="0" w:hanging="360"/>
        <w:jc w:val="left"/>
        <w:rPr>
          <w:sz w:val="22"/>
        </w:rPr>
      </w:pPr>
      <w:r>
        <w:rPr>
          <w:sz w:val="22"/>
        </w:rPr>
        <w:t>Δεν είναι επιλέξιμες οι δαπάνες που αφορούν σε δασμούς, φόρους,</w:t>
      </w:r>
      <w:r>
        <w:rPr>
          <w:spacing w:val="-18"/>
          <w:sz w:val="22"/>
        </w:rPr>
        <w:t> </w:t>
      </w:r>
      <w:r>
        <w:rPr>
          <w:sz w:val="22"/>
        </w:rPr>
        <w:t>τέλη.</w:t>
      </w:r>
    </w:p>
    <w:p>
      <w:pPr>
        <w:pStyle w:val="BodyText"/>
        <w:rPr>
          <w:sz w:val="24"/>
        </w:rPr>
      </w:pPr>
    </w:p>
    <w:p>
      <w:pPr>
        <w:pStyle w:val="BodyText"/>
        <w:spacing w:before="7"/>
        <w:rPr>
          <w:sz w:val="23"/>
        </w:rPr>
      </w:pPr>
    </w:p>
    <w:p>
      <w:pPr>
        <w:pStyle w:val="Heading4"/>
      </w:pPr>
      <w:r>
        <w:rPr/>
        <w:t>γ)    Ενισχύσεις για συμμετοχή σε εμπορικές εκθέσεις:</w:t>
      </w:r>
    </w:p>
    <w:p>
      <w:pPr>
        <w:pStyle w:val="BodyText"/>
        <w:spacing w:line="276" w:lineRule="auto" w:before="134"/>
        <w:ind w:left="460" w:right="113"/>
        <w:jc w:val="both"/>
      </w:pPr>
      <w:r>
        <w:rPr/>
        <w:t>Επιλέξιμες είναι κάθε μορφής ενέργειες και δαπάνες που στοχεύουν στην προβολή της επιχείρησης και στην προώθηση της υπηρεσίας/του προϊόντος της, υπό τους ακόλουθους όρους: Επιτρέπεται η συμμετοχή σε εκθέσεις μόνο ως εκθέτης. Η συμμετοχή πρέπει να αφορά, είτε στην προώθηση υπαρχόντων προϊόντων και υπηρεσιών σε νέες αγορές, είτε στην προώθηση νέων προϊόντων και υπηρεσιών σε δεδομένες για την επιχείρηση-εκθέτη αγορές.</w:t>
      </w:r>
    </w:p>
    <w:p>
      <w:pPr>
        <w:pStyle w:val="ListParagraph"/>
        <w:numPr>
          <w:ilvl w:val="2"/>
          <w:numId w:val="22"/>
        </w:numPr>
        <w:tabs>
          <w:tab w:pos="1181" w:val="left" w:leader="none"/>
        </w:tabs>
        <w:spacing w:line="276" w:lineRule="auto" w:before="121" w:after="0"/>
        <w:ind w:left="1180" w:right="116" w:hanging="360"/>
        <w:jc w:val="both"/>
        <w:rPr>
          <w:b/>
          <w:sz w:val="22"/>
        </w:rPr>
      </w:pPr>
      <w:r>
        <w:rPr>
          <w:sz w:val="22"/>
        </w:rPr>
        <w:t>Στην περίπτωση συμμετοχής σε Επαγγελματικές Εκθέσεις που γίνονται στην Ελλάδα, το συνολικό επιλέξιμο κόστος (κόστος συμμετοχής, μεταφορά υλικών κλπ.) δεν θα υπερβαίνει τις 10.000€/ έκθεση. Θα ελέγχεται μέσω του Παραρτήματος</w:t>
      </w:r>
      <w:r>
        <w:rPr>
          <w:spacing w:val="-15"/>
          <w:sz w:val="22"/>
        </w:rPr>
        <w:t> </w:t>
      </w:r>
      <w:r>
        <w:rPr>
          <w:b/>
          <w:sz w:val="22"/>
        </w:rPr>
        <w:t>Ι.2.</w:t>
      </w:r>
    </w:p>
    <w:p>
      <w:pPr>
        <w:pStyle w:val="ListParagraph"/>
        <w:numPr>
          <w:ilvl w:val="2"/>
          <w:numId w:val="22"/>
        </w:numPr>
        <w:tabs>
          <w:tab w:pos="1181" w:val="left" w:leader="none"/>
        </w:tabs>
        <w:spacing w:line="276" w:lineRule="auto" w:before="1" w:after="0"/>
        <w:ind w:left="1180" w:right="116" w:hanging="360"/>
        <w:jc w:val="both"/>
        <w:rPr>
          <w:b/>
          <w:sz w:val="22"/>
        </w:rPr>
      </w:pPr>
      <w:r>
        <w:rPr>
          <w:sz w:val="22"/>
        </w:rPr>
        <w:t>Στην περίπτωση συμμετοχής σε Επαγγελματικές Εκθέσεις που γίνονται στο Εξωτερικό το συνολικό επιλέξιμο κόστος (κόστος συμμετοχής, μεταφορά υλικών κλπ.) δεν θα υπερβαίνει τις 20.000€/ έκθεση. Θα ελέγχεται μέσω του Παραρτήματος</w:t>
      </w:r>
      <w:r>
        <w:rPr>
          <w:spacing w:val="-15"/>
          <w:sz w:val="22"/>
        </w:rPr>
        <w:t> </w:t>
      </w:r>
      <w:r>
        <w:rPr>
          <w:b/>
          <w:sz w:val="22"/>
        </w:rPr>
        <w:t>Ι.2.</w:t>
      </w:r>
    </w:p>
    <w:p>
      <w:pPr>
        <w:pStyle w:val="BodyText"/>
        <w:rPr>
          <w:b/>
        </w:rPr>
      </w:pPr>
    </w:p>
    <w:p>
      <w:pPr>
        <w:pStyle w:val="BodyText"/>
        <w:spacing w:before="11"/>
        <w:rPr>
          <w:b/>
        </w:rPr>
      </w:pPr>
    </w:p>
    <w:p>
      <w:pPr>
        <w:pStyle w:val="Heading4"/>
      </w:pPr>
      <w:r>
        <w:rPr/>
        <w:t>δ)   Ενισχύσεις Καινοτομίας:</w:t>
      </w:r>
    </w:p>
    <w:p>
      <w:pPr>
        <w:spacing w:line="276" w:lineRule="auto" w:before="134"/>
        <w:ind w:left="100" w:right="120" w:firstLine="0"/>
        <w:jc w:val="both"/>
        <w:rPr>
          <w:b/>
          <w:sz w:val="22"/>
        </w:rPr>
      </w:pPr>
      <w:r>
        <w:rPr>
          <w:b/>
          <w:sz w:val="22"/>
        </w:rPr>
        <w:t>Απόκτηση, μεταφορά και χρήση δικαιωμάτων τεχνογνωσίας ή και αδειών εκμετάλλευσης για την υλοποίηση του προτεινόμενου επενδυτικού σχεδίου.</w:t>
      </w:r>
    </w:p>
    <w:p>
      <w:pPr>
        <w:pStyle w:val="BodyText"/>
        <w:spacing w:line="276" w:lineRule="auto" w:before="118"/>
        <w:ind w:left="100" w:right="112"/>
        <w:jc w:val="both"/>
      </w:pPr>
      <w:r>
        <w:rPr/>
        <w:t>Οι δαπάνες αφορούν το σύνολο των ενεργειών που θα πραγματοποιηθούν για την απόκτηση, προστασία, μεταφορά και χρήση και εκμετάλλευση της απαιτούμενης τεχνογνωσίας (π.χ. αγορά δικαιωμάτων πνευματικής ιδιοκτησίας, αδειών εκμετάλλευσης, τεχνογνωσίας, μη κατοχυρωμένων τεχνικών γνώσεων, αγορά προτύπων ή αδειών εκμετάλλευσης προτύπων κλπ.) για την υλοποίηση των προτεινόμενων έργων. Η αποκτώμενη τεχνογνωσία θα πρέπει να συνδέεται με τη μορφή και τους στόχους του επενδυτικού σχεδίου και να συνοδεύεται από τα απαιτούμενα παραδοτέα. Η τεχνογνωσία μπορεί να προέρχεται είτε από το εσωτερικό είτε από το εξωτερικό. Με την απόκτηση των δικαιωμάτων τεχνογνωσίας η επιχείρηση πρέπει να εγγράψει την εν λόγω δαπάνη στο Μητρώο παγίων (όπου απαιτείται) κατά τα προβλεπόμενα στην Εθνική φορολογική νομοθεσία.</w:t>
      </w:r>
    </w:p>
    <w:p>
      <w:pPr>
        <w:pStyle w:val="BodyText"/>
        <w:spacing w:before="120"/>
        <w:ind w:left="100"/>
        <w:jc w:val="both"/>
      </w:pPr>
      <w:r>
        <w:rPr/>
        <w:t>Στην κατηγορία αυτή περιλαμβάνονται οι ακόλουθες δαπάνες:</w:t>
      </w:r>
    </w:p>
    <w:p>
      <w:pPr>
        <w:pStyle w:val="ListParagraph"/>
        <w:numPr>
          <w:ilvl w:val="0"/>
          <w:numId w:val="25"/>
        </w:numPr>
        <w:tabs>
          <w:tab w:pos="631" w:val="left" w:leader="none"/>
        </w:tabs>
        <w:spacing w:line="276" w:lineRule="auto" w:before="158" w:after="0"/>
        <w:ind w:left="630" w:right="116" w:hanging="466"/>
        <w:jc w:val="both"/>
        <w:rPr>
          <w:sz w:val="22"/>
        </w:rPr>
      </w:pPr>
      <w:r>
        <w:rPr>
          <w:b/>
          <w:sz w:val="22"/>
        </w:rPr>
        <w:t>Δαπάνες για άυλα στοιχεία ενεργητικού</w:t>
      </w:r>
      <w:r>
        <w:rPr>
          <w:sz w:val="22"/>
        </w:rPr>
        <w:t>. Αφορά σε δαπάνες για την απόκτηση, την επικύρωση και την προστασία των διπλωμάτων ευρεσιτεχνίας και λοιπών άυλων στοιχείων ενεργητικού (σχετίζονται με την απονομή δικαιώματος που προκύπτει ως αποτέλεσμα ερευνητικών δραστηριοτήτων που εκτελεί, χρηματοδοτεί ή στις οποίες συμμετέχει ο</w:t>
      </w:r>
      <w:r>
        <w:rPr>
          <w:spacing w:val="-10"/>
          <w:sz w:val="22"/>
        </w:rPr>
        <w:t> </w:t>
      </w:r>
      <w:r>
        <w:rPr>
          <w:sz w:val="22"/>
        </w:rPr>
        <w:t>δικαιούχος).</w:t>
      </w:r>
    </w:p>
    <w:p>
      <w:pPr>
        <w:pStyle w:val="ListParagraph"/>
        <w:numPr>
          <w:ilvl w:val="0"/>
          <w:numId w:val="25"/>
        </w:numPr>
        <w:tabs>
          <w:tab w:pos="631" w:val="left" w:leader="none"/>
        </w:tabs>
        <w:spacing w:line="276" w:lineRule="auto" w:before="0" w:after="0"/>
        <w:ind w:left="630" w:right="113" w:hanging="516"/>
        <w:jc w:val="both"/>
        <w:rPr>
          <w:sz w:val="22"/>
        </w:rPr>
      </w:pPr>
      <w:r>
        <w:rPr>
          <w:b/>
          <w:sz w:val="22"/>
        </w:rPr>
        <w:t>Γνώσεις και διπλώματα ευρεσιτεχνίας</w:t>
      </w:r>
      <w:r>
        <w:rPr>
          <w:sz w:val="22"/>
        </w:rPr>
        <w:t>. Προκειμένου να είναι επιλέξιμες οι σχετικές δαπάνες, οι γνώσεις και τα διπλώματα ευρεσιτεχνίας θα πρέπει να αγοράστηκαν ή να ελήφθησαν –bought or licensed- με άδεια εκμετάλλευσης από εξωτερικές πηγές, με τήρηση της αρχής των ίσων αποστάσεων. Για τις δαπάνες της υποκατηγορίας ισχύουν τα προβλεπόμενα στο Άρθρο 16 (περίπτωση Ε) της ΥΑΕΚΕΔ.</w:t>
      </w:r>
    </w:p>
    <w:p>
      <w:pPr>
        <w:spacing w:after="0" w:line="276" w:lineRule="auto"/>
        <w:jc w:val="both"/>
        <w:rPr>
          <w:sz w:val="22"/>
        </w:rPr>
        <w:sectPr>
          <w:footerReference w:type="default" r:id="rId25"/>
          <w:pgSz w:w="11910" w:h="16840"/>
          <w:pgMar w:footer="734" w:header="748" w:top="1420" w:bottom="920" w:left="980" w:right="960"/>
        </w:sectPr>
      </w:pPr>
    </w:p>
    <w:p>
      <w:pPr>
        <w:pStyle w:val="BodyText"/>
        <w:spacing w:before="7"/>
        <w:rPr>
          <w:sz w:val="17"/>
        </w:rPr>
      </w:pPr>
    </w:p>
    <w:p>
      <w:pPr>
        <w:pStyle w:val="ListParagraph"/>
        <w:numPr>
          <w:ilvl w:val="0"/>
          <w:numId w:val="25"/>
        </w:numPr>
        <w:tabs>
          <w:tab w:pos="671" w:val="left" w:leader="none"/>
        </w:tabs>
        <w:spacing w:line="276" w:lineRule="auto" w:before="57" w:after="0"/>
        <w:ind w:left="670" w:right="116" w:hanging="566"/>
        <w:jc w:val="both"/>
        <w:rPr>
          <w:sz w:val="22"/>
        </w:rPr>
      </w:pPr>
      <w:r>
        <w:rPr>
          <w:b/>
          <w:sz w:val="22"/>
        </w:rPr>
        <w:t>Δαπάνες για υπηρεσίες καινοτομίας. </w:t>
      </w:r>
      <w:r>
        <w:rPr>
          <w:sz w:val="22"/>
        </w:rPr>
        <w:t>Οι συμβουλευτικές υπηρεσίες, η συνδρομή και η  επαγγελματική κατάρτιση στους τομείς της μεταφοράς γνώσεων, της απόκτησης, της προστασίας και της εκμετάλλευσης άυλων στοιχείων ενεργητικού, της χρήσης προτύπων και κανονισμών που τα εμπεριέχουν (σύμβαση παροχής υπηρεσιών, οι οποίες χρησιμοποιούνται αποκλειστικά για το</w:t>
      </w:r>
      <w:r>
        <w:rPr>
          <w:spacing w:val="-10"/>
          <w:sz w:val="22"/>
        </w:rPr>
        <w:t> </w:t>
      </w:r>
      <w:r>
        <w:rPr>
          <w:sz w:val="22"/>
        </w:rPr>
        <w:t>έργο).</w:t>
      </w:r>
    </w:p>
    <w:p>
      <w:pPr>
        <w:pStyle w:val="BodyText"/>
      </w:pPr>
    </w:p>
    <w:p>
      <w:pPr>
        <w:pStyle w:val="BodyText"/>
        <w:spacing w:before="10"/>
      </w:pPr>
    </w:p>
    <w:p>
      <w:pPr>
        <w:pStyle w:val="Heading4"/>
        <w:spacing w:before="1"/>
        <w:ind w:left="140"/>
        <w:jc w:val="left"/>
      </w:pPr>
      <w:r>
        <w:rPr/>
        <w:t>ε)    Δαπάνες προσωπικού (Μισθολογικό κόστος νέου προσωπικού)</w:t>
      </w:r>
    </w:p>
    <w:p>
      <w:pPr>
        <w:spacing w:line="360" w:lineRule="auto" w:before="134"/>
        <w:ind w:left="500" w:right="113" w:firstLine="0"/>
        <w:jc w:val="both"/>
        <w:rPr>
          <w:b/>
          <w:sz w:val="22"/>
        </w:rPr>
      </w:pPr>
      <w:r>
        <w:rPr>
          <w:b/>
          <w:sz w:val="22"/>
        </w:rPr>
        <w:t>Επιλέξιμες είναι οι δαπάνες που αφορούν στο πλήρες μισθολογικό κόστος, Νεοπροσλαμβανόμενου Προσωπικού από την 1-1-2019 ή μετέπειτα. Σημειώνεται ότι δεν είναι επιλέξιμη η πρόσληψη  συζύγων και συγγενών α’ και β’ βαθμού μετόχων ή/και εταίρων της</w:t>
      </w:r>
      <w:r>
        <w:rPr>
          <w:b/>
          <w:spacing w:val="-13"/>
          <w:sz w:val="22"/>
        </w:rPr>
        <w:t> </w:t>
      </w:r>
      <w:r>
        <w:rPr>
          <w:b/>
          <w:sz w:val="22"/>
        </w:rPr>
        <w:t>επιχείρησης.</w:t>
      </w:r>
    </w:p>
    <w:p>
      <w:pPr>
        <w:pStyle w:val="BodyText"/>
        <w:spacing w:line="276" w:lineRule="auto"/>
        <w:ind w:left="500" w:right="118"/>
        <w:jc w:val="both"/>
      </w:pPr>
      <w:r>
        <w:rPr/>
        <w:t>Το μισθολογικό κόστος απασχολούμενων στην επιχείρηση είναι επιλέξιμο υπό τους  ακόλουθους  όρους:</w:t>
      </w:r>
    </w:p>
    <w:p>
      <w:pPr>
        <w:pStyle w:val="ListParagraph"/>
        <w:numPr>
          <w:ilvl w:val="1"/>
          <w:numId w:val="25"/>
        </w:numPr>
        <w:tabs>
          <w:tab w:pos="1221" w:val="left" w:leader="none"/>
        </w:tabs>
        <w:spacing w:line="276" w:lineRule="auto" w:before="0" w:after="0"/>
        <w:ind w:left="1220" w:right="114" w:hanging="360"/>
        <w:jc w:val="both"/>
        <w:rPr>
          <w:sz w:val="22"/>
        </w:rPr>
      </w:pPr>
      <w:r>
        <w:rPr>
          <w:sz w:val="22"/>
        </w:rPr>
        <w:t>Οι εργαζόμενοι να απασχολούνται στην επιχείρηση με εξαρτημένη πλήρη ή μερική απασχόληση (μισθωτή</w:t>
      </w:r>
      <w:r>
        <w:rPr>
          <w:spacing w:val="-1"/>
          <w:sz w:val="22"/>
        </w:rPr>
        <w:t> </w:t>
      </w:r>
      <w:r>
        <w:rPr>
          <w:sz w:val="22"/>
        </w:rPr>
        <w:t>εργασία).</w:t>
      </w:r>
    </w:p>
    <w:p>
      <w:pPr>
        <w:pStyle w:val="ListParagraph"/>
        <w:numPr>
          <w:ilvl w:val="1"/>
          <w:numId w:val="25"/>
        </w:numPr>
        <w:tabs>
          <w:tab w:pos="1221" w:val="left" w:leader="none"/>
        </w:tabs>
        <w:spacing w:line="276" w:lineRule="auto" w:before="0" w:after="0"/>
        <w:ind w:left="1220" w:right="119" w:hanging="360"/>
        <w:jc w:val="both"/>
        <w:rPr>
          <w:sz w:val="22"/>
        </w:rPr>
      </w:pPr>
      <w:r>
        <w:rPr>
          <w:sz w:val="22"/>
        </w:rPr>
        <w:t>Δαπάνες στην κατηγορία αυτή είναι επιλέξιμες κατά τη διάρκεια υλοποίησης της πράξης και εφόσον οι εργαζόμενοι εμπλέκονται στην υλοποίηση του επενδυτικού</w:t>
      </w:r>
      <w:r>
        <w:rPr>
          <w:spacing w:val="-17"/>
          <w:sz w:val="22"/>
        </w:rPr>
        <w:t> </w:t>
      </w:r>
      <w:r>
        <w:rPr>
          <w:sz w:val="22"/>
        </w:rPr>
        <w:t>σχεδίου.</w:t>
      </w:r>
    </w:p>
    <w:p>
      <w:pPr>
        <w:pStyle w:val="ListParagraph"/>
        <w:numPr>
          <w:ilvl w:val="1"/>
          <w:numId w:val="25"/>
        </w:numPr>
        <w:tabs>
          <w:tab w:pos="1221" w:val="left" w:leader="none"/>
        </w:tabs>
        <w:spacing w:line="273" w:lineRule="auto" w:before="1" w:after="0"/>
        <w:ind w:left="1220" w:right="115" w:hanging="360"/>
        <w:jc w:val="both"/>
        <w:rPr>
          <w:sz w:val="22"/>
        </w:rPr>
      </w:pPr>
      <w:r>
        <w:rPr>
          <w:sz w:val="22"/>
        </w:rPr>
        <w:t>Οι δαπάνες της κατηγορίας αυτής περιλαμβάνονται στο συνολικό επιχορηγούμενο Π/Υ του επενδυτικού σχεδίου και μέχρι του επιλέξιμου</w:t>
      </w:r>
      <w:r>
        <w:rPr>
          <w:spacing w:val="-12"/>
          <w:sz w:val="22"/>
        </w:rPr>
        <w:t> </w:t>
      </w:r>
      <w:r>
        <w:rPr>
          <w:sz w:val="22"/>
        </w:rPr>
        <w:t>ορίου.</w:t>
      </w:r>
    </w:p>
    <w:p>
      <w:pPr>
        <w:pStyle w:val="ListParagraph"/>
        <w:numPr>
          <w:ilvl w:val="1"/>
          <w:numId w:val="25"/>
        </w:numPr>
        <w:tabs>
          <w:tab w:pos="1221" w:val="left" w:leader="none"/>
        </w:tabs>
        <w:spacing w:line="276" w:lineRule="auto" w:before="3" w:after="0"/>
        <w:ind w:left="1220" w:right="115" w:hanging="360"/>
        <w:jc w:val="both"/>
        <w:rPr>
          <w:sz w:val="22"/>
        </w:rPr>
      </w:pPr>
      <w:r>
        <w:rPr>
          <w:sz w:val="22"/>
        </w:rPr>
        <w:t>Η επιχορήγηση νεοπροσλαμβανόμενου Προσωπικού, αφορά σε επιχορηγούμενες ετήσιες μονάδες εργασίας (ΕΜΕ) </w:t>
      </w:r>
      <w:r>
        <w:rPr>
          <w:sz w:val="22"/>
          <w:u w:val="single"/>
        </w:rPr>
        <w:t>πρόσθετες </w:t>
      </w:r>
      <w:r>
        <w:rPr>
          <w:sz w:val="22"/>
        </w:rPr>
        <w:t>ως προς τις ΕΜΕ της επιχείρησης κατά το έτος 2018 και με </w:t>
      </w:r>
      <w:r>
        <w:rPr>
          <w:sz w:val="22"/>
          <w:u w:val="single"/>
        </w:rPr>
        <w:t>υποχρέωση διατήρησης </w:t>
      </w:r>
      <w:r>
        <w:rPr>
          <w:sz w:val="22"/>
        </w:rPr>
        <w:t>των ΕΜΕ έτους 2018 καθ΄όλη τη διάρκεια υλοποίησης του επενδυτικού σχεδίου.</w:t>
      </w:r>
    </w:p>
    <w:p>
      <w:pPr>
        <w:pStyle w:val="ListParagraph"/>
        <w:numPr>
          <w:ilvl w:val="1"/>
          <w:numId w:val="25"/>
        </w:numPr>
        <w:tabs>
          <w:tab w:pos="1220" w:val="left" w:leader="none"/>
          <w:tab w:pos="1221" w:val="left" w:leader="none"/>
        </w:tabs>
        <w:spacing w:line="240" w:lineRule="auto" w:before="1" w:after="0"/>
        <w:ind w:left="1220" w:right="0" w:hanging="360"/>
        <w:jc w:val="left"/>
        <w:rPr>
          <w:sz w:val="22"/>
        </w:rPr>
      </w:pPr>
      <w:r>
        <w:rPr>
          <w:sz w:val="22"/>
        </w:rPr>
        <w:t>Η τήρηση της παραπάνω όρου, ελέγχεται κατά την ολοκλήρωση του επενδυτικού</w:t>
      </w:r>
      <w:r>
        <w:rPr>
          <w:spacing w:val="-14"/>
          <w:sz w:val="22"/>
        </w:rPr>
        <w:t> </w:t>
      </w:r>
      <w:r>
        <w:rPr>
          <w:sz w:val="22"/>
        </w:rPr>
        <w:t>σχεδίου.</w:t>
      </w:r>
    </w:p>
    <w:p>
      <w:pPr>
        <w:pStyle w:val="ListParagraph"/>
        <w:numPr>
          <w:ilvl w:val="1"/>
          <w:numId w:val="25"/>
        </w:numPr>
        <w:tabs>
          <w:tab w:pos="1221" w:val="left" w:leader="none"/>
        </w:tabs>
        <w:spacing w:line="276" w:lineRule="auto" w:before="39" w:after="0"/>
        <w:ind w:left="1220" w:right="118" w:hanging="360"/>
        <w:jc w:val="both"/>
        <w:rPr>
          <w:sz w:val="22"/>
        </w:rPr>
      </w:pPr>
      <w:r>
        <w:rPr>
          <w:sz w:val="22"/>
        </w:rPr>
        <w:t>Ε.Μ.Ε. μισθωτής εργασίας το κόστος της οποίας επιχορηγείται από άλλο Φορέα (πχ ΟΑΕΔ), προσμετράται στη διατήρηση προσωπικού (ΕΜΕ 2018). Ωστόσο, το μισθολογικό κόστος αυτής της ΕΜΕ δεν είναι επιλέξιμη δαπάνη προς συγχρηματοδότηση στην παρούσα Κατηγορία Δαπανών.</w:t>
      </w:r>
    </w:p>
    <w:p>
      <w:pPr>
        <w:pStyle w:val="ListParagraph"/>
        <w:numPr>
          <w:ilvl w:val="1"/>
          <w:numId w:val="25"/>
        </w:numPr>
        <w:tabs>
          <w:tab w:pos="1271" w:val="left" w:leader="none"/>
        </w:tabs>
        <w:spacing w:line="273" w:lineRule="auto" w:before="1" w:after="0"/>
        <w:ind w:left="1220" w:right="113" w:hanging="360"/>
        <w:jc w:val="both"/>
        <w:rPr>
          <w:sz w:val="22"/>
        </w:rPr>
      </w:pPr>
      <w:r>
        <w:rPr>
          <w:sz w:val="22"/>
        </w:rPr>
        <w:t>Όλοι οι υπολογισμοί γίνονται σε ΕΜΕ. Εργαζόμενοι που απασχολούνται με μερική απασχόληση λογίζονται ως κλάσματα</w:t>
      </w:r>
      <w:r>
        <w:rPr>
          <w:spacing w:val="-7"/>
          <w:sz w:val="22"/>
        </w:rPr>
        <w:t> </w:t>
      </w:r>
      <w:r>
        <w:rPr>
          <w:sz w:val="22"/>
        </w:rPr>
        <w:t>ΕΜΕ.</w:t>
      </w:r>
    </w:p>
    <w:p>
      <w:pPr>
        <w:pStyle w:val="BodyText"/>
      </w:pPr>
    </w:p>
    <w:p>
      <w:pPr>
        <w:pStyle w:val="BodyText"/>
      </w:pPr>
    </w:p>
    <w:p>
      <w:pPr>
        <w:pStyle w:val="Heading4"/>
        <w:numPr>
          <w:ilvl w:val="1"/>
          <w:numId w:val="16"/>
        </w:numPr>
        <w:tabs>
          <w:tab w:pos="860" w:val="left" w:leader="none"/>
          <w:tab w:pos="861" w:val="left" w:leader="none"/>
        </w:tabs>
        <w:spacing w:line="240" w:lineRule="auto" w:before="136" w:after="0"/>
        <w:ind w:left="860" w:right="0" w:hanging="720"/>
        <w:jc w:val="left"/>
      </w:pPr>
      <w:bookmarkStart w:name="_TOC_250045" w:id="11"/>
      <w:r>
        <w:rPr/>
        <w:t>ΜΗ ΕΠΙΛΕΞΙΜΕΣ</w:t>
      </w:r>
      <w:r>
        <w:rPr>
          <w:spacing w:val="-1"/>
        </w:rPr>
        <w:t> </w:t>
      </w:r>
      <w:bookmarkEnd w:id="11"/>
      <w:r>
        <w:rPr/>
        <w:t>ΔΑΠΑΝΕΣ</w:t>
      </w:r>
    </w:p>
    <w:p>
      <w:pPr>
        <w:spacing w:before="120"/>
        <w:ind w:left="140" w:right="0" w:firstLine="0"/>
        <w:jc w:val="left"/>
        <w:rPr>
          <w:b/>
          <w:sz w:val="22"/>
        </w:rPr>
      </w:pPr>
      <w:r>
        <w:rPr>
          <w:b/>
          <w:sz w:val="22"/>
        </w:rPr>
        <w:t>Δεν αποτελούν επιλέξιμες δαπάνες οι παρακάτω:</w:t>
      </w:r>
    </w:p>
    <w:p>
      <w:pPr>
        <w:pStyle w:val="ListParagraph"/>
        <w:numPr>
          <w:ilvl w:val="0"/>
          <w:numId w:val="26"/>
        </w:numPr>
        <w:tabs>
          <w:tab w:pos="670" w:val="left" w:leader="none"/>
          <w:tab w:pos="671" w:val="left" w:leader="none"/>
        </w:tabs>
        <w:spacing w:line="240" w:lineRule="auto" w:before="158" w:after="0"/>
        <w:ind w:left="670" w:right="0" w:hanging="466"/>
        <w:jc w:val="left"/>
        <w:rPr>
          <w:sz w:val="22"/>
        </w:rPr>
      </w:pPr>
      <w:r>
        <w:rPr>
          <w:sz w:val="22"/>
        </w:rPr>
        <w:t>Δαπάνες που πραγματοποιούνται πριν από τον χρόνο έναρξης επιλεξιμότητας</w:t>
      </w:r>
      <w:r>
        <w:rPr>
          <w:spacing w:val="-20"/>
          <w:sz w:val="22"/>
        </w:rPr>
        <w:t> </w:t>
      </w:r>
      <w:r>
        <w:rPr>
          <w:sz w:val="22"/>
        </w:rPr>
        <w:t>δαπανών.</w:t>
      </w:r>
    </w:p>
    <w:p>
      <w:pPr>
        <w:pStyle w:val="ListParagraph"/>
        <w:numPr>
          <w:ilvl w:val="0"/>
          <w:numId w:val="26"/>
        </w:numPr>
        <w:tabs>
          <w:tab w:pos="670" w:val="left" w:leader="none"/>
          <w:tab w:pos="671" w:val="left" w:leader="none"/>
        </w:tabs>
        <w:spacing w:line="276" w:lineRule="auto" w:before="161" w:after="0"/>
        <w:ind w:left="670" w:right="119" w:hanging="516"/>
        <w:jc w:val="left"/>
        <w:rPr>
          <w:sz w:val="22"/>
        </w:rPr>
      </w:pPr>
      <w:r>
        <w:rPr>
          <w:sz w:val="22"/>
        </w:rPr>
        <w:t>Δαπάνες εργασιών που πραγματοποιούνται πριν την έγκριση των προβλεπόμενων από τη νομοθεσία αδειών και</w:t>
      </w:r>
      <w:r>
        <w:rPr>
          <w:spacing w:val="1"/>
          <w:sz w:val="22"/>
        </w:rPr>
        <w:t> </w:t>
      </w:r>
      <w:r>
        <w:rPr>
          <w:sz w:val="22"/>
        </w:rPr>
        <w:t>εγκρίσεων.</w:t>
      </w:r>
    </w:p>
    <w:p>
      <w:pPr>
        <w:pStyle w:val="ListParagraph"/>
        <w:numPr>
          <w:ilvl w:val="0"/>
          <w:numId w:val="26"/>
        </w:numPr>
        <w:tabs>
          <w:tab w:pos="670" w:val="left" w:leader="none"/>
          <w:tab w:pos="671" w:val="left" w:leader="none"/>
        </w:tabs>
        <w:spacing w:line="276" w:lineRule="auto" w:before="118" w:after="0"/>
        <w:ind w:left="670" w:right="113" w:hanging="566"/>
        <w:jc w:val="left"/>
        <w:rPr>
          <w:sz w:val="22"/>
        </w:rPr>
      </w:pPr>
      <w:r>
        <w:rPr>
          <w:sz w:val="22"/>
        </w:rPr>
        <w:t>Εργοδοτικές εισφορές για κατασκευαστικές εργασίες, καθώς και δαπάνες που αφορούν σε δασμούς, φόρους,</w:t>
      </w:r>
      <w:r>
        <w:rPr>
          <w:spacing w:val="-1"/>
          <w:sz w:val="22"/>
        </w:rPr>
        <w:t> </w:t>
      </w:r>
      <w:r>
        <w:rPr>
          <w:sz w:val="22"/>
        </w:rPr>
        <w:t>τέλη.</w:t>
      </w:r>
    </w:p>
    <w:p>
      <w:pPr>
        <w:pStyle w:val="ListParagraph"/>
        <w:numPr>
          <w:ilvl w:val="0"/>
          <w:numId w:val="26"/>
        </w:numPr>
        <w:tabs>
          <w:tab w:pos="670" w:val="left" w:leader="none"/>
          <w:tab w:pos="671" w:val="left" w:leader="none"/>
        </w:tabs>
        <w:spacing w:line="240" w:lineRule="auto" w:before="120" w:after="0"/>
        <w:ind w:left="670" w:right="0" w:hanging="566"/>
        <w:jc w:val="left"/>
        <w:rPr>
          <w:sz w:val="22"/>
        </w:rPr>
      </w:pPr>
      <w:r>
        <w:rPr>
          <w:sz w:val="22"/>
        </w:rPr>
        <w:t>Δαπάνες που αφορούν την σύνταξη του επενδυτικού</w:t>
      </w:r>
      <w:r>
        <w:rPr>
          <w:spacing w:val="-6"/>
          <w:sz w:val="22"/>
        </w:rPr>
        <w:t> </w:t>
      </w:r>
      <w:r>
        <w:rPr>
          <w:sz w:val="22"/>
        </w:rPr>
        <w:t>σχεδίου.</w:t>
      </w:r>
    </w:p>
    <w:p>
      <w:pPr>
        <w:spacing w:after="0" w:line="240" w:lineRule="auto"/>
        <w:jc w:val="left"/>
        <w:rPr>
          <w:sz w:val="22"/>
        </w:rPr>
        <w:sectPr>
          <w:footerReference w:type="default" r:id="rId26"/>
          <w:pgSz w:w="11910" w:h="16840"/>
          <w:pgMar w:footer="734" w:header="748" w:top="1420" w:bottom="920" w:left="940" w:right="960"/>
          <w:pgNumType w:start="31"/>
        </w:sectPr>
      </w:pPr>
    </w:p>
    <w:p>
      <w:pPr>
        <w:pStyle w:val="BodyText"/>
        <w:spacing w:before="7"/>
        <w:rPr>
          <w:sz w:val="17"/>
        </w:rPr>
      </w:pPr>
    </w:p>
    <w:p>
      <w:pPr>
        <w:pStyle w:val="ListParagraph"/>
        <w:numPr>
          <w:ilvl w:val="0"/>
          <w:numId w:val="26"/>
        </w:numPr>
        <w:tabs>
          <w:tab w:pos="771" w:val="left" w:leader="none"/>
        </w:tabs>
        <w:spacing w:line="276" w:lineRule="auto" w:before="57" w:after="0"/>
        <w:ind w:left="770" w:right="114" w:hanging="516"/>
        <w:jc w:val="both"/>
        <w:rPr>
          <w:sz w:val="22"/>
        </w:rPr>
      </w:pPr>
      <w:r>
        <w:rPr>
          <w:sz w:val="22"/>
        </w:rPr>
        <w:t>Χρεωστικοί τόκοι, εκτός επιχορηγήσεων που δίνονται υπό τη μορφή επιδότησης επιτοκίου ή επιδότησης προμηθειών εγγύησης, οι προμήθειες χρηματοπιστωτικών συναλλαγών, τα έξοδα συναλλάγματος και οι χρεωστικές συναλλαγματικές διαφορές, καθώς και τα λοιπά καθαρά χρηματοοικονομικά έξοδα του</w:t>
      </w:r>
      <w:r>
        <w:rPr>
          <w:spacing w:val="-11"/>
          <w:sz w:val="22"/>
        </w:rPr>
        <w:t> </w:t>
      </w:r>
      <w:r>
        <w:rPr>
          <w:sz w:val="22"/>
        </w:rPr>
        <w:t>δικαιούχου.</w:t>
      </w:r>
    </w:p>
    <w:p>
      <w:pPr>
        <w:pStyle w:val="ListParagraph"/>
        <w:numPr>
          <w:ilvl w:val="0"/>
          <w:numId w:val="26"/>
        </w:numPr>
        <w:tabs>
          <w:tab w:pos="771" w:val="left" w:leader="none"/>
        </w:tabs>
        <w:spacing w:line="240" w:lineRule="auto" w:before="120" w:after="0"/>
        <w:ind w:left="770" w:right="0" w:hanging="566"/>
        <w:jc w:val="both"/>
        <w:rPr>
          <w:sz w:val="22"/>
        </w:rPr>
      </w:pPr>
      <w:r>
        <w:rPr>
          <w:sz w:val="22"/>
        </w:rPr>
        <w:t>Η αγορά μη οικοδομημένης και οικοδομημένης</w:t>
      </w:r>
      <w:r>
        <w:rPr>
          <w:spacing w:val="-7"/>
          <w:sz w:val="22"/>
        </w:rPr>
        <w:t> </w:t>
      </w:r>
      <w:r>
        <w:rPr>
          <w:sz w:val="22"/>
        </w:rPr>
        <w:t>γης.</w:t>
      </w:r>
    </w:p>
    <w:p>
      <w:pPr>
        <w:pStyle w:val="ListParagraph"/>
        <w:numPr>
          <w:ilvl w:val="0"/>
          <w:numId w:val="26"/>
        </w:numPr>
        <w:tabs>
          <w:tab w:pos="771" w:val="left" w:leader="none"/>
        </w:tabs>
        <w:spacing w:line="276" w:lineRule="auto" w:before="158" w:after="0"/>
        <w:ind w:left="770" w:right="116" w:hanging="617"/>
        <w:jc w:val="both"/>
        <w:rPr>
          <w:sz w:val="22"/>
        </w:rPr>
      </w:pPr>
      <w:r>
        <w:rPr>
          <w:sz w:val="22"/>
        </w:rPr>
        <w:t>Ο φόρος προστιθέμενης αξίας, εκτός της περίπτωσης που δεν είναι ανακτήσιμος δυνάμει της εθνικής νομοθεσίας για τον ΦΠΑ. Ο ΦΠΑ είναι επιλέξιμη δαπάνη, εφ’ όσον ο δικαιούχος δεν έχει δικαίωμα έκπτωσης ή επιστροφής του ΦΠΑ σύμφωνα με τις διατάξεις του κώδικα ΦΠΑ, όπως εκάστοτε ισχύει. Ειδικότερα, είναι επιλέξιμη δαπάνη εφ’ όσον βαρύνει δαπάνες που συνδέονται με την άσκηση εξαιρούμενων ή απαλλασσόμενων του ΦΠΑ δραστηριοτήτων του δικαιούχου και μόνο για το μέρος αυτό. Ο ΦΠΑ, που μπορεί να ανακτηθεί με οποιανδήποτε τρόπο δεν είναι επιλέξιμη δαπάνη ακόμη και εάν δεν ανακτάται από το δικαιούχο. Ο ΦΠΑ, που βαρύνει δαπάνες, που χρησιμοποιούνται για την άσκηση δραστηριοτήτων, που υπάγονται στα ειδικά καθεστώτα κατ’ αποκοπή καταβολής του φόρου δεν είναι επιλέξιμη δαπάνη. Στις περιπτώσεις που ο ΦΠΑ βαρύνει δαπάνες οι οποίες χρησιμοποιούνται τόσο για την άσκηση δραστηριοτήτων για τις οποίες δεν παρέχεται δικαίωμα έκπτωσης, όσο και για την άσκηση δραστηριοτήτων για τις οποίες παρέχεται το σχετικό δικαίωμα, ο ΦΠΑ είναι επιλέξιμη δαπάνη κατά το ποσοστό, που δεν μπορεί να ανακτηθεί (ΣΔΕ, άρθρο 22, Κ. 1303/2013, άρθρο 69,</w:t>
      </w:r>
      <w:r>
        <w:rPr>
          <w:spacing w:val="-11"/>
          <w:sz w:val="22"/>
        </w:rPr>
        <w:t> </w:t>
      </w:r>
      <w:r>
        <w:rPr>
          <w:sz w:val="22"/>
        </w:rPr>
        <w:t>παρ.3).</w:t>
      </w:r>
    </w:p>
    <w:p>
      <w:pPr>
        <w:pStyle w:val="ListParagraph"/>
        <w:numPr>
          <w:ilvl w:val="0"/>
          <w:numId w:val="26"/>
        </w:numPr>
        <w:tabs>
          <w:tab w:pos="771" w:val="left" w:leader="none"/>
        </w:tabs>
        <w:spacing w:line="276" w:lineRule="auto" w:before="118" w:after="0"/>
        <w:ind w:left="770" w:right="118" w:hanging="667"/>
        <w:jc w:val="both"/>
        <w:rPr>
          <w:sz w:val="22"/>
        </w:rPr>
      </w:pPr>
      <w:r>
        <w:rPr>
          <w:sz w:val="22"/>
        </w:rPr>
        <w:t>Οι δαπάνες που αφορούν σε παραστατικά, που δεν έχουν εξοφληθεί πριν την ημερομηνία  διενέργειας της επαλήθευσης από αρμόδιο</w:t>
      </w:r>
      <w:r>
        <w:rPr>
          <w:spacing w:val="-9"/>
          <w:sz w:val="22"/>
        </w:rPr>
        <w:t> </w:t>
      </w:r>
      <w:r>
        <w:rPr>
          <w:sz w:val="22"/>
        </w:rPr>
        <w:t>όργανο.</w:t>
      </w:r>
    </w:p>
    <w:p>
      <w:pPr>
        <w:pStyle w:val="ListParagraph"/>
        <w:numPr>
          <w:ilvl w:val="0"/>
          <w:numId w:val="26"/>
        </w:numPr>
        <w:tabs>
          <w:tab w:pos="770" w:val="left" w:leader="none"/>
          <w:tab w:pos="771" w:val="left" w:leader="none"/>
        </w:tabs>
        <w:spacing w:line="273" w:lineRule="auto" w:before="121" w:after="0"/>
        <w:ind w:left="770" w:right="119" w:hanging="562"/>
        <w:jc w:val="left"/>
        <w:rPr>
          <w:sz w:val="22"/>
        </w:rPr>
      </w:pPr>
      <w:r>
        <w:rPr>
          <w:sz w:val="22"/>
        </w:rPr>
        <w:t>Κρατήσεις υπέρ του ίδιου του δικαιούχου ή για λογαριασμό του ή παρακρατήσεις, που επιστρέφουν στο δικαιούχο με οποιοδήποτε</w:t>
      </w:r>
      <w:r>
        <w:rPr>
          <w:spacing w:val="-8"/>
          <w:sz w:val="22"/>
        </w:rPr>
        <w:t> </w:t>
      </w:r>
      <w:r>
        <w:rPr>
          <w:sz w:val="22"/>
        </w:rPr>
        <w:t>τρόπο.</w:t>
      </w:r>
    </w:p>
    <w:p>
      <w:pPr>
        <w:pStyle w:val="ListParagraph"/>
        <w:numPr>
          <w:ilvl w:val="0"/>
          <w:numId w:val="26"/>
        </w:numPr>
        <w:tabs>
          <w:tab w:pos="771" w:val="left" w:leader="none"/>
        </w:tabs>
        <w:spacing w:line="240" w:lineRule="auto" w:before="123" w:after="0"/>
        <w:ind w:left="770" w:right="0" w:hanging="511"/>
        <w:jc w:val="both"/>
        <w:rPr>
          <w:sz w:val="22"/>
        </w:rPr>
      </w:pPr>
      <w:r>
        <w:rPr>
          <w:sz w:val="22"/>
        </w:rPr>
        <w:t>Οι δαπάνες για πρόστιμα, χρηματικές ποινές και έξοδα για την επίλυση</w:t>
      </w:r>
      <w:r>
        <w:rPr>
          <w:spacing w:val="-19"/>
          <w:sz w:val="22"/>
        </w:rPr>
        <w:t> </w:t>
      </w:r>
      <w:r>
        <w:rPr>
          <w:sz w:val="22"/>
        </w:rPr>
        <w:t>διαφορών.</w:t>
      </w:r>
    </w:p>
    <w:p>
      <w:pPr>
        <w:pStyle w:val="ListParagraph"/>
        <w:numPr>
          <w:ilvl w:val="0"/>
          <w:numId w:val="26"/>
        </w:numPr>
        <w:tabs>
          <w:tab w:pos="771" w:val="left" w:leader="none"/>
        </w:tabs>
        <w:spacing w:line="240" w:lineRule="auto" w:before="161" w:after="0"/>
        <w:ind w:left="770" w:right="0" w:hanging="562"/>
        <w:jc w:val="both"/>
        <w:rPr>
          <w:sz w:val="22"/>
        </w:rPr>
      </w:pPr>
      <w:r>
        <w:rPr>
          <w:sz w:val="22"/>
        </w:rPr>
        <w:t>Οι δαπάνες προμήθειας ή χρηματοδοτικής μίσθωσης μεταχειρισμένου</w:t>
      </w:r>
      <w:r>
        <w:rPr>
          <w:spacing w:val="-16"/>
          <w:sz w:val="22"/>
        </w:rPr>
        <w:t> </w:t>
      </w:r>
      <w:r>
        <w:rPr>
          <w:sz w:val="22"/>
        </w:rPr>
        <w:t>εξοπλισμού.</w:t>
      </w:r>
    </w:p>
    <w:p>
      <w:pPr>
        <w:pStyle w:val="BodyText"/>
      </w:pPr>
    </w:p>
    <w:p>
      <w:pPr>
        <w:pStyle w:val="BodyText"/>
      </w:pPr>
    </w:p>
    <w:p>
      <w:pPr>
        <w:pStyle w:val="Heading4"/>
        <w:numPr>
          <w:ilvl w:val="1"/>
          <w:numId w:val="16"/>
        </w:numPr>
        <w:tabs>
          <w:tab w:pos="961" w:val="left" w:leader="none"/>
        </w:tabs>
        <w:spacing w:line="240" w:lineRule="auto" w:before="171" w:after="0"/>
        <w:ind w:left="960" w:right="0" w:hanging="720"/>
        <w:jc w:val="both"/>
      </w:pPr>
      <w:bookmarkStart w:name="_TOC_250044" w:id="12"/>
      <w:r>
        <w:rPr/>
        <w:t>ΟΡΟΙ ΚΑΙ ΠΡΟΫΠΟΘΕΣΕΙΣ ΕΚΤΕΛΕΣΗΣ ΤΩΝ</w:t>
      </w:r>
      <w:r>
        <w:rPr>
          <w:spacing w:val="-10"/>
        </w:rPr>
        <w:t> </w:t>
      </w:r>
      <w:bookmarkEnd w:id="12"/>
      <w:r>
        <w:rPr/>
        <w:t>ΔΑΠΑΝΩΝ</w:t>
      </w:r>
    </w:p>
    <w:p>
      <w:pPr>
        <w:pStyle w:val="BodyText"/>
        <w:spacing w:line="276" w:lineRule="auto" w:before="120"/>
        <w:ind w:left="240" w:right="114"/>
        <w:jc w:val="both"/>
      </w:pPr>
      <w:r>
        <w:rPr/>
        <w:t>Όλες οι δαπάνες, οι οποίες είναι απαραίτητες για την εκτέλεση ενός έργου, οφείλουν να πραγματοποιούνται σύμφωνα με τις γενικές και ειδικές προβλέψεις των επί μέρους διατάξεων, που διέπουν κάθε κατηγορία δαπάνης, όπως αναφέρονται ειδικότερα στο </w:t>
      </w:r>
      <w:r>
        <w:rPr>
          <w:b/>
        </w:rPr>
        <w:t>Παράρτημα ΙΙΙ </w:t>
      </w:r>
      <w:r>
        <w:rPr/>
        <w:t>της παρούσας πρόσκλησης.</w:t>
      </w:r>
    </w:p>
    <w:p>
      <w:pPr>
        <w:pStyle w:val="BodyText"/>
      </w:pPr>
    </w:p>
    <w:p>
      <w:pPr>
        <w:pStyle w:val="BodyText"/>
        <w:spacing w:before="8"/>
        <w:rPr>
          <w:sz w:val="32"/>
        </w:rPr>
      </w:pPr>
    </w:p>
    <w:p>
      <w:pPr>
        <w:pStyle w:val="Heading4"/>
        <w:numPr>
          <w:ilvl w:val="1"/>
          <w:numId w:val="16"/>
        </w:numPr>
        <w:tabs>
          <w:tab w:pos="961" w:val="left" w:leader="none"/>
        </w:tabs>
        <w:spacing w:line="240" w:lineRule="auto" w:before="0" w:after="0"/>
        <w:ind w:left="960" w:right="0" w:hanging="720"/>
        <w:jc w:val="both"/>
      </w:pPr>
      <w:bookmarkStart w:name="_TOC_250043" w:id="13"/>
      <w:r>
        <w:rPr/>
        <w:t>ΠΡΟΫΠΟΛΟΓΙΣΜΟΣ ΕΡΓΩΝ – ΔΙΑΡΚΕΙΑ</w:t>
      </w:r>
      <w:r>
        <w:rPr>
          <w:spacing w:val="-11"/>
        </w:rPr>
        <w:t> </w:t>
      </w:r>
      <w:bookmarkEnd w:id="13"/>
      <w:r>
        <w:rPr/>
        <w:t>ΥΛΟΠΟΙΗΣΗΣ</w:t>
      </w:r>
    </w:p>
    <w:p>
      <w:pPr>
        <w:pStyle w:val="BodyText"/>
        <w:spacing w:before="8"/>
        <w:rPr>
          <w:b/>
          <w:sz w:val="19"/>
        </w:rPr>
      </w:pPr>
    </w:p>
    <w:p>
      <w:pPr>
        <w:pStyle w:val="Heading4"/>
        <w:numPr>
          <w:ilvl w:val="2"/>
          <w:numId w:val="27"/>
        </w:numPr>
        <w:tabs>
          <w:tab w:pos="2880" w:val="left" w:leader="none"/>
          <w:tab w:pos="2881" w:val="left" w:leader="none"/>
        </w:tabs>
        <w:spacing w:line="240" w:lineRule="auto" w:before="0" w:after="0"/>
        <w:ind w:left="2880" w:right="0" w:hanging="1080"/>
        <w:jc w:val="left"/>
      </w:pPr>
      <w:bookmarkStart w:name="_TOC_250042" w:id="14"/>
      <w:r>
        <w:rPr/>
        <w:t>Προϋπολογισμός</w:t>
      </w:r>
      <w:r>
        <w:rPr>
          <w:spacing w:val="-3"/>
        </w:rPr>
        <w:t> </w:t>
      </w:r>
      <w:bookmarkEnd w:id="14"/>
      <w:r>
        <w:rPr/>
        <w:t>έργων</w:t>
      </w:r>
    </w:p>
    <w:p>
      <w:pPr>
        <w:pStyle w:val="BodyText"/>
        <w:spacing w:before="120"/>
        <w:ind w:left="240"/>
        <w:jc w:val="both"/>
      </w:pPr>
      <w:r>
        <w:rPr/>
        <w:t>Το ύψος της Δημόσιας Δαπάνης της πρόσκλησης είναι </w:t>
      </w:r>
      <w:r>
        <w:rPr>
          <w:b/>
        </w:rPr>
        <w:t>10.000.000 </w:t>
      </w:r>
      <w:r>
        <w:rPr/>
        <w:t>€.</w:t>
      </w:r>
    </w:p>
    <w:p>
      <w:pPr>
        <w:pStyle w:val="BodyText"/>
        <w:spacing w:line="276" w:lineRule="auto" w:before="161"/>
        <w:ind w:left="240" w:right="180"/>
        <w:rPr>
          <w:b/>
        </w:rPr>
      </w:pPr>
      <w:r>
        <w:rPr/>
        <w:t>Ο επιχορηγούμενος προϋπολογισμός κάθε επενδυτικής πρότασης δυνητικού δικαιούχου ενίσχυσης μπορεί να κυμαίνεται </w:t>
      </w:r>
      <w:r>
        <w:rPr>
          <w:b/>
        </w:rPr>
        <w:t>από 80.000 € έως 400.000 €.</w:t>
      </w:r>
    </w:p>
    <w:p>
      <w:pPr>
        <w:spacing w:after="0" w:line="276" w:lineRule="auto"/>
        <w:sectPr>
          <w:pgSz w:w="11910" w:h="16840"/>
          <w:pgMar w:header="748" w:footer="734" w:top="1420" w:bottom="920" w:left="840" w:right="960"/>
        </w:sectPr>
      </w:pPr>
    </w:p>
    <w:p>
      <w:pPr>
        <w:pStyle w:val="BodyText"/>
        <w:spacing w:before="7"/>
        <w:rPr>
          <w:b/>
          <w:sz w:val="17"/>
        </w:rPr>
      </w:pPr>
    </w:p>
    <w:p>
      <w:pPr>
        <w:pStyle w:val="BodyText"/>
        <w:spacing w:line="276" w:lineRule="auto" w:before="57"/>
        <w:ind w:left="100" w:right="116"/>
        <w:jc w:val="both"/>
      </w:pPr>
      <w:r>
        <w:rPr/>
        <w:t>Κάθε δυνητικός δικαιούχος μπορεί να πραγματοποιήσει επενδυτική πρόταση με προϋπολογισμό μεγαλύτερο του μέγιστου επιχορηγούμενου προϋπολογισμού. Στην περίπτωση αυτή, παρόλο που οι υπερβάλλουσες δαπάνες δεν επιχορηγούνται, αντικείμενο αξιολόγησης και παρακολούθησης-ελέγχου αποτελεί το σύνολο της επενδυτικής πρότασης και το σύνολο του υπερβάλλοντος κόστους, καλύπτεται αποκλειστικά με ιδιωτική συμμετοχή.</w:t>
      </w:r>
    </w:p>
    <w:p>
      <w:pPr>
        <w:pStyle w:val="BodyText"/>
        <w:spacing w:line="276" w:lineRule="auto" w:before="118"/>
        <w:ind w:left="100" w:right="120"/>
        <w:jc w:val="both"/>
      </w:pPr>
      <w:r>
        <w:rPr/>
        <w:t>Το μέγιστο επιχορηγούμενο ύψος του επενδυτικού σχεδίου δεν μπορεί να υπερβαίνει τα ανωτέρω αναφερόμενα όρια.</w:t>
      </w:r>
    </w:p>
    <w:p>
      <w:pPr>
        <w:pStyle w:val="BodyText"/>
        <w:spacing w:line="276" w:lineRule="auto" w:before="120"/>
        <w:ind w:left="100" w:right="120"/>
        <w:jc w:val="both"/>
      </w:pPr>
      <w:r>
        <w:rPr/>
        <w:t>Σε κάθε περίπτωση ο επιχορηγούμενος προϋπολογισμός κάθε επενδυτικής πρότασης πρέπει να είναι μεγαλύτερος του ως άνω τιθέμενου κατώτερου ορίου.</w:t>
      </w:r>
    </w:p>
    <w:p>
      <w:pPr>
        <w:pStyle w:val="BodyText"/>
        <w:spacing w:before="7"/>
        <w:rPr>
          <w:sz w:val="19"/>
        </w:rPr>
      </w:pPr>
    </w:p>
    <w:p>
      <w:pPr>
        <w:pStyle w:val="Heading4"/>
        <w:numPr>
          <w:ilvl w:val="2"/>
          <w:numId w:val="27"/>
        </w:numPr>
        <w:tabs>
          <w:tab w:pos="2740" w:val="left" w:leader="none"/>
          <w:tab w:pos="2741" w:val="left" w:leader="none"/>
        </w:tabs>
        <w:spacing w:line="240" w:lineRule="auto" w:before="0" w:after="0"/>
        <w:ind w:left="2740" w:right="0" w:hanging="1080"/>
        <w:jc w:val="left"/>
      </w:pPr>
      <w:bookmarkStart w:name="_TOC_250041" w:id="15"/>
      <w:bookmarkEnd w:id="15"/>
      <w:r>
        <w:rPr/>
        <w:t>Διάρκεια των έργων</w:t>
      </w:r>
    </w:p>
    <w:p>
      <w:pPr>
        <w:pStyle w:val="BodyText"/>
        <w:spacing w:line="276" w:lineRule="auto" w:before="120"/>
        <w:ind w:left="100" w:right="118"/>
        <w:jc w:val="both"/>
      </w:pPr>
      <w:r>
        <w:rPr/>
        <w:t>Η χρονική διάρκεια υλοποίησης των έργων, αναλόγως του αντικειμένου, είναι </w:t>
      </w:r>
      <w:r>
        <w:rPr>
          <w:b/>
        </w:rPr>
        <w:t>έως 24 μήνες </w:t>
      </w:r>
      <w:r>
        <w:rPr/>
        <w:t>από την Απόφαση Ένταξης.</w:t>
      </w:r>
    </w:p>
    <w:p>
      <w:pPr>
        <w:pStyle w:val="BodyText"/>
        <w:spacing w:line="268" w:lineRule="auto" w:before="118"/>
        <w:ind w:left="100" w:right="114"/>
        <w:jc w:val="both"/>
      </w:pPr>
      <w:r>
        <w:rPr/>
        <w:t>Η ημερομηνία έναρξης κάθε προτεινόμενου επενδυτικού σχεδίου, </w:t>
      </w:r>
      <w:r>
        <w:rPr>
          <w:u w:val="single"/>
        </w:rPr>
        <w:t>μπορεί να ορίζεται στη πρόταση του φορέα, </w:t>
      </w:r>
      <w:r>
        <w:rPr/>
        <w:t>εντός της επιλέξιμης περιόδου της παρούσας πρόσκλησης, ήτοι ως έναρξη επενδυτικού σχεδίου μπορεί να οριστεί ημερομηνία από την 13</w:t>
      </w:r>
      <w:r>
        <w:rPr>
          <w:position w:val="10"/>
          <w:sz w:val="14"/>
        </w:rPr>
        <w:t>η</w:t>
      </w:r>
      <w:r>
        <w:rPr/>
        <w:t>-07-2018 και έως και την προβλεπόμενη ημερομηνία έκδοσης Απόφασης Ένταξης, ενώ η διάρκειά του δεν μπορεί να υπερβαίνει τους 24 μήνες από την Απόφαση Ένταξης.</w:t>
      </w:r>
    </w:p>
    <w:p>
      <w:pPr>
        <w:pStyle w:val="BodyText"/>
        <w:spacing w:line="276" w:lineRule="auto" w:before="126"/>
        <w:ind w:left="100" w:right="114"/>
        <w:jc w:val="both"/>
      </w:pPr>
      <w:r>
        <w:rPr/>
        <w:t>Μετά την Απόφαση Ένταξης ενός επενδυτικού σχεδίου στο ΕΠ Θεσσαλία 2014-2020, παράταση της διάρκειας υλοποίησής του, η οποία δεν μπορεί να υπερβεί τους 6 μήνες, μπορεί να δοθεί μετά από αξιολόγηση τεκμηριωμένου αιτήματος, που υποβάλλεται στην Διεύθυνση Αναπτυξιακού Προγραμματισμού της Περιφέρειας Θεσσαλίας σε διάστημα τουλάχιστον δύο (2) μήνες πριν τη λήξη του έργου. Απαραίτητη προϋπόθεση είναι η έγκριση της παράτασης και η τροποποίηση της αντίστοιχης Απόφασης Ένταξης/Χρηματοδότησης.</w:t>
      </w:r>
    </w:p>
    <w:p>
      <w:pPr>
        <w:pStyle w:val="BodyText"/>
      </w:pPr>
    </w:p>
    <w:p>
      <w:pPr>
        <w:pStyle w:val="BodyText"/>
        <w:spacing w:before="11"/>
        <w:rPr>
          <w:sz w:val="32"/>
        </w:rPr>
      </w:pPr>
    </w:p>
    <w:p>
      <w:pPr>
        <w:pStyle w:val="Heading2"/>
        <w:numPr>
          <w:ilvl w:val="0"/>
          <w:numId w:val="28"/>
        </w:numPr>
        <w:tabs>
          <w:tab w:pos="667" w:val="left" w:leader="none"/>
        </w:tabs>
        <w:spacing w:line="240" w:lineRule="auto" w:before="0" w:after="0"/>
        <w:ind w:left="666" w:right="0" w:hanging="566"/>
        <w:jc w:val="both"/>
      </w:pPr>
      <w:bookmarkStart w:name="_TOC_250040" w:id="16"/>
      <w:r>
        <w:rPr/>
        <w:t>ΧΡΗΜΑΤΟΔΟΤΙΚΟ</w:t>
      </w:r>
      <w:r>
        <w:rPr>
          <w:spacing w:val="-8"/>
        </w:rPr>
        <w:t> </w:t>
      </w:r>
      <w:bookmarkEnd w:id="16"/>
      <w:r>
        <w:rPr/>
        <w:t>ΣΧΗΜΑ</w:t>
      </w:r>
    </w:p>
    <w:p>
      <w:pPr>
        <w:pStyle w:val="BodyText"/>
        <w:spacing w:before="5"/>
        <w:rPr>
          <w:b/>
          <w:sz w:val="19"/>
        </w:rPr>
      </w:pPr>
    </w:p>
    <w:p>
      <w:pPr>
        <w:pStyle w:val="Heading4"/>
        <w:numPr>
          <w:ilvl w:val="1"/>
          <w:numId w:val="28"/>
        </w:numPr>
        <w:tabs>
          <w:tab w:pos="821" w:val="left" w:leader="none"/>
        </w:tabs>
        <w:spacing w:line="240" w:lineRule="auto" w:before="0" w:after="0"/>
        <w:ind w:left="820" w:right="0" w:hanging="720"/>
        <w:jc w:val="both"/>
      </w:pPr>
      <w:bookmarkStart w:name="_TOC_250039" w:id="17"/>
      <w:r>
        <w:rPr/>
        <w:t>ΧΡΗΜΑΤΟΔΟΤΗΣΗ</w:t>
      </w:r>
      <w:r>
        <w:rPr>
          <w:spacing w:val="-1"/>
        </w:rPr>
        <w:t> </w:t>
      </w:r>
      <w:bookmarkEnd w:id="17"/>
      <w:r>
        <w:rPr/>
        <w:t>ΠΡΟΣΚΛΗΣΗΣ</w:t>
      </w:r>
    </w:p>
    <w:p>
      <w:pPr>
        <w:pStyle w:val="BodyText"/>
        <w:spacing w:before="120"/>
        <w:ind w:left="100"/>
        <w:jc w:val="both"/>
      </w:pPr>
      <w:r>
        <w:rPr/>
        <w:t>Η συνολική Δημόσια Δαπάνη της Πρόσκλησης ανέρχεται σε </w:t>
      </w:r>
      <w:r>
        <w:rPr>
          <w:b/>
        </w:rPr>
        <w:t>10.000.000 €</w:t>
      </w:r>
      <w:r>
        <w:rPr/>
        <w:t>.</w:t>
      </w:r>
    </w:p>
    <w:p>
      <w:pPr>
        <w:pStyle w:val="BodyText"/>
        <w:spacing w:line="276" w:lineRule="auto" w:before="161"/>
        <w:ind w:left="100" w:right="120"/>
        <w:jc w:val="both"/>
      </w:pPr>
      <w:r>
        <w:rPr/>
        <w:t>Η Δημόσια Δαπάνη των θετικά αξιολογημένων επενδυτικών σχεδίων που θα ενταχθούν στο ΕΠ Θεσσαλίας 2014-2020 στο πλαίσιο της παρούσας, δύναται να ανέλθει έως το 120% της Δ.Δ. που προκηρύσσεται με την παρούσα, μετά από έγκριση της Ειδικής Υπηρεσίας Διαχείρισης του ΕΠ Περιφέρειας Θεσσαλίας 2014-2020.</w:t>
      </w:r>
    </w:p>
    <w:p>
      <w:pPr>
        <w:pStyle w:val="BodyText"/>
        <w:spacing w:line="276" w:lineRule="auto" w:before="120"/>
        <w:ind w:left="100" w:right="114"/>
        <w:jc w:val="both"/>
      </w:pPr>
      <w:r>
        <w:rPr/>
        <w:t>Η Δημόσια Δαπάνη της Πρόσκλησης, δύναται να τροποποιηθεί μετά από απόφαση της Ειδικής Υπηρεσίας Διαχείρισης του ΕΠ Περιφέρειας Θεσσαλίας 2014-2020 και εφόσον απαιτηθεί, μετά την ολοκλήρωση της αξιολόγησης των προτάσεων που θα υποβληθούν και σύμφωνα με τους ισχύοντες κανόνες διαχείρισης του ΕΣΠΑ. Κάθε τροποποίηση Πρόσκλησης, θα δημοσιεύεται στην ιστοσελίδα του ΕΠ Θεσσαλία 2014-2020 (</w:t>
      </w:r>
      <w:hyperlink r:id="rId10">
        <w:r>
          <w:rPr>
            <w:color w:val="0462C1"/>
            <w:u w:val="single" w:color="0462C1"/>
          </w:rPr>
          <w:t>www.thessalia-espa.gr </w:t>
        </w:r>
      </w:hyperlink>
      <w:r>
        <w:rPr/>
        <w:t>) του Ε.Φ. – ΔΙΑΠ (</w:t>
      </w:r>
      <w:hyperlink r:id="rId9">
        <w:r>
          <w:rPr>
            <w:color w:val="0462C1"/>
            <w:u w:val="single" w:color="0462C1"/>
          </w:rPr>
          <w:t>www.thessaly.gov.gr</w:t>
        </w:r>
      </w:hyperlink>
      <w:r>
        <w:rPr/>
        <w:t>) και του ΕΣΠΑ (</w:t>
      </w:r>
      <w:hyperlink r:id="rId11">
        <w:r>
          <w:rPr>
            <w:color w:val="0462C1"/>
            <w:u w:val="single" w:color="0462C1"/>
          </w:rPr>
          <w:t>www.espa.gr</w:t>
        </w:r>
      </w:hyperlink>
      <w:r>
        <w:rPr/>
        <w:t>).</w:t>
      </w:r>
    </w:p>
    <w:p>
      <w:pPr>
        <w:pStyle w:val="BodyText"/>
        <w:spacing w:line="276" w:lineRule="auto"/>
        <w:ind w:left="100" w:right="118"/>
        <w:jc w:val="both"/>
      </w:pPr>
      <w:r>
        <w:rPr/>
        <w:t>Η Δημόσια Δαπάνη συγχρηματοδοτείται από το Ευρωπαϊκό Ταμείο Περιφερειακής Ανάπτυξης (ΕΤΠΑ) της Ευρωπαϊκής Ένωσης και από Εθνική Συμμετοχή. Το ΕΤΠΑ συνεισφέρει στη χρηματοδότηση ενισχύσεων για την τόνωση της οικονομικής, κοινωνικής και εδαφικής συνοχής μέσω της μείωσης των περιφερειακών ανισοτήτων  και  της  υποστήριξης  των  διαρθρωτικών  βελτιώσεων  και  προσαρμογών  των περιφερειακών</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100" w:right="118"/>
        <w:jc w:val="both"/>
      </w:pPr>
      <w:r>
        <w:rPr/>
        <w:t>οικονομιών, συμπεριλαμβανομένης και της ανασυγκρότησης βιομηχανικών περιοχών που παρακμάζουν. Στο πλαίσιο της Προγραμματικής Περιόδου 2014 - 2020 το ΕΤΠΑ θα πρέπει να συνεισφέρει στη στρατηγική της Ένωσης για την έξυπνη, διατηρήσιμη και χωρίς αποκλεισμούς ανάπτυξη εξασφαλίζοντας έτσι μεγαλύτερη συγκέντρωση της στήριξης από το ΕΤΠΑ στις προτεραιότητες της Ένωσης.</w:t>
      </w:r>
    </w:p>
    <w:p>
      <w:pPr>
        <w:spacing w:line="276" w:lineRule="auto" w:before="120"/>
        <w:ind w:left="100" w:right="112" w:firstLine="0"/>
        <w:jc w:val="both"/>
        <w:rPr>
          <w:b/>
          <w:sz w:val="22"/>
        </w:rPr>
      </w:pPr>
      <w:r>
        <w:rPr>
          <w:sz w:val="22"/>
        </w:rPr>
        <w:t>Επισημαίνουμε ότι τα εγκεκριμένα έργα θα χρηματοδοτηθούν αποκλειστικά από το Επιχειρησιακό Πρόγραμμα «ΕΠ Θεσσαλία 2014-2020», Άξονας Προτεραιότητας (Α.Π.) 01 </w:t>
      </w:r>
      <w:r>
        <w:rPr>
          <w:b/>
          <w:sz w:val="22"/>
        </w:rPr>
        <w:t>««Ενίσχυση της ανταγωνιστικότητας και της εξωστρέφειας των επιχειρήσεων (ιδιαίτερα των ΜΜΕ), μετάβαση στην ποιοτική επιχειρηματικότητα, με αιχμή την καινοτομία και αύξηση της Περιφερειακής Προστιθέμενης Αξίας»</w:t>
      </w:r>
    </w:p>
    <w:p>
      <w:pPr>
        <w:pStyle w:val="BodyText"/>
        <w:spacing w:before="7"/>
        <w:rPr>
          <w:b/>
          <w:sz w:val="19"/>
        </w:rPr>
      </w:pPr>
    </w:p>
    <w:p>
      <w:pPr>
        <w:pStyle w:val="Heading4"/>
        <w:numPr>
          <w:ilvl w:val="1"/>
          <w:numId w:val="28"/>
        </w:numPr>
        <w:tabs>
          <w:tab w:pos="821" w:val="left" w:leader="none"/>
        </w:tabs>
        <w:spacing w:line="240" w:lineRule="auto" w:before="0" w:after="0"/>
        <w:ind w:left="820" w:right="0" w:hanging="720"/>
        <w:jc w:val="both"/>
      </w:pPr>
      <w:bookmarkStart w:name="_TOC_250038" w:id="18"/>
      <w:r>
        <w:rPr/>
        <w:t>ΕΝΤΑΣΗ ΤΗΣ</w:t>
      </w:r>
      <w:r>
        <w:rPr>
          <w:spacing w:val="-4"/>
        </w:rPr>
        <w:t> </w:t>
      </w:r>
      <w:bookmarkEnd w:id="18"/>
      <w:r>
        <w:rPr/>
        <w:t>ΕΝΙΣΧΥΣΗΣ</w:t>
      </w:r>
    </w:p>
    <w:p>
      <w:pPr>
        <w:pStyle w:val="BodyText"/>
        <w:spacing w:line="276" w:lineRule="auto" w:before="120"/>
        <w:ind w:left="100" w:right="115"/>
        <w:jc w:val="both"/>
      </w:pPr>
      <w:r>
        <w:rPr/>
        <w:t>Η ένταση της ενίσχυσης των επενδυτικών προτάσεων για το σύνολο των επιλέξιμων δαπανών των επενδυτικών σχεδίων στο πλαίσιο της παρούσας Πρόσκλησης είναι </w:t>
      </w:r>
      <w:r>
        <w:rPr>
          <w:b/>
        </w:rPr>
        <w:t>50%. </w:t>
      </w:r>
      <w:r>
        <w:rPr/>
        <w:t>Σε περίπτωση πρόσληψης νέου προσωπικού για τουλάχιστον μια επιπλέον (1) ΕΜΕ μισθωτής εργασίας (η επίτευξη του στόχου ελέγχεται κατά την τελική πιστοποίηση), η ένταση της ενίσχυσης δύναται να ανέλθει στο 60% Σε καμία περίπτωση η ενίσχυση δεν δύναται να υπερβαίνει το όριο των 200.000€ που θέτει ο Καν. 1407/2013.</w:t>
      </w:r>
    </w:p>
    <w:p>
      <w:pPr>
        <w:pStyle w:val="BodyText"/>
        <w:spacing w:line="276" w:lineRule="auto" w:before="120"/>
        <w:ind w:left="100" w:right="113"/>
        <w:jc w:val="both"/>
      </w:pPr>
      <w:r>
        <w:rPr/>
        <w:t>Οι δαπάνες όλων των κατηγοριών θεωρούνται επιλέξιμες για τα εγκεκριμένα έργα εφόσον έχουν πραγματοποιηθεί κατά τη διάρκεια των χρονικών πλαισίων που προσδιορίζονται στην απόφαση υπαγωγής- χρηματοδότησης του έργου και εφόσον σχετίζονται με την υλοποίηση του έργου. Το σύνολο των παραστατικών δαπανών (π.χ. τιμολογίων) θα πρέπει να έχει εκδοθεί το αργότερο μέχρι την ημερομηνία λήξης του έργου. Η εξόφλησή τους θα πρέπει να έχει γίνει είτε μέχρι τη διενέργεια του  ενδιάμεσου ελέγχου, για να πιστοποιηθούν οι σχετικές δαπάνες, είτε το αργότερο μέχρι ένα (1) μήνα μετά από τη λήξη του έργου με την υποβολή της τελικής έκθεσης.</w:t>
      </w:r>
    </w:p>
    <w:p>
      <w:pPr>
        <w:pStyle w:val="BodyText"/>
        <w:spacing w:line="276" w:lineRule="auto" w:before="118"/>
        <w:ind w:left="100" w:right="122"/>
        <w:jc w:val="both"/>
      </w:pPr>
      <w:r>
        <w:rPr>
          <w:u w:val="single"/>
        </w:rPr>
        <w:t>Τονίζεται ότι είναι απαραίτητη η τήρηση ξεχωριστού λογαριασμού στα λογιστικά βιβλία των φορέων για τις δαπάνες και τα έσοδα του έργου σύμφωνα με τα προβλεπόμενα στην νομοθεσία για τα Εθνικά Λογιστικά Πρότυπα.</w:t>
      </w:r>
    </w:p>
    <w:p>
      <w:pPr>
        <w:pStyle w:val="BodyText"/>
        <w:spacing w:line="276" w:lineRule="auto" w:before="118"/>
        <w:ind w:left="100" w:right="114"/>
        <w:jc w:val="both"/>
      </w:pPr>
      <w:r>
        <w:rPr>
          <w:b/>
        </w:rPr>
        <w:t>Η δημόσια χρηματοδότηση </w:t>
      </w:r>
      <w:r>
        <w:rPr/>
        <w:t>καταβάλλεται απευθείας στην επιχείρηση και δεν επιτρέπεται η εκχώρησή της σε τρίτους. Κατ' εξαίρεση είναι δυνατή η εκχώρηση της δημόσιας χρηματοδότησης (εκτός της προκαταβολής) σε τράπεζα για την παροχή βραχυπρόθεσμου δανείου που θα αντιστοιχεί σε μέρος ή στο σύνολο της δημόσιας χρηματοδότησης που χρησιμοποιείται για την υλοποίηση της επένδυσης. Σε αυτές τις περιπτώσεις η καταβολή της δημόσιας χρηματοδότησης γίνεται απευθείας στην Τράπεζα με την οποία έχει υπογραφεί η σύμβαση εκχώρησης, για το ισόποσο τμήμα του βραχυπρόθεσμου αυτού δανείου. Στις περιπτώσεις εκχώρησης, ο επενδυτής είναι υποχρεωμένος να προσκομίσει τη σύμβαση εκχώρησης με το Πιστωτικό Ίδρυμα στο αρμόδιο φορέα διαχείρισης και παρακολούθησης του προγράμματος.</w:t>
      </w:r>
    </w:p>
    <w:p>
      <w:pPr>
        <w:pStyle w:val="Heading4"/>
        <w:spacing w:line="276" w:lineRule="auto" w:before="120"/>
        <w:ind w:right="116"/>
      </w:pPr>
      <w:r>
        <w:rPr/>
        <w:t>Οι χρεωστικοί τόκοι, οι προμήθειες χρηματοπιστωτικών συναλλαγών, τα έξοδα συναλλάγματος και χρεωστικές συναλλαγματικές διαφορές καθώς και τα λοιπά καθαρά χρηματοοικονομικά έξοδα του δικαιούχου θεωρούνται λειτουργικά έξοδα και δεν είναι επιλέξιμα στη δράση.</w:t>
      </w:r>
    </w:p>
    <w:p>
      <w:pPr>
        <w:spacing w:after="0" w:line="276" w:lineRule="auto"/>
        <w:sectPr>
          <w:pgSz w:w="11910" w:h="16840"/>
          <w:pgMar w:header="748" w:footer="734" w:top="1420" w:bottom="920" w:left="980" w:right="960"/>
        </w:sectPr>
      </w:pPr>
    </w:p>
    <w:p>
      <w:pPr>
        <w:pStyle w:val="BodyText"/>
        <w:spacing w:before="7"/>
        <w:rPr>
          <w:b/>
          <w:sz w:val="17"/>
        </w:rPr>
      </w:pPr>
    </w:p>
    <w:p>
      <w:pPr>
        <w:spacing w:before="57"/>
        <w:ind w:left="100" w:right="0" w:firstLine="0"/>
        <w:jc w:val="both"/>
        <w:rPr>
          <w:b/>
          <w:sz w:val="22"/>
        </w:rPr>
      </w:pPr>
      <w:r>
        <w:rPr>
          <w:b/>
          <w:sz w:val="22"/>
          <w:u w:val="single"/>
        </w:rPr>
        <w:t>ΣΩΡΕΥΣΗ</w:t>
      </w:r>
    </w:p>
    <w:p>
      <w:pPr>
        <w:pStyle w:val="BodyText"/>
        <w:spacing w:line="276" w:lineRule="auto" w:before="41"/>
        <w:ind w:left="100" w:right="121"/>
        <w:jc w:val="both"/>
      </w:pPr>
      <w:r>
        <w:rPr/>
        <w:t>Οι ενισχύσεις που χορηγούνται δυνάμεις της παρούσας πρόσκλησης μπορούν να σωρευθούν με οποιεσδήποτε άλλες κρατικές ενισχύσεις, εφόσον τα εν λόγω μέτρα αφορούν σε διαφορετικές προσδιορίσιμες επιλέξιμες δαπάνες.</w:t>
      </w:r>
    </w:p>
    <w:p>
      <w:pPr>
        <w:pStyle w:val="BodyText"/>
        <w:spacing w:line="276" w:lineRule="auto"/>
        <w:ind w:left="100" w:right="117"/>
        <w:jc w:val="both"/>
      </w:pPr>
      <w:r>
        <w:rPr/>
        <w:t>Ενισχύσεις ήσσονος σημασίας που χορηγούνται βάσει της παρούσας πρόσκλησης μπορούν να σωρεύονται με άλλες ενισχύσεις ήσσονος σημασίας μέχρι του ορίου των 200.000€ για οποιαδήποτε περίοδο 3 οικονομικών ετών (ή των 100.000€ σε επιχειρήσεις οδικών εμπορευματικών μεταφορών).</w:t>
      </w:r>
    </w:p>
    <w:p>
      <w:pPr>
        <w:pStyle w:val="BodyText"/>
        <w:spacing w:line="276" w:lineRule="auto"/>
        <w:ind w:left="100" w:right="117"/>
        <w:jc w:val="both"/>
      </w:pPr>
      <w:r>
        <w:rPr/>
        <w:t>Επιλέξιμες δαπάνες οι οποίες ενισχύονται στο πλαίσιο της παρούσας Πρόσκλησης, είναι δυνατόν να ενισχυθούν στο πλαίσιο άλλων κρατικών ενισχύσεων ή ενισχύσεων ήσσονος σημασίας, υπό την προϋπόθεση ότι η σώρευση αυτή δεν οδηγεί σε υπέρβαση του υψηλότερου ποσοστού έντασης ή του υψηλότερου ποσού ενίσχυσης που εφαρμόζεται στις ενισχύσεις του αντίστοιχου άρθρου Κανονισμού ή Απόφασης της Ε.Ε.</w:t>
      </w:r>
    </w:p>
    <w:p>
      <w:pPr>
        <w:pStyle w:val="BodyText"/>
        <w:spacing w:line="276" w:lineRule="auto"/>
        <w:ind w:left="100" w:right="113"/>
        <w:jc w:val="both"/>
      </w:pPr>
      <w:r>
        <w:rPr/>
        <w:t>Προκειμένου να υπάρχει έλεγχος σώρευσης των ενισχύσεων ήσσονος σημασίας, ο δυνητικός δικαιούχος  της ενίσχυσης υποβάλλει υπεύθυνη δήλωση, για οποιαδήποτε άλλη ενίσχυση ήσσονος σημασίας την οποία έλαβε η επιχείρηση βάσει του παρόντος κανονισμού ή άλλων κανονισμών για ενισχύσεις ήσσονος  σημασίας κατά τα δύο προηγούμενα οικονομικά έτη και κατά το τρέχον οικονομικό έτος. Η δήλωση αυτή υποβάλλεται σε επίπεδο ενιαίας επιχείρηση σύμφωνα με τον σχετικό</w:t>
      </w:r>
      <w:r>
        <w:rPr>
          <w:spacing w:val="-11"/>
        </w:rPr>
        <w:t> </w:t>
      </w:r>
      <w:r>
        <w:rPr/>
        <w:t>ορισμό.</w:t>
      </w:r>
    </w:p>
    <w:p>
      <w:pPr>
        <w:pStyle w:val="BodyText"/>
        <w:spacing w:before="8"/>
        <w:rPr>
          <w:sz w:val="19"/>
        </w:rPr>
      </w:pPr>
    </w:p>
    <w:p>
      <w:pPr>
        <w:pStyle w:val="Heading4"/>
        <w:numPr>
          <w:ilvl w:val="1"/>
          <w:numId w:val="28"/>
        </w:numPr>
        <w:tabs>
          <w:tab w:pos="821" w:val="left" w:leader="none"/>
        </w:tabs>
        <w:spacing w:line="240" w:lineRule="auto" w:before="1" w:after="0"/>
        <w:ind w:left="820" w:right="0" w:hanging="720"/>
        <w:jc w:val="both"/>
      </w:pPr>
      <w:bookmarkStart w:name="_TOC_250037" w:id="19"/>
      <w:r>
        <w:rPr/>
        <w:t>ΙΔΙΩΤΙΚΗ</w:t>
      </w:r>
      <w:r>
        <w:rPr>
          <w:spacing w:val="-4"/>
        </w:rPr>
        <w:t> </w:t>
      </w:r>
      <w:bookmarkEnd w:id="19"/>
      <w:r>
        <w:rPr/>
        <w:t>ΣΥΜΜΕΤΟΧΗ</w:t>
      </w:r>
    </w:p>
    <w:p>
      <w:pPr>
        <w:pStyle w:val="BodyText"/>
        <w:spacing w:line="276" w:lineRule="auto" w:before="120"/>
        <w:ind w:left="100" w:right="115"/>
        <w:jc w:val="both"/>
      </w:pPr>
      <w:r>
        <w:rPr/>
        <w:t>Για την κάλυψη της ιδιωτικής συμμετοχής, ο δυνητικός δικαιούχος της ενίσχυσης μπορεί να χρησιμοποιήσει ιδίους πόρους (ίδια συμμετοχή) ή/και δάνειο. Το δάνειο που θα χρησιμοποιηθεί είναι δυνατόν να υποστηρίζεται από τα χρηματοδοτικά εργαλεία του ΕΣΠΑ, όπως π.χ. α) παροχή εγγύησης της ΕΤΕΑΝ ΑΕ για λήψη επενδυτικού δανείου ή λήψη εγγυητικής επιστολής, β) την παροχή επιχειρηματικών δανείων με χαμηλό επιτόκιο και ευνοϊκούς όρους.</w:t>
      </w:r>
    </w:p>
    <w:p>
      <w:pPr>
        <w:pStyle w:val="BodyText"/>
        <w:spacing w:before="120"/>
        <w:ind w:left="100"/>
        <w:jc w:val="both"/>
      </w:pPr>
      <w:r>
        <w:rPr/>
        <w:t>Σε περίπτωση που χρηματοδοτικά εργαλεία του ΕΣΠΑ συνδυάζονται με επιχορηγήσεις:</w:t>
      </w:r>
    </w:p>
    <w:p>
      <w:pPr>
        <w:pStyle w:val="ListParagraph"/>
        <w:numPr>
          <w:ilvl w:val="0"/>
          <w:numId w:val="29"/>
        </w:numPr>
        <w:tabs>
          <w:tab w:pos="820" w:val="left" w:leader="none"/>
          <w:tab w:pos="821" w:val="left" w:leader="none"/>
        </w:tabs>
        <w:spacing w:line="273" w:lineRule="auto" w:before="41" w:after="0"/>
        <w:ind w:left="100" w:right="120" w:firstLine="0"/>
        <w:jc w:val="both"/>
        <w:rPr>
          <w:sz w:val="22"/>
        </w:rPr>
      </w:pPr>
      <w:r>
        <w:rPr>
          <w:sz w:val="22"/>
        </w:rPr>
        <w:t>οι διατάξεις που ισχύουν για τα χρηματοδοτικά εργαλεία του ΕΣΠΑ εφαρμόζονται σε όλες τις μορφές στήριξης για τις εν λόγω</w:t>
      </w:r>
      <w:r>
        <w:rPr>
          <w:spacing w:val="-9"/>
          <w:sz w:val="22"/>
        </w:rPr>
        <w:t> </w:t>
      </w:r>
      <w:r>
        <w:rPr>
          <w:sz w:val="22"/>
        </w:rPr>
        <w:t>πράξεις.</w:t>
      </w:r>
    </w:p>
    <w:p>
      <w:pPr>
        <w:pStyle w:val="ListParagraph"/>
        <w:numPr>
          <w:ilvl w:val="0"/>
          <w:numId w:val="29"/>
        </w:numPr>
        <w:tabs>
          <w:tab w:pos="820" w:val="left" w:leader="none"/>
          <w:tab w:pos="821" w:val="left" w:leader="none"/>
        </w:tabs>
        <w:spacing w:line="276" w:lineRule="auto" w:before="3" w:after="0"/>
        <w:ind w:left="100" w:right="121" w:firstLine="0"/>
        <w:jc w:val="both"/>
        <w:rPr>
          <w:sz w:val="22"/>
        </w:rPr>
      </w:pPr>
      <w:r>
        <w:rPr>
          <w:sz w:val="22"/>
        </w:rPr>
        <w:t>πρέπει να τηρούνται οι ισχύοντες κανόνες της Ένωσης περί κρατικών ενισχύσεων και συνδυασμού επιχορηγήσεων με χρηματοδοτικά εργαλεία του</w:t>
      </w:r>
      <w:r>
        <w:rPr>
          <w:spacing w:val="-9"/>
          <w:sz w:val="22"/>
        </w:rPr>
        <w:t> </w:t>
      </w:r>
      <w:r>
        <w:rPr>
          <w:sz w:val="22"/>
        </w:rPr>
        <w:t>ΕΣΠΑ.</w:t>
      </w:r>
    </w:p>
    <w:p>
      <w:pPr>
        <w:pStyle w:val="ListParagraph"/>
        <w:numPr>
          <w:ilvl w:val="0"/>
          <w:numId w:val="29"/>
        </w:numPr>
        <w:tabs>
          <w:tab w:pos="820" w:val="left" w:leader="none"/>
          <w:tab w:pos="821" w:val="left" w:leader="none"/>
        </w:tabs>
        <w:spacing w:line="267" w:lineRule="exact" w:before="0" w:after="0"/>
        <w:ind w:left="820" w:right="0" w:hanging="720"/>
        <w:jc w:val="both"/>
        <w:rPr>
          <w:sz w:val="22"/>
        </w:rPr>
      </w:pPr>
      <w:r>
        <w:rPr>
          <w:sz w:val="22"/>
        </w:rPr>
        <w:t>πρέπει να διενεργούνται χωριστές λογιστικές εγγραφές για την κάθε μορφή</w:t>
      </w:r>
      <w:r>
        <w:rPr>
          <w:spacing w:val="-18"/>
          <w:sz w:val="22"/>
        </w:rPr>
        <w:t> </w:t>
      </w:r>
      <w:r>
        <w:rPr>
          <w:sz w:val="22"/>
        </w:rPr>
        <w:t>στήριξης.</w:t>
      </w:r>
    </w:p>
    <w:p>
      <w:pPr>
        <w:pStyle w:val="ListParagraph"/>
        <w:numPr>
          <w:ilvl w:val="0"/>
          <w:numId w:val="29"/>
        </w:numPr>
        <w:tabs>
          <w:tab w:pos="820" w:val="left" w:leader="none"/>
          <w:tab w:pos="821" w:val="left" w:leader="none"/>
        </w:tabs>
        <w:spacing w:line="276" w:lineRule="auto" w:before="41" w:after="0"/>
        <w:ind w:left="100" w:right="114" w:firstLine="0"/>
        <w:jc w:val="both"/>
        <w:rPr>
          <w:sz w:val="22"/>
        </w:rPr>
      </w:pPr>
      <w:r>
        <w:rPr>
          <w:sz w:val="22"/>
        </w:rPr>
        <w:t>μπορεί ο συνδυασμός τους να καλύπτει την ίδια δαπάνη υπό τον όρο ότι το άθροισμα όλων των συνδυασμένων μορφών στήριξης δεν υπερβαίνει το συνολικό ποσό της συγκεκριμένης δαπάνης (το τμήμα χρηματοδοτικού εργαλείου υποστηριζόμενο από το ΕΣΠΑ μαζί με την Επιχορήγηση να είναι μικρότερο ή ίσο του επιχορηγούμενου π/υ του επενδυτικού</w:t>
      </w:r>
      <w:r>
        <w:rPr>
          <w:spacing w:val="-12"/>
          <w:sz w:val="22"/>
        </w:rPr>
        <w:t> </w:t>
      </w:r>
      <w:r>
        <w:rPr>
          <w:sz w:val="22"/>
        </w:rPr>
        <w:t>σχεδίου).</w:t>
      </w:r>
    </w:p>
    <w:p>
      <w:pPr>
        <w:pStyle w:val="ListParagraph"/>
        <w:numPr>
          <w:ilvl w:val="0"/>
          <w:numId w:val="29"/>
        </w:numPr>
        <w:tabs>
          <w:tab w:pos="820" w:val="left" w:leader="none"/>
          <w:tab w:pos="821" w:val="left" w:leader="none"/>
        </w:tabs>
        <w:spacing w:line="273" w:lineRule="auto" w:before="0" w:after="0"/>
        <w:ind w:left="100" w:right="121" w:firstLine="0"/>
        <w:jc w:val="both"/>
        <w:rPr>
          <w:sz w:val="22"/>
        </w:rPr>
      </w:pPr>
      <w:r>
        <w:rPr>
          <w:sz w:val="22"/>
        </w:rPr>
        <w:t>οι επιχορηγήσεις δεν χρησιμοποιούνται για την αποπληρωμή στήριξης που ελήφθη από χρηματοδοτικά εργαλεία του</w:t>
      </w:r>
      <w:r>
        <w:rPr>
          <w:spacing w:val="-6"/>
          <w:sz w:val="22"/>
        </w:rPr>
        <w:t> </w:t>
      </w:r>
      <w:r>
        <w:rPr>
          <w:sz w:val="22"/>
        </w:rPr>
        <w:t>ΕΣΠΑ.</w:t>
      </w:r>
    </w:p>
    <w:p>
      <w:pPr>
        <w:pStyle w:val="BodyText"/>
        <w:spacing w:before="3"/>
        <w:ind w:left="100"/>
        <w:jc w:val="both"/>
      </w:pPr>
      <w:r>
        <w:rPr/>
        <w:t>Τα χρηματοδοτικά εργαλεία του ΕΣΠΑ δεν χρησιμοποιούνται για τη προχρηματοδότηση επιχειρήσεων.</w:t>
      </w:r>
    </w:p>
    <w:p>
      <w:pPr>
        <w:pStyle w:val="BodyText"/>
        <w:spacing w:before="8"/>
        <w:rPr>
          <w:sz w:val="28"/>
        </w:rPr>
      </w:pPr>
    </w:p>
    <w:p>
      <w:pPr>
        <w:pStyle w:val="BodyText"/>
        <w:spacing w:line="276" w:lineRule="auto" w:before="1"/>
        <w:ind w:left="100" w:right="121"/>
        <w:jc w:val="both"/>
      </w:pPr>
      <w:r>
        <w:rPr>
          <w:u w:val="single"/>
        </w:rPr>
        <w:t>Επισημαίνεται ότι όταν το χρηματοδοτικό εργαλείο εμπεριέχει ενίσχυση, το Ακαθάριστο Ισοδύναμο Επιχορήγησης (ΑΙΕ) αυτής σωρεύει με την επιχορήγηση κατά τον υπολογισμό του ορίου που θέτουν οι Κανονισμοί χορήγησης των ενισχύσεων.</w:t>
      </w:r>
    </w:p>
    <w:p>
      <w:pPr>
        <w:pStyle w:val="BodyText"/>
        <w:spacing w:line="273" w:lineRule="auto" w:before="121"/>
        <w:ind w:left="100" w:right="123"/>
        <w:jc w:val="both"/>
      </w:pPr>
      <w:r>
        <w:rPr/>
        <w:t>Η ιδιωτική συμμετοχή του δικαιούχου της ενίσχυσης (επιχείρηση) αποδεικνύεται με την εξόφληση των παραστατικών σύμφωνα με τα οριζόμενα στην παρούσα πρόσκληση.</w:t>
      </w:r>
    </w:p>
    <w:p>
      <w:pPr>
        <w:spacing w:after="0" w:line="273"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220" w:right="215"/>
        <w:jc w:val="both"/>
      </w:pPr>
      <w:r>
        <w:rPr/>
        <w:t>Ο τραπεζικός δανεισμός δεν είναι υποχρεωτικός. Εάν χρησιμοποιηθεί θα πρέπει να έχει τη μορφή τραπεζικού δανείου ή ομολογιακού δανείου εκδιδομένου σε δημόσια ή μη εγγραφή, ή δανείου από άλλους χρηματοδοτικούς οργανισμούς, αποκλειόμενης της μορφής αλληλόχρεου λογαριασμού. Επιτρέπεται η κίνηση του ανωτέρου δανείου να γίνεται και μέσω αλληλόχρεου λογαριασμού, εφόσον υπάρχει ξεχωριστή πράξη στον εν λόγω λογαριασμό, από την οποία να προκύπτει ότι το δάνειο προορίζεται για την υλοποίηση της επένδυσης, με σαφή αναφορά των όρων σύναψης του δανείου. Το επενδυτικό δάνειο μπορεί να λαμβάνεται και σε συνάλλαγμα. Σε κάθε περίπτωση, εφόσον η επιχείρηση προσφύγει σε δανεισμό για την κάλυψη του χρηματοδοτικού σχήματος της επένδυσης, είναι υποχρεωμένη να προσκομίσει κατά την υλοποίηση του προγράμματος αντίγραφο της σχετικής σύμβασης με τις απαραίτητες πρόσθετες πράξεις εφόσον η κίνηση του δανείου λάβει χώρα μέσω ανοικτού αλληλόχρεου λογαριασμού.</w:t>
      </w:r>
    </w:p>
    <w:p>
      <w:pPr>
        <w:pStyle w:val="BodyText"/>
        <w:spacing w:before="9"/>
        <w:rPr>
          <w:sz w:val="19"/>
        </w:rPr>
      </w:pPr>
    </w:p>
    <w:p>
      <w:pPr>
        <w:pStyle w:val="Heading4"/>
        <w:numPr>
          <w:ilvl w:val="1"/>
          <w:numId w:val="28"/>
        </w:numPr>
        <w:tabs>
          <w:tab w:pos="941" w:val="left" w:leader="none"/>
        </w:tabs>
        <w:spacing w:line="240" w:lineRule="auto" w:before="0" w:after="0"/>
        <w:ind w:left="940" w:right="0" w:hanging="720"/>
        <w:jc w:val="both"/>
      </w:pPr>
      <w:bookmarkStart w:name="_TOC_250036" w:id="20"/>
      <w:r>
        <w:rPr/>
        <w:t>ΔΙΑΡΘΡΩΣΗ</w:t>
      </w:r>
      <w:r>
        <w:rPr>
          <w:spacing w:val="-5"/>
        </w:rPr>
        <w:t> </w:t>
      </w:r>
      <w:bookmarkEnd w:id="20"/>
      <w:r>
        <w:rPr/>
        <w:t>ΠΡΟΫΠΟΛΟΓΙΣΜΟΥ</w:t>
      </w:r>
    </w:p>
    <w:p>
      <w:pPr>
        <w:pStyle w:val="BodyText"/>
        <w:spacing w:line="273" w:lineRule="auto" w:before="120"/>
        <w:ind w:left="220" w:right="222"/>
        <w:jc w:val="both"/>
      </w:pPr>
      <w:r>
        <w:rPr/>
        <w:t>Ο συνολικός προϋπολογισμός του επενδυτικού σχεδίου θα πρέπει να διαμορφώνεται σύμφωνα με τους περιορισμούς που αναφέρονται στον παρακάτω πίνακα:</w:t>
      </w:r>
    </w:p>
    <w:p>
      <w:pPr>
        <w:pStyle w:val="BodyText"/>
        <w:spacing w:before="4"/>
        <w:rPr>
          <w:sz w:val="10"/>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69"/>
        <w:gridCol w:w="3296"/>
      </w:tblGrid>
      <w:tr>
        <w:trPr>
          <w:trHeight w:val="936" w:hRule="exact"/>
        </w:trPr>
        <w:tc>
          <w:tcPr>
            <w:tcW w:w="6669" w:type="dxa"/>
            <w:shd w:val="clear" w:color="auto" w:fill="DFDFDF"/>
          </w:tcPr>
          <w:p>
            <w:pPr>
              <w:pStyle w:val="TableParagraph"/>
              <w:spacing w:before="1"/>
              <w:rPr>
                <w:sz w:val="25"/>
              </w:rPr>
            </w:pPr>
          </w:p>
          <w:p>
            <w:pPr>
              <w:pStyle w:val="TableParagraph"/>
              <w:ind w:left="1774"/>
              <w:rPr>
                <w:b/>
                <w:sz w:val="22"/>
              </w:rPr>
            </w:pPr>
            <w:r>
              <w:rPr>
                <w:b/>
                <w:sz w:val="22"/>
              </w:rPr>
              <w:t>ΕΠΙΛΕΞΙΜΗ ΚΑΤΗΓΟΡΙΑ ΔΑΠΑΝΗΣ</w:t>
            </w:r>
          </w:p>
        </w:tc>
        <w:tc>
          <w:tcPr>
            <w:tcW w:w="3296" w:type="dxa"/>
            <w:shd w:val="clear" w:color="auto" w:fill="DFDFDF"/>
          </w:tcPr>
          <w:p>
            <w:pPr>
              <w:pStyle w:val="TableParagraph"/>
              <w:spacing w:line="276" w:lineRule="auto"/>
              <w:ind w:left="302" w:right="304" w:firstLine="5"/>
              <w:jc w:val="center"/>
              <w:rPr>
                <w:b/>
                <w:sz w:val="22"/>
              </w:rPr>
            </w:pPr>
            <w:r>
              <w:rPr>
                <w:b/>
                <w:sz w:val="22"/>
              </w:rPr>
              <w:t>ΑΝΩΤΑΤΟ ΠΟΣΟΣΤΟ ΚΑΤΗΓΟΡΙΑΣ ΔΑΠΑΝΗΣ ΣΤΟΝ ΣΥΝΟΛΙΚΟ Π/Υ ΤΟΥ ΕΡΓΟΥ</w:t>
            </w:r>
          </w:p>
        </w:tc>
      </w:tr>
      <w:tr>
        <w:trPr>
          <w:trHeight w:val="319" w:hRule="exact"/>
        </w:trPr>
        <w:tc>
          <w:tcPr>
            <w:tcW w:w="6669" w:type="dxa"/>
          </w:tcPr>
          <w:p>
            <w:pPr>
              <w:pStyle w:val="TableParagraph"/>
              <w:spacing w:line="268" w:lineRule="exact"/>
              <w:ind w:left="103"/>
              <w:rPr>
                <w:b/>
                <w:sz w:val="22"/>
              </w:rPr>
            </w:pPr>
            <w:r>
              <w:rPr>
                <w:sz w:val="22"/>
              </w:rPr>
              <w:t>1.    </w:t>
            </w:r>
            <w:r>
              <w:rPr>
                <w:b/>
                <w:sz w:val="22"/>
              </w:rPr>
              <w:t>Κόστος για επενδύσεις σε στοιχεία ενεργητικού</w:t>
            </w:r>
          </w:p>
        </w:tc>
        <w:tc>
          <w:tcPr>
            <w:tcW w:w="3296" w:type="dxa"/>
            <w:shd w:val="clear" w:color="auto" w:fill="D9D9D9"/>
          </w:tcPr>
          <w:p>
            <w:pPr/>
          </w:p>
        </w:tc>
      </w:tr>
      <w:tr>
        <w:trPr>
          <w:trHeight w:val="338" w:hRule="exact"/>
        </w:trPr>
        <w:tc>
          <w:tcPr>
            <w:tcW w:w="6669" w:type="dxa"/>
          </w:tcPr>
          <w:p>
            <w:pPr>
              <w:pStyle w:val="TableParagraph"/>
              <w:tabs>
                <w:tab w:pos="1399" w:val="left" w:leader="none"/>
              </w:tabs>
              <w:spacing w:line="290" w:lineRule="exact"/>
              <w:ind w:left="823"/>
              <w:rPr>
                <w:sz w:val="22"/>
              </w:rPr>
            </w:pPr>
            <w:r>
              <w:rPr>
                <w:sz w:val="24"/>
              </w:rPr>
              <w:t>1.1</w:t>
              <w:tab/>
            </w:r>
            <w:r>
              <w:rPr>
                <w:sz w:val="22"/>
              </w:rPr>
              <w:t>Επενδύσεις σε κτιριακές</w:t>
            </w:r>
            <w:r>
              <w:rPr>
                <w:spacing w:val="-5"/>
                <w:sz w:val="22"/>
              </w:rPr>
              <w:t> </w:t>
            </w:r>
            <w:r>
              <w:rPr>
                <w:sz w:val="22"/>
              </w:rPr>
              <w:t>εγκαταστάσεις</w:t>
            </w:r>
          </w:p>
        </w:tc>
        <w:tc>
          <w:tcPr>
            <w:tcW w:w="3296" w:type="dxa"/>
          </w:tcPr>
          <w:p>
            <w:pPr>
              <w:pStyle w:val="TableParagraph"/>
              <w:spacing w:before="6"/>
              <w:ind w:left="631" w:right="631"/>
              <w:jc w:val="center"/>
              <w:rPr>
                <w:sz w:val="22"/>
              </w:rPr>
            </w:pPr>
            <w:r>
              <w:rPr>
                <w:sz w:val="22"/>
              </w:rPr>
              <w:t>40%</w:t>
            </w:r>
          </w:p>
        </w:tc>
      </w:tr>
      <w:tr>
        <w:trPr>
          <w:trHeight w:val="338" w:hRule="exact"/>
        </w:trPr>
        <w:tc>
          <w:tcPr>
            <w:tcW w:w="6669" w:type="dxa"/>
          </w:tcPr>
          <w:p>
            <w:pPr>
              <w:pStyle w:val="TableParagraph"/>
              <w:tabs>
                <w:tab w:pos="1399" w:val="left" w:leader="none"/>
              </w:tabs>
              <w:spacing w:line="290" w:lineRule="exact"/>
              <w:ind w:left="823"/>
              <w:rPr>
                <w:sz w:val="22"/>
              </w:rPr>
            </w:pPr>
            <w:r>
              <w:rPr>
                <w:sz w:val="24"/>
              </w:rPr>
              <w:t>1.2</w:t>
              <w:tab/>
            </w:r>
            <w:r>
              <w:rPr>
                <w:sz w:val="22"/>
              </w:rPr>
              <w:t>Μηχανήματα -</w:t>
            </w:r>
            <w:r>
              <w:rPr>
                <w:spacing w:val="-3"/>
                <w:sz w:val="22"/>
              </w:rPr>
              <w:t> </w:t>
            </w:r>
            <w:r>
              <w:rPr>
                <w:sz w:val="22"/>
              </w:rPr>
              <w:t>εξοπλισμός</w:t>
            </w:r>
          </w:p>
        </w:tc>
        <w:tc>
          <w:tcPr>
            <w:tcW w:w="3296" w:type="dxa"/>
          </w:tcPr>
          <w:p>
            <w:pPr>
              <w:pStyle w:val="TableParagraph"/>
              <w:spacing w:before="6"/>
              <w:ind w:left="631" w:right="628"/>
              <w:jc w:val="center"/>
              <w:rPr>
                <w:sz w:val="22"/>
              </w:rPr>
            </w:pPr>
            <w:r>
              <w:rPr>
                <w:sz w:val="22"/>
              </w:rPr>
              <w:t>100%</w:t>
            </w:r>
          </w:p>
        </w:tc>
      </w:tr>
      <w:tr>
        <w:trPr>
          <w:trHeight w:val="627" w:hRule="exact"/>
        </w:trPr>
        <w:tc>
          <w:tcPr>
            <w:tcW w:w="6669" w:type="dxa"/>
          </w:tcPr>
          <w:p>
            <w:pPr>
              <w:pStyle w:val="TableParagraph"/>
              <w:tabs>
                <w:tab w:pos="1399" w:val="left" w:leader="none"/>
              </w:tabs>
              <w:spacing w:before="141"/>
              <w:ind w:left="823"/>
              <w:rPr>
                <w:sz w:val="22"/>
              </w:rPr>
            </w:pPr>
            <w:r>
              <w:rPr>
                <w:sz w:val="24"/>
              </w:rPr>
              <w:t>1.3</w:t>
              <w:tab/>
            </w:r>
            <w:r>
              <w:rPr>
                <w:sz w:val="22"/>
              </w:rPr>
              <w:t>Άυλα στοιχεία</w:t>
            </w:r>
            <w:r>
              <w:rPr>
                <w:spacing w:val="-4"/>
                <w:sz w:val="22"/>
              </w:rPr>
              <w:t> </w:t>
            </w:r>
            <w:r>
              <w:rPr>
                <w:sz w:val="22"/>
              </w:rPr>
              <w:t>ενεργητικού</w:t>
            </w:r>
          </w:p>
        </w:tc>
        <w:tc>
          <w:tcPr>
            <w:tcW w:w="3296" w:type="dxa"/>
          </w:tcPr>
          <w:p>
            <w:pPr>
              <w:pStyle w:val="TableParagraph"/>
              <w:spacing w:line="276" w:lineRule="auto"/>
              <w:ind w:left="1279" w:right="102" w:hanging="1165"/>
              <w:rPr>
                <w:sz w:val="22"/>
              </w:rPr>
            </w:pPr>
            <w:r>
              <w:rPr>
                <w:sz w:val="22"/>
              </w:rPr>
              <w:t>50% και σε κάθε περίπτωση μέχρι 50.000€</w:t>
            </w:r>
          </w:p>
        </w:tc>
      </w:tr>
      <w:tr>
        <w:trPr>
          <w:trHeight w:val="648" w:hRule="exact"/>
        </w:trPr>
        <w:tc>
          <w:tcPr>
            <w:tcW w:w="6669" w:type="dxa"/>
          </w:tcPr>
          <w:p>
            <w:pPr>
              <w:pStyle w:val="TableParagraph"/>
              <w:tabs>
                <w:tab w:pos="1399" w:val="left" w:leader="none"/>
              </w:tabs>
              <w:spacing w:line="268" w:lineRule="auto"/>
              <w:ind w:left="1399" w:right="225" w:hanging="576"/>
              <w:rPr>
                <w:sz w:val="22"/>
              </w:rPr>
            </w:pPr>
            <w:r>
              <w:rPr>
                <w:sz w:val="24"/>
              </w:rPr>
              <w:t>1.4</w:t>
              <w:tab/>
            </w:r>
            <w:r>
              <w:rPr>
                <w:sz w:val="22"/>
              </w:rPr>
              <w:t>Τεχνολογική αναβάθμιση μέσω της αύξησης</w:t>
            </w:r>
            <w:r>
              <w:rPr>
                <w:spacing w:val="-10"/>
                <w:sz w:val="22"/>
              </w:rPr>
              <w:t> </w:t>
            </w:r>
            <w:r>
              <w:rPr>
                <w:sz w:val="22"/>
              </w:rPr>
              <w:t>της</w:t>
            </w:r>
            <w:r>
              <w:rPr>
                <w:spacing w:val="-1"/>
                <w:sz w:val="22"/>
              </w:rPr>
              <w:t> </w:t>
            </w:r>
            <w:r>
              <w:rPr>
                <w:sz w:val="22"/>
              </w:rPr>
              <w:t>χρήσης</w:t>
            </w:r>
            <w:r>
              <w:rPr>
                <w:w w:val="100"/>
                <w:sz w:val="22"/>
              </w:rPr>
              <w:t> </w:t>
            </w:r>
            <w:r>
              <w:rPr>
                <w:sz w:val="22"/>
              </w:rPr>
              <w:t>ΤΠΕ</w:t>
            </w:r>
          </w:p>
        </w:tc>
        <w:tc>
          <w:tcPr>
            <w:tcW w:w="3296" w:type="dxa"/>
          </w:tcPr>
          <w:p>
            <w:pPr>
              <w:pStyle w:val="TableParagraph"/>
              <w:spacing w:before="162"/>
              <w:ind w:left="631" w:right="631"/>
              <w:jc w:val="center"/>
              <w:rPr>
                <w:sz w:val="22"/>
              </w:rPr>
            </w:pPr>
            <w:r>
              <w:rPr>
                <w:sz w:val="22"/>
              </w:rPr>
              <w:t>100%</w:t>
            </w:r>
          </w:p>
        </w:tc>
      </w:tr>
      <w:tr>
        <w:trPr>
          <w:trHeight w:val="626" w:hRule="exact"/>
        </w:trPr>
        <w:tc>
          <w:tcPr>
            <w:tcW w:w="6669" w:type="dxa"/>
          </w:tcPr>
          <w:p>
            <w:pPr>
              <w:pStyle w:val="TableParagraph"/>
              <w:spacing w:line="265" w:lineRule="exact"/>
              <w:ind w:left="103"/>
              <w:rPr>
                <w:b/>
                <w:sz w:val="22"/>
              </w:rPr>
            </w:pPr>
            <w:r>
              <w:rPr>
                <w:sz w:val="22"/>
              </w:rPr>
              <w:t>2.    </w:t>
            </w:r>
            <w:r>
              <w:rPr>
                <w:b/>
                <w:sz w:val="22"/>
              </w:rPr>
              <w:t>Συμβουλευτικές υπηρεσίες σε ΜΜΕ</w:t>
            </w:r>
          </w:p>
        </w:tc>
        <w:tc>
          <w:tcPr>
            <w:tcW w:w="3296" w:type="dxa"/>
          </w:tcPr>
          <w:p>
            <w:pPr>
              <w:pStyle w:val="TableParagraph"/>
              <w:spacing w:line="276" w:lineRule="auto"/>
              <w:ind w:left="1279" w:right="155" w:hanging="1107"/>
              <w:rPr>
                <w:sz w:val="22"/>
              </w:rPr>
            </w:pPr>
            <w:r>
              <w:rPr>
                <w:sz w:val="22"/>
              </w:rPr>
              <w:t>5% και σε κάθε περίπτωση μέχρι 15.000€</w:t>
            </w:r>
          </w:p>
        </w:tc>
      </w:tr>
      <w:tr>
        <w:trPr>
          <w:trHeight w:val="319" w:hRule="exact"/>
        </w:trPr>
        <w:tc>
          <w:tcPr>
            <w:tcW w:w="6669" w:type="dxa"/>
          </w:tcPr>
          <w:p>
            <w:pPr>
              <w:pStyle w:val="TableParagraph"/>
              <w:spacing w:line="265" w:lineRule="exact"/>
              <w:ind w:left="103"/>
              <w:rPr>
                <w:b/>
                <w:sz w:val="22"/>
              </w:rPr>
            </w:pPr>
            <w:r>
              <w:rPr>
                <w:sz w:val="22"/>
              </w:rPr>
              <w:t>3.    </w:t>
            </w:r>
            <w:r>
              <w:rPr>
                <w:b/>
                <w:sz w:val="22"/>
              </w:rPr>
              <w:t>Ενισχύσεις για συμμετοχή σε εμπορικές εκθέσεις</w:t>
            </w:r>
          </w:p>
        </w:tc>
        <w:tc>
          <w:tcPr>
            <w:tcW w:w="3296" w:type="dxa"/>
          </w:tcPr>
          <w:p>
            <w:pPr>
              <w:pStyle w:val="TableParagraph"/>
              <w:spacing w:line="265" w:lineRule="exact"/>
              <w:ind w:left="631" w:right="631"/>
              <w:jc w:val="center"/>
              <w:rPr>
                <w:sz w:val="22"/>
              </w:rPr>
            </w:pPr>
            <w:r>
              <w:rPr>
                <w:sz w:val="22"/>
              </w:rPr>
              <w:t>20%</w:t>
            </w:r>
          </w:p>
        </w:tc>
      </w:tr>
      <w:tr>
        <w:trPr>
          <w:trHeight w:val="338" w:hRule="exact"/>
        </w:trPr>
        <w:tc>
          <w:tcPr>
            <w:tcW w:w="6669" w:type="dxa"/>
          </w:tcPr>
          <w:p>
            <w:pPr>
              <w:pStyle w:val="TableParagraph"/>
              <w:tabs>
                <w:tab w:pos="1399" w:val="left" w:leader="none"/>
              </w:tabs>
              <w:spacing w:line="290" w:lineRule="exact"/>
              <w:ind w:left="823"/>
              <w:rPr>
                <w:sz w:val="22"/>
              </w:rPr>
            </w:pPr>
            <w:r>
              <w:rPr>
                <w:sz w:val="24"/>
              </w:rPr>
              <w:t>3.1</w:t>
              <w:tab/>
            </w:r>
            <w:r>
              <w:rPr>
                <w:sz w:val="22"/>
              </w:rPr>
              <w:t>Επαγγελματικές εκθέσεις που γίνονται στην</w:t>
            </w:r>
            <w:r>
              <w:rPr>
                <w:spacing w:val="-10"/>
                <w:sz w:val="22"/>
              </w:rPr>
              <w:t> </w:t>
            </w:r>
            <w:r>
              <w:rPr>
                <w:sz w:val="22"/>
              </w:rPr>
              <w:t>Ελλάδα</w:t>
            </w:r>
          </w:p>
        </w:tc>
        <w:tc>
          <w:tcPr>
            <w:tcW w:w="3296" w:type="dxa"/>
            <w:shd w:val="clear" w:color="auto" w:fill="D9D9D9"/>
          </w:tcPr>
          <w:p>
            <w:pPr/>
          </w:p>
        </w:tc>
      </w:tr>
      <w:tr>
        <w:trPr>
          <w:trHeight w:val="338" w:hRule="exact"/>
        </w:trPr>
        <w:tc>
          <w:tcPr>
            <w:tcW w:w="6669" w:type="dxa"/>
          </w:tcPr>
          <w:p>
            <w:pPr>
              <w:pStyle w:val="TableParagraph"/>
              <w:tabs>
                <w:tab w:pos="1399" w:val="left" w:leader="none"/>
              </w:tabs>
              <w:spacing w:line="290" w:lineRule="exact"/>
              <w:ind w:left="823"/>
              <w:rPr>
                <w:sz w:val="22"/>
              </w:rPr>
            </w:pPr>
            <w:r>
              <w:rPr>
                <w:sz w:val="24"/>
              </w:rPr>
              <w:t>3.2</w:t>
              <w:tab/>
            </w:r>
            <w:r>
              <w:rPr>
                <w:sz w:val="22"/>
              </w:rPr>
              <w:t>Επαγγελματικές εκθέσεις που γίνονται στο</w:t>
            </w:r>
            <w:r>
              <w:rPr>
                <w:spacing w:val="-12"/>
                <w:sz w:val="22"/>
              </w:rPr>
              <w:t> </w:t>
            </w:r>
            <w:r>
              <w:rPr>
                <w:sz w:val="22"/>
              </w:rPr>
              <w:t>εξωτερικό</w:t>
            </w:r>
          </w:p>
        </w:tc>
        <w:tc>
          <w:tcPr>
            <w:tcW w:w="3296" w:type="dxa"/>
            <w:shd w:val="clear" w:color="auto" w:fill="D9D9D9"/>
          </w:tcPr>
          <w:p>
            <w:pPr/>
          </w:p>
        </w:tc>
      </w:tr>
      <w:tr>
        <w:trPr>
          <w:trHeight w:val="1246" w:hRule="exact"/>
        </w:trPr>
        <w:tc>
          <w:tcPr>
            <w:tcW w:w="6669" w:type="dxa"/>
          </w:tcPr>
          <w:p>
            <w:pPr>
              <w:pStyle w:val="TableParagraph"/>
              <w:numPr>
                <w:ilvl w:val="0"/>
                <w:numId w:val="30"/>
              </w:numPr>
              <w:tabs>
                <w:tab w:pos="464" w:val="left" w:leader="none"/>
              </w:tabs>
              <w:spacing w:line="265" w:lineRule="exact" w:before="0" w:after="0"/>
              <w:ind w:left="463" w:right="0" w:hanging="360"/>
              <w:jc w:val="left"/>
              <w:rPr>
                <w:b/>
                <w:sz w:val="22"/>
              </w:rPr>
            </w:pPr>
            <w:r>
              <w:rPr>
                <w:b/>
                <w:sz w:val="22"/>
              </w:rPr>
              <w:t>Ενισχύσεις</w:t>
            </w:r>
            <w:r>
              <w:rPr>
                <w:b/>
                <w:spacing w:val="-10"/>
                <w:sz w:val="22"/>
              </w:rPr>
              <w:t> </w:t>
            </w:r>
            <w:r>
              <w:rPr>
                <w:b/>
                <w:sz w:val="22"/>
              </w:rPr>
              <w:t>Καινοτομίας</w:t>
            </w:r>
          </w:p>
          <w:p>
            <w:pPr>
              <w:pStyle w:val="TableParagraph"/>
              <w:numPr>
                <w:ilvl w:val="1"/>
                <w:numId w:val="30"/>
              </w:numPr>
              <w:tabs>
                <w:tab w:pos="896" w:val="left" w:leader="none"/>
              </w:tabs>
              <w:spacing w:line="240" w:lineRule="auto" w:before="41" w:after="0"/>
              <w:ind w:left="895" w:right="0" w:hanging="432"/>
              <w:jc w:val="left"/>
              <w:rPr>
                <w:sz w:val="22"/>
              </w:rPr>
            </w:pPr>
            <w:r>
              <w:rPr>
                <w:sz w:val="22"/>
              </w:rPr>
              <w:t>Δαπάνες για άυλα στοιχεία</w:t>
            </w:r>
            <w:r>
              <w:rPr>
                <w:spacing w:val="-3"/>
                <w:sz w:val="22"/>
              </w:rPr>
              <w:t> </w:t>
            </w:r>
            <w:r>
              <w:rPr>
                <w:sz w:val="22"/>
              </w:rPr>
              <w:t>ενεργητικού</w:t>
            </w:r>
          </w:p>
          <w:p>
            <w:pPr>
              <w:pStyle w:val="TableParagraph"/>
              <w:numPr>
                <w:ilvl w:val="1"/>
                <w:numId w:val="30"/>
              </w:numPr>
              <w:tabs>
                <w:tab w:pos="896" w:val="left" w:leader="none"/>
              </w:tabs>
              <w:spacing w:line="240" w:lineRule="auto" w:before="38" w:after="0"/>
              <w:ind w:left="895" w:right="0" w:hanging="432"/>
              <w:jc w:val="left"/>
              <w:rPr>
                <w:sz w:val="22"/>
              </w:rPr>
            </w:pPr>
            <w:r>
              <w:rPr>
                <w:sz w:val="22"/>
              </w:rPr>
              <w:t>Δαπάνες για υπηρεσίες</w:t>
            </w:r>
            <w:r>
              <w:rPr>
                <w:spacing w:val="-2"/>
                <w:sz w:val="22"/>
              </w:rPr>
              <w:t> </w:t>
            </w:r>
            <w:r>
              <w:rPr>
                <w:sz w:val="22"/>
              </w:rPr>
              <w:t>καινοτομίας</w:t>
            </w:r>
          </w:p>
          <w:p>
            <w:pPr>
              <w:pStyle w:val="TableParagraph"/>
              <w:numPr>
                <w:ilvl w:val="1"/>
                <w:numId w:val="30"/>
              </w:numPr>
              <w:tabs>
                <w:tab w:pos="896" w:val="left" w:leader="none"/>
              </w:tabs>
              <w:spacing w:line="240" w:lineRule="auto" w:before="41" w:after="0"/>
              <w:ind w:left="895" w:right="0" w:hanging="432"/>
              <w:jc w:val="left"/>
              <w:rPr>
                <w:sz w:val="22"/>
              </w:rPr>
            </w:pPr>
            <w:r>
              <w:rPr>
                <w:sz w:val="22"/>
              </w:rPr>
              <w:t>Γνώσεις και διπλώματα</w:t>
            </w:r>
            <w:r>
              <w:rPr>
                <w:spacing w:val="-1"/>
                <w:sz w:val="22"/>
              </w:rPr>
              <w:t> </w:t>
            </w:r>
            <w:r>
              <w:rPr>
                <w:sz w:val="22"/>
              </w:rPr>
              <w:t>ευρεσιτεχνίας</w:t>
            </w:r>
          </w:p>
        </w:tc>
        <w:tc>
          <w:tcPr>
            <w:tcW w:w="3296" w:type="dxa"/>
          </w:tcPr>
          <w:p>
            <w:pPr>
              <w:pStyle w:val="TableParagraph"/>
              <w:rPr>
                <w:sz w:val="22"/>
              </w:rPr>
            </w:pPr>
          </w:p>
          <w:p>
            <w:pPr>
              <w:pStyle w:val="TableParagraph"/>
              <w:spacing w:before="192"/>
              <w:ind w:left="631" w:right="631"/>
              <w:jc w:val="center"/>
              <w:rPr>
                <w:sz w:val="22"/>
              </w:rPr>
            </w:pPr>
            <w:r>
              <w:rPr>
                <w:sz w:val="22"/>
              </w:rPr>
              <w:t>40%</w:t>
            </w:r>
          </w:p>
        </w:tc>
      </w:tr>
      <w:tr>
        <w:trPr>
          <w:trHeight w:val="319" w:hRule="exact"/>
        </w:trPr>
        <w:tc>
          <w:tcPr>
            <w:tcW w:w="6669" w:type="dxa"/>
          </w:tcPr>
          <w:p>
            <w:pPr>
              <w:pStyle w:val="TableParagraph"/>
              <w:spacing w:line="265" w:lineRule="exact"/>
              <w:ind w:left="103"/>
              <w:rPr>
                <w:sz w:val="22"/>
              </w:rPr>
            </w:pPr>
            <w:r>
              <w:rPr>
                <w:sz w:val="22"/>
              </w:rPr>
              <w:t>5.    </w:t>
            </w:r>
            <w:r>
              <w:rPr>
                <w:b/>
                <w:sz w:val="22"/>
              </w:rPr>
              <w:t>Δαπάνες προσωπικού </w:t>
            </w:r>
            <w:r>
              <w:rPr>
                <w:sz w:val="22"/>
              </w:rPr>
              <w:t>(Μισθολογικό κόστος νέου προσωπικού)</w:t>
            </w:r>
          </w:p>
        </w:tc>
        <w:tc>
          <w:tcPr>
            <w:tcW w:w="3296" w:type="dxa"/>
          </w:tcPr>
          <w:p>
            <w:pPr>
              <w:pStyle w:val="TableParagraph"/>
              <w:spacing w:line="265" w:lineRule="exact"/>
              <w:ind w:left="631" w:right="633"/>
              <w:jc w:val="center"/>
              <w:rPr>
                <w:sz w:val="22"/>
              </w:rPr>
            </w:pPr>
            <w:r>
              <w:rPr>
                <w:sz w:val="22"/>
              </w:rPr>
              <w:t>20% , έως 30.000,00 €</w:t>
            </w:r>
          </w:p>
        </w:tc>
      </w:tr>
    </w:tbl>
    <w:p>
      <w:pPr>
        <w:pStyle w:val="BodyText"/>
        <w:spacing w:before="2"/>
        <w:rPr>
          <w:sz w:val="17"/>
        </w:rPr>
      </w:pPr>
    </w:p>
    <w:p>
      <w:pPr>
        <w:pStyle w:val="BodyText"/>
        <w:spacing w:line="267" w:lineRule="exact" w:before="56"/>
        <w:ind w:left="220"/>
        <w:jc w:val="both"/>
      </w:pPr>
      <w:r>
        <w:rPr/>
        <w:t>Ως προς τις ΕΜΕ Ισχύουν τα εξής :</w:t>
      </w:r>
    </w:p>
    <w:p>
      <w:pPr>
        <w:pStyle w:val="BodyText"/>
        <w:ind w:left="220" w:right="221"/>
        <w:jc w:val="both"/>
      </w:pPr>
      <w:r>
        <w:rPr/>
        <w:t>Ετήσια Μονάδα Εργασίας (ΕΜΕ), θεωρείται η πλήρης απασχόληση για διάστημα 1 έτους, δηλαδή η συμπλήρωση 40 ωρών εβδομαδιαίως για 12 μήνες από ένα άτομο πλήρους απασχόλησης ή από περισσότερα άτομα μερικής απασχόλησης κατά το ίδιο διάστημα.</w:t>
      </w:r>
    </w:p>
    <w:p>
      <w:pPr>
        <w:pStyle w:val="BodyText"/>
        <w:ind w:left="220" w:right="3135"/>
      </w:pPr>
      <w:r>
        <w:rPr/>
        <w:t>1 ΕΜΕ = 12 ανθρωπομήνες = 300 ημέρες ασφάλισης = 2.080 ανθρωποώρες. Υπολογισμός ΕΜΕ:</w:t>
      </w:r>
    </w:p>
    <w:p>
      <w:pPr>
        <w:pStyle w:val="ListParagraph"/>
        <w:numPr>
          <w:ilvl w:val="0"/>
          <w:numId w:val="31"/>
        </w:numPr>
        <w:tabs>
          <w:tab w:pos="451" w:val="left" w:leader="none"/>
        </w:tabs>
        <w:spacing w:line="240" w:lineRule="auto" w:before="0" w:after="0"/>
        <w:ind w:left="220" w:right="218" w:firstLine="0"/>
        <w:jc w:val="both"/>
        <w:rPr>
          <w:sz w:val="22"/>
        </w:rPr>
      </w:pPr>
      <w:r>
        <w:rPr>
          <w:sz w:val="22"/>
        </w:rPr>
        <w:t>Εργαζόμενος με πλήρες ωράριο (8ωρο): Hμέρες ασφάλισης (του έτους) που ο εργαζόμενος δουλεύει με πλήρες ωράριο (8ωρο) /</w:t>
      </w:r>
      <w:r>
        <w:rPr>
          <w:spacing w:val="-8"/>
          <w:sz w:val="22"/>
        </w:rPr>
        <w:t> </w:t>
      </w:r>
      <w:r>
        <w:rPr>
          <w:sz w:val="22"/>
        </w:rPr>
        <w:t>300.</w:t>
      </w:r>
    </w:p>
    <w:p>
      <w:pPr>
        <w:spacing w:after="0" w:line="240" w:lineRule="auto"/>
        <w:jc w:val="both"/>
        <w:rPr>
          <w:sz w:val="22"/>
        </w:rPr>
        <w:sectPr>
          <w:pgSz w:w="11910" w:h="16840"/>
          <w:pgMar w:header="748" w:footer="734" w:top="1420" w:bottom="920" w:left="860" w:right="860"/>
        </w:sectPr>
      </w:pPr>
    </w:p>
    <w:p>
      <w:pPr>
        <w:pStyle w:val="BodyText"/>
        <w:spacing w:before="7"/>
        <w:rPr>
          <w:sz w:val="17"/>
        </w:rPr>
      </w:pPr>
    </w:p>
    <w:p>
      <w:pPr>
        <w:pStyle w:val="ListParagraph"/>
        <w:numPr>
          <w:ilvl w:val="0"/>
          <w:numId w:val="31"/>
        </w:numPr>
        <w:tabs>
          <w:tab w:pos="405" w:val="left" w:leader="none"/>
        </w:tabs>
        <w:spacing w:line="240" w:lineRule="auto" w:before="57" w:after="0"/>
        <w:ind w:left="100" w:right="114" w:firstLine="0"/>
        <w:jc w:val="both"/>
        <w:rPr>
          <w:sz w:val="22"/>
        </w:rPr>
      </w:pPr>
      <w:r>
        <w:rPr>
          <w:sz w:val="22"/>
        </w:rPr>
        <w:t>Εργαζόμενος που δουλεύει με ωράριο μικρότερο των οκτώ ωρών (στοιχεία από τους Πίνακες προσωπικού): (αριθμός ασφαλιστικών ημερομισθίων ανά μήνα x ώρες εργασίας ανά ημέρα x μήνες εργασίας) /</w:t>
      </w:r>
      <w:r>
        <w:rPr>
          <w:spacing w:val="-1"/>
          <w:sz w:val="22"/>
        </w:rPr>
        <w:t> </w:t>
      </w:r>
      <w:r>
        <w:rPr>
          <w:sz w:val="22"/>
        </w:rPr>
        <w:t>2.080.</w:t>
      </w:r>
    </w:p>
    <w:p>
      <w:pPr>
        <w:pStyle w:val="BodyText"/>
      </w:pPr>
    </w:p>
    <w:p>
      <w:pPr>
        <w:pStyle w:val="BodyText"/>
        <w:spacing w:before="11"/>
        <w:rPr>
          <w:sz w:val="19"/>
        </w:rPr>
      </w:pPr>
    </w:p>
    <w:p>
      <w:pPr>
        <w:pStyle w:val="Heading2"/>
        <w:numPr>
          <w:ilvl w:val="0"/>
          <w:numId w:val="32"/>
        </w:numPr>
        <w:tabs>
          <w:tab w:pos="667" w:val="left" w:leader="none"/>
        </w:tabs>
        <w:spacing w:line="240" w:lineRule="auto" w:before="0" w:after="0"/>
        <w:ind w:left="666" w:right="0" w:hanging="566"/>
        <w:jc w:val="both"/>
      </w:pPr>
      <w:bookmarkStart w:name="_TOC_250035" w:id="21"/>
      <w:r>
        <w:rPr/>
        <w:t>ΔΙΑΔΙΚΑΣΙΑ ΥΠΟΒΟΛΗΣ ΚΑΙ ΠΑΡΑΛΑΒΗΣ ΑΙΤΗΣΗΣ</w:t>
      </w:r>
      <w:r>
        <w:rPr>
          <w:spacing w:val="-19"/>
        </w:rPr>
        <w:t> </w:t>
      </w:r>
      <w:bookmarkEnd w:id="21"/>
      <w:r>
        <w:rPr/>
        <w:t>ΧΡΗΜΑΤΟΔΟΤΗΣΗΣ</w:t>
      </w:r>
    </w:p>
    <w:p>
      <w:pPr>
        <w:pStyle w:val="BodyText"/>
        <w:spacing w:before="5"/>
        <w:rPr>
          <w:b/>
          <w:sz w:val="19"/>
        </w:rPr>
      </w:pPr>
    </w:p>
    <w:p>
      <w:pPr>
        <w:spacing w:line="276" w:lineRule="auto" w:before="0"/>
        <w:ind w:left="100" w:right="115" w:firstLine="0"/>
        <w:jc w:val="both"/>
        <w:rPr>
          <w:sz w:val="22"/>
        </w:rPr>
      </w:pPr>
      <w:r>
        <w:rPr>
          <w:sz w:val="22"/>
        </w:rPr>
        <w:t>Οι Αιτήσεις Χρηματοδότησης υποβάλλονται από τους δυνητικούς Δικαιούχους (επιχειρήσεις) υποχρεωτικά μέσω του Πληροφοριακού Συστήματος Κρατικών Ενισχύσεων (ΠΣΚΕ) (</w:t>
      </w:r>
      <w:hyperlink r:id="rId22">
        <w:r>
          <w:rPr>
            <w:color w:val="0462C1"/>
            <w:sz w:val="22"/>
            <w:u w:val="single" w:color="0462C1"/>
          </w:rPr>
          <w:t>http://www.ependyseis.gr/mis</w:t>
        </w:r>
      </w:hyperlink>
      <w:r>
        <w:rPr>
          <w:sz w:val="22"/>
        </w:rPr>
        <w:t>) με την ένδειξη </w:t>
      </w:r>
      <w:r>
        <w:rPr>
          <w:b/>
          <w:sz w:val="22"/>
        </w:rPr>
        <w:t>«Ενίσχυση υφιστάμενων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r>
        <w:rPr>
          <w:sz w:val="22"/>
        </w:rPr>
        <w:t>.</w:t>
      </w:r>
    </w:p>
    <w:p>
      <w:pPr>
        <w:pStyle w:val="BodyText"/>
        <w:spacing w:before="120"/>
        <w:ind w:left="100"/>
        <w:jc w:val="both"/>
      </w:pPr>
      <w:r>
        <w:rPr/>
        <w:t>Κατά την υποβολή της Αίτησης Χρηματοδότησης ο επενδυτής υποχρεούται σωρευτικά:</w:t>
      </w:r>
    </w:p>
    <w:p>
      <w:pPr>
        <w:pStyle w:val="ListParagraph"/>
        <w:numPr>
          <w:ilvl w:val="0"/>
          <w:numId w:val="33"/>
        </w:numPr>
        <w:tabs>
          <w:tab w:pos="460" w:val="left" w:leader="none"/>
          <w:tab w:pos="461" w:val="left" w:leader="none"/>
        </w:tabs>
        <w:spacing w:line="276" w:lineRule="auto" w:before="161" w:after="0"/>
        <w:ind w:left="460" w:right="115" w:hanging="360"/>
        <w:jc w:val="left"/>
        <w:rPr>
          <w:sz w:val="22"/>
        </w:rPr>
      </w:pPr>
      <w:r>
        <w:rPr>
          <w:sz w:val="22"/>
        </w:rPr>
        <w:t>να συμπληρώσει, </w:t>
      </w:r>
      <w:r>
        <w:rPr>
          <w:sz w:val="22"/>
          <w:u w:val="single"/>
        </w:rPr>
        <w:t>καταχωρώντας </w:t>
      </w:r>
      <w:r>
        <w:rPr>
          <w:sz w:val="22"/>
        </w:rPr>
        <w:t>στο Πληροφοριακό Σύστημα Κρατικών Ενισχύσεων τα σχετικά πεδία του σημείου «ΥΠΟΒΟΛΗ» του ΠΣΚΕ όπως αυτά εμφανίζονται στο Παράρτημα</w:t>
      </w:r>
      <w:r>
        <w:rPr>
          <w:spacing w:val="-18"/>
          <w:sz w:val="22"/>
        </w:rPr>
        <w:t> </w:t>
      </w:r>
      <w:r>
        <w:rPr>
          <w:b/>
          <w:sz w:val="22"/>
        </w:rPr>
        <w:t>Ι.1</w:t>
      </w:r>
      <w:r>
        <w:rPr>
          <w:sz w:val="22"/>
        </w:rPr>
        <w:t>,</w:t>
      </w:r>
    </w:p>
    <w:p>
      <w:pPr>
        <w:pStyle w:val="ListParagraph"/>
        <w:numPr>
          <w:ilvl w:val="0"/>
          <w:numId w:val="33"/>
        </w:numPr>
        <w:tabs>
          <w:tab w:pos="461" w:val="left" w:leader="none"/>
        </w:tabs>
        <w:spacing w:line="240" w:lineRule="auto" w:before="118" w:after="0"/>
        <w:ind w:left="460" w:right="0" w:hanging="360"/>
        <w:jc w:val="both"/>
        <w:rPr>
          <w:sz w:val="22"/>
        </w:rPr>
      </w:pPr>
      <w:r>
        <w:rPr>
          <w:sz w:val="22"/>
        </w:rPr>
        <w:t>να </w:t>
      </w:r>
      <w:r>
        <w:rPr>
          <w:sz w:val="22"/>
          <w:u w:val="single"/>
        </w:rPr>
        <w:t>επισυνάψει </w:t>
      </w:r>
      <w:r>
        <w:rPr>
          <w:sz w:val="22"/>
        </w:rPr>
        <w:t>στο</w:t>
      </w:r>
      <w:r>
        <w:rPr>
          <w:spacing w:val="-3"/>
          <w:sz w:val="22"/>
        </w:rPr>
        <w:t> </w:t>
      </w:r>
      <w:r>
        <w:rPr>
          <w:sz w:val="22"/>
        </w:rPr>
        <w:t>Π.Σ.Κ.Ε.:</w:t>
      </w:r>
    </w:p>
    <w:p>
      <w:pPr>
        <w:pStyle w:val="BodyText"/>
        <w:spacing w:before="161"/>
        <w:ind w:left="813" w:right="116" w:hanging="356"/>
        <w:jc w:val="both"/>
      </w:pPr>
      <w:r>
        <w:rPr/>
        <w:t>Α) πλήρως συμπληρωμένο, το συμπληρωματικό Παράρτημα </w:t>
      </w:r>
      <w:r>
        <w:rPr>
          <w:b/>
        </w:rPr>
        <w:t>Ι.2 </w:t>
      </w:r>
      <w:r>
        <w:rPr/>
        <w:t>(Έντυπο Υποβολής Αίτησης Χρηματοδότησης Μέρος 2), υπογεγραμμένο, σαρωμένο αντίγραφο (scan), σε «φορητή» μορφή (.pdf). Το Παράρτημα Ι.2 παρέχεται συνημμένα στην παρούσα πρόσκληση αλλά μπορεί να αναζητηθεί και στους ιστοτόπους </w:t>
      </w:r>
      <w:hyperlink r:id="rId11">
        <w:r>
          <w:rPr/>
          <w:t>www.espa.gr</w:t>
        </w:r>
      </w:hyperlink>
      <w:r>
        <w:rPr/>
        <w:t> και www thessalia-espa.gr</w:t>
      </w:r>
    </w:p>
    <w:p>
      <w:pPr>
        <w:pStyle w:val="BodyText"/>
        <w:spacing w:line="276" w:lineRule="auto" w:before="118"/>
        <w:ind w:left="820" w:right="113" w:hanging="360"/>
        <w:jc w:val="both"/>
      </w:pPr>
      <w:r>
        <w:rPr/>
        <w:t>Β) Από τα δικαιολογητικά και τα στοιχεία που καταγράφονται στο Παράρτημα </w:t>
      </w:r>
      <w:r>
        <w:rPr>
          <w:b/>
        </w:rPr>
        <w:t>ΙΧ </w:t>
      </w:r>
      <w:r>
        <w:rPr/>
        <w:t>«Δικαιολογητικά Συμμετοχής» της Πρόσκλησης, υποχρεωτικά τα με αύξοντα αριθμό 1 έως και 11, 15, 16, 18 και 19, υπογεγραμμένα όπου απαιτείται, σε σαρωμένα αντίγραφα (scan), σε «φορητή» μορφή (.pdf).</w:t>
      </w:r>
    </w:p>
    <w:p>
      <w:pPr>
        <w:pStyle w:val="BodyText"/>
        <w:spacing w:line="276" w:lineRule="auto"/>
        <w:ind w:left="820" w:right="113" w:hanging="360"/>
        <w:jc w:val="both"/>
      </w:pPr>
      <w:r>
        <w:rPr/>
        <w:t>Γ) Τα λοιπά δικαιολογητικά και τα στοιχεία που καταγράφονται στο Παράρτημα </w:t>
      </w:r>
      <w:r>
        <w:rPr>
          <w:b/>
        </w:rPr>
        <w:t>ΙΧ </w:t>
      </w:r>
      <w:r>
        <w:rPr/>
        <w:t>«Δικαιολογητικά Συμμετοχής» της Πρόσκλησης, με αύξοντα αριθμό 12, 13, 14, 17, 20 και 21, εφόσον είναι εφικτό σε σχέση με τη διατιθέμενη χωρητικότητα ανάρτησης αρχείων, υπογεγραμμένα όπου απαιτείται, σε σαρωμένα αντίγραφα (scan), σε «φορητή» μορφή (.pdf).</w:t>
      </w:r>
    </w:p>
    <w:p>
      <w:pPr>
        <w:pStyle w:val="BodyText"/>
        <w:spacing w:line="267" w:lineRule="exact"/>
        <w:ind w:left="458"/>
      </w:pPr>
      <w:r>
        <w:rPr/>
        <w:t>Δ)   Υπεύθυνες Δηλώσεις με ηλεκτρονική υπογραφή του νόμιμου εκπρόσωπου ή    σαρωμένες (scan), σε</w:t>
      </w:r>
    </w:p>
    <w:p>
      <w:pPr>
        <w:pStyle w:val="BodyText"/>
        <w:ind w:left="813" w:right="115"/>
        <w:jc w:val="both"/>
      </w:pPr>
      <w:r>
        <w:rPr/>
        <w:t>«φορητή» μορφή (.pdf), υπογεγραμμένες από το νόμιμο εκπρόσωπο και σφραγισμένες με τη σφραγίδα της επιχείρησης που εκπροσωπεί, στο οποίο δηλώνει τα στοιχεία που  απαιτούνται για την υποβολή της αίτησης (Παράρτημα </w:t>
      </w:r>
      <w:r>
        <w:rPr>
          <w:b/>
        </w:rPr>
        <w:t>Χ </w:t>
      </w:r>
      <w:r>
        <w:rPr/>
        <w:t>– «Υποδείγματα υπεύθυνων δηλώσεων» της Πρόσκλησης).</w:t>
      </w:r>
    </w:p>
    <w:p>
      <w:pPr>
        <w:pStyle w:val="BodyText"/>
        <w:spacing w:line="276" w:lineRule="auto" w:before="121"/>
        <w:ind w:left="100" w:right="115"/>
        <w:jc w:val="both"/>
      </w:pPr>
      <w:r>
        <w:rPr/>
        <w:t>Σημειώνεται ότι το σύνολο των δικαιολογητικών προκειμένου να επισυναφθούν στο ΠΣΚΕ θα πρέπει να έχουν συνολικό μέγεθος μικρότερο των 50 MB. Επιπλέον κάθε μεμονωμένο αρχείο θα πρέπει να είναι μικρότερο από 10 ΜΒ. Οι ανωτέρω περιορισμοί είναι υποχρεωτικοί. Για την διευκόλυνση των δικαιούχων είναι δυνατή η επισύναψη συμπιεσμένων αρχείων τύπου zip ή και rar.</w:t>
      </w:r>
    </w:p>
    <w:p>
      <w:pPr>
        <w:pStyle w:val="BodyText"/>
        <w:spacing w:before="2"/>
        <w:rPr>
          <w:sz w:val="25"/>
        </w:rPr>
      </w:pPr>
    </w:p>
    <w:p>
      <w:pPr>
        <w:pStyle w:val="Heading4"/>
        <w:rPr>
          <w:b w:val="0"/>
        </w:rPr>
      </w:pPr>
      <w:r>
        <w:rPr/>
        <w:t>Οι αιτήσεις χρηματοδότησης στο ΠΣΚΕ πρέπει να είναι πλήρως συμπληρωμένες</w:t>
      </w:r>
      <w:r>
        <w:rPr>
          <w:b w:val="0"/>
        </w:rPr>
        <w:t>.</w:t>
      </w:r>
    </w:p>
    <w:p>
      <w:pPr>
        <w:pStyle w:val="BodyText"/>
        <w:spacing w:line="276" w:lineRule="auto" w:before="41"/>
        <w:ind w:left="100" w:right="117"/>
        <w:jc w:val="both"/>
      </w:pPr>
      <w:r>
        <w:rPr/>
        <w:t>Δεν θα αξιολογούνται προτάσεις οι οποίες δεν έχουν υποβληθεί ηλεκτρονικά, ενώ κατά την παραλαβή των προτάσεων θα ελέγχεται η υποχρέωση της ηλεκτρονικής υποβολής.</w:t>
      </w:r>
    </w:p>
    <w:p>
      <w:pPr>
        <w:pStyle w:val="BodyText"/>
      </w:pPr>
    </w:p>
    <w:p>
      <w:pPr>
        <w:pStyle w:val="BodyText"/>
        <w:spacing w:before="10"/>
      </w:pPr>
    </w:p>
    <w:p>
      <w:pPr>
        <w:pStyle w:val="Heading4"/>
        <w:spacing w:line="276" w:lineRule="auto" w:before="1"/>
        <w:ind w:right="117"/>
      </w:pPr>
      <w:r>
        <w:rPr/>
        <w:t>Η ημερομηνία έναρξης ηλεκτρονικής υποβολής των επενδυτικών σχεδίων στο Πληροφοριακό Σύστημα Κρατικών Ενισχύσεων ορίζεται η 16/05/2019, από ώρα 13:00:00, με καταληκτική ημερομηνία στις 30/08/2019 και ώρα 15:00:00.</w:t>
      </w:r>
    </w:p>
    <w:p>
      <w:pPr>
        <w:spacing w:after="0" w:line="276" w:lineRule="auto"/>
        <w:sectPr>
          <w:pgSz w:w="11910" w:h="16840"/>
          <w:pgMar w:header="748" w:footer="734" w:top="1420" w:bottom="920" w:left="980" w:right="960"/>
        </w:sectPr>
      </w:pPr>
    </w:p>
    <w:p>
      <w:pPr>
        <w:pStyle w:val="BodyText"/>
        <w:spacing w:before="7"/>
        <w:rPr>
          <w:b/>
          <w:sz w:val="17"/>
        </w:rPr>
      </w:pPr>
    </w:p>
    <w:p>
      <w:pPr>
        <w:spacing w:line="276" w:lineRule="auto" w:before="57"/>
        <w:ind w:left="100" w:right="117" w:firstLine="0"/>
        <w:jc w:val="both"/>
        <w:rPr>
          <w:b/>
          <w:sz w:val="22"/>
        </w:rPr>
      </w:pPr>
      <w:r>
        <w:rPr>
          <w:b/>
          <w:sz w:val="22"/>
        </w:rPr>
        <w:t>Μετά τη λήξη της ημερομηνίας και ώρας ηλεκτρονικής υποβολής των αιτήσεων χρηματοδότησης, δεν γίνεται αποδεκτή καμία υποβολή επενδυτικού σχεδίου. Οι Αιτήσεις Χρηματοδότησης έργων που δεν θα υποβληθούν εμπρόθεσμα δεν θα αξιολογούνται.</w:t>
      </w:r>
    </w:p>
    <w:p>
      <w:pPr>
        <w:pStyle w:val="BodyText"/>
        <w:spacing w:line="276" w:lineRule="auto" w:before="120"/>
        <w:ind w:left="100" w:right="117"/>
        <w:jc w:val="both"/>
      </w:pPr>
      <w:r>
        <w:rPr/>
        <w:t>Για να θεωρηθεί ότι η διαδικασία υποβολής ολοκληρώθηκε εμπρόθεσμα, θα πρέπει η ηλεκτρονική  υποβολή της Αίτησης Χρηματοδότησης στο ΠΣΚΕ </w:t>
      </w:r>
      <w:r>
        <w:rPr>
          <w:u w:val="single"/>
        </w:rPr>
        <w:t>να οριστικοποιηθεί </w:t>
      </w:r>
      <w:r>
        <w:rPr/>
        <w:t>πριν την καταληκτική ημερομηνία και ώρα υποβολής προτάσεων</w:t>
      </w:r>
      <w:r>
        <w:rPr>
          <w:spacing w:val="-6"/>
        </w:rPr>
        <w:t> </w:t>
      </w:r>
      <w:r>
        <w:rPr/>
        <w:t>έργων.</w:t>
      </w:r>
    </w:p>
    <w:p>
      <w:pPr>
        <w:pStyle w:val="BodyText"/>
        <w:spacing w:line="276" w:lineRule="auto" w:before="120"/>
        <w:ind w:left="100" w:right="122"/>
        <w:jc w:val="both"/>
      </w:pPr>
      <w:r>
        <w:rPr/>
        <w:t>Με την εμπρόθεσμη υποβολή της Αίτησης Χρηματοδότησης (ηλεκτρονικά) στο ΠΣΚΕ, ο δυνητικός δικαιούχος ενημερώνεται ηλεκτρονικά για την παραλαβή της.</w:t>
      </w:r>
    </w:p>
    <w:p>
      <w:pPr>
        <w:pStyle w:val="BodyText"/>
        <w:spacing w:line="276" w:lineRule="auto" w:before="120"/>
        <w:ind w:left="100" w:right="116"/>
        <w:jc w:val="both"/>
      </w:pPr>
      <w:r>
        <w:rPr/>
        <w:t>Οι δικαιούχοι φέρουν την ευθύνη της πλήρους και ορθής συμπλήρωσης της ηλεκτρονικής τους αίτησης χρηματοδότησης. Διόρθωση ή τροποποίηση ή συμπλήρωση των αιτήσεων, συμπλήρωση τυχόν ελλειπόντων στοιχείων, έστω και συμπληρωματικών ή διευκρινιστικών, δεν επιτρέπεται μετά την ολοκλήρωση της ηλεκτρονικής υποβολής της αίτησης.</w:t>
      </w:r>
    </w:p>
    <w:p>
      <w:pPr>
        <w:pStyle w:val="BodyText"/>
        <w:spacing w:line="276" w:lineRule="auto" w:before="118"/>
        <w:ind w:left="100" w:right="118"/>
        <w:jc w:val="both"/>
      </w:pPr>
      <w:r>
        <w:rPr/>
        <w:t>Επιτρέπεται η ακύρωση της ηλεκτρονικής αίτησης χρηματοδότησης του προτεινόμενου έργου υπό την προϋπόθεση να έχει υποβληθεί αίτηση ακύρωσης εντός αποκλειστικής προθεσμίας έως και δύο εργάσιμων ημερών πριν την καταληκτική ημερομηνία ηλεκτρονικής υποβολής των αιτήσεων χρηματοδότησης στη Δράση. Η αίτηση ακύρωσης υποβάλλεται από τον υπεύθυνο του έργου ηλεκτρονικά μέσω του ΠΣΚΕ (</w:t>
      </w:r>
      <w:hyperlink r:id="rId22">
        <w:r>
          <w:rPr>
            <w:color w:val="0462C1"/>
            <w:u w:val="single" w:color="0462C1"/>
          </w:rPr>
          <w:t>http://www.ependyseis.gr/mis</w:t>
        </w:r>
      </w:hyperlink>
      <w:r>
        <w:rPr/>
        <w:t>). Η επιλογή αυτή οδηγεί αυτόματα στην παραίτηση των ενδιαφερομένων από την υποβληθείσα αίτησή τους και παρέχει τη δυνατότητα επανυποβολής νέας αίτησης χρηματοδότησης εντός της ταχθείσας</w:t>
      </w:r>
      <w:r>
        <w:rPr>
          <w:spacing w:val="-12"/>
        </w:rPr>
        <w:t> </w:t>
      </w:r>
      <w:r>
        <w:rPr/>
        <w:t>προθεσμίας.</w:t>
      </w:r>
    </w:p>
    <w:p>
      <w:pPr>
        <w:pStyle w:val="BodyText"/>
      </w:pPr>
    </w:p>
    <w:p>
      <w:pPr>
        <w:pStyle w:val="BodyText"/>
        <w:spacing w:before="1"/>
        <w:rPr>
          <w:sz w:val="23"/>
        </w:rPr>
      </w:pPr>
    </w:p>
    <w:p>
      <w:pPr>
        <w:spacing w:line="276" w:lineRule="auto" w:before="0"/>
        <w:ind w:left="100" w:right="114" w:firstLine="0"/>
        <w:jc w:val="both"/>
        <w:rPr>
          <w:sz w:val="22"/>
        </w:rPr>
      </w:pPr>
      <w:r>
        <w:rPr>
          <w:b/>
          <w:sz w:val="22"/>
        </w:rPr>
        <w:t>Η αίτηση χρηματοδότησης επέχει θέση υπεύθυνης δήλωσης του άρθρου 8 του Ν. 1599/1986 </w:t>
      </w:r>
      <w:r>
        <w:rPr>
          <w:sz w:val="22"/>
        </w:rPr>
        <w:t>(ΦΕΚ Α΄ 75) για τα στοιχεία που αναφέρονται σε αυτήν. Συνεπώς, θα πρέπει να εμφανίζει ταυτότητα περιεχομένου με τα ζητούμενα δικαιολογητικά. Η ανακρίβεια των στοιχείων που δηλώνονται στην αίτηση επισύρει τις προβλεπόμενες ποινικές και διοικητικές</w:t>
      </w:r>
      <w:r>
        <w:rPr>
          <w:spacing w:val="-11"/>
          <w:sz w:val="22"/>
        </w:rPr>
        <w:t> </w:t>
      </w:r>
      <w:r>
        <w:rPr>
          <w:sz w:val="22"/>
        </w:rPr>
        <w:t>κυρώσεις.</w:t>
      </w:r>
    </w:p>
    <w:p>
      <w:pPr>
        <w:pStyle w:val="BodyText"/>
        <w:spacing w:line="276" w:lineRule="auto" w:before="118"/>
        <w:ind w:left="100" w:right="115"/>
        <w:jc w:val="both"/>
      </w:pPr>
      <w:r>
        <w:rPr/>
        <w:t>Η υποβολή αίτησης συμμετοχής στη δράση συνιστά επίσης εξουσιοδότηση προς την Δ.Α./ΕΦ, για την περαιτέρω επεξεργασία από τις αρμόδιες υπηρεσίες, των προσωπικών δεδομένων, συμπεριλαμβανομένων και των ευαίσθητων, τα οποία και τηρούνται:</w:t>
      </w:r>
    </w:p>
    <w:p>
      <w:pPr>
        <w:pStyle w:val="ListParagraph"/>
        <w:numPr>
          <w:ilvl w:val="0"/>
          <w:numId w:val="19"/>
        </w:numPr>
        <w:tabs>
          <w:tab w:pos="460" w:val="left" w:leader="none"/>
          <w:tab w:pos="461" w:val="left" w:leader="none"/>
        </w:tabs>
        <w:spacing w:line="276" w:lineRule="auto" w:before="118" w:after="0"/>
        <w:ind w:left="460" w:right="119" w:hanging="360"/>
        <w:jc w:val="left"/>
        <w:rPr>
          <w:rFonts w:ascii="Symbol" w:hAnsi="Symbol"/>
          <w:sz w:val="22"/>
        </w:rPr>
      </w:pPr>
      <w:r>
        <w:rPr>
          <w:sz w:val="22"/>
        </w:rPr>
        <w:t>για τις ανάγκες υλοποίησης της παρούσας δράσης (ενδεικτικά: έλεγχοι και διασταυρώσεις κατά την υποβολή, αξιολόγηση, παρακολούθηση τήρησης των υποχρεώσεων των</w:t>
      </w:r>
      <w:r>
        <w:rPr>
          <w:spacing w:val="-20"/>
          <w:sz w:val="22"/>
        </w:rPr>
        <w:t> </w:t>
      </w:r>
      <w:r>
        <w:rPr>
          <w:sz w:val="22"/>
        </w:rPr>
        <w:t>Δικαιούχων),</w:t>
      </w:r>
    </w:p>
    <w:p>
      <w:pPr>
        <w:pStyle w:val="ListParagraph"/>
        <w:numPr>
          <w:ilvl w:val="0"/>
          <w:numId w:val="19"/>
        </w:numPr>
        <w:tabs>
          <w:tab w:pos="461" w:val="left" w:leader="none"/>
        </w:tabs>
        <w:spacing w:line="240" w:lineRule="auto" w:before="121" w:after="0"/>
        <w:ind w:left="460" w:right="0" w:hanging="360"/>
        <w:jc w:val="both"/>
        <w:rPr>
          <w:rFonts w:ascii="Symbol" w:hAnsi="Symbol"/>
          <w:sz w:val="22"/>
        </w:rPr>
      </w:pPr>
      <w:r>
        <w:rPr>
          <w:sz w:val="22"/>
        </w:rPr>
        <w:t>για το σκοπό εξαγωγής στατιστικών δεδομένων (δεικτών), καθώς</w:t>
      </w:r>
      <w:r>
        <w:rPr>
          <w:spacing w:val="-9"/>
          <w:sz w:val="22"/>
        </w:rPr>
        <w:t> </w:t>
      </w:r>
      <w:r>
        <w:rPr>
          <w:sz w:val="22"/>
        </w:rPr>
        <w:t>και</w:t>
      </w:r>
    </w:p>
    <w:p>
      <w:pPr>
        <w:pStyle w:val="ListParagraph"/>
        <w:numPr>
          <w:ilvl w:val="0"/>
          <w:numId w:val="19"/>
        </w:numPr>
        <w:tabs>
          <w:tab w:pos="460" w:val="left" w:leader="none"/>
          <w:tab w:pos="461" w:val="left" w:leader="none"/>
        </w:tabs>
        <w:spacing w:line="276" w:lineRule="auto" w:before="159" w:after="0"/>
        <w:ind w:left="460" w:right="115" w:hanging="360"/>
        <w:jc w:val="left"/>
        <w:rPr>
          <w:rFonts w:ascii="Symbol" w:hAnsi="Symbol"/>
          <w:sz w:val="22"/>
        </w:rPr>
      </w:pPr>
      <w:r>
        <w:rPr>
          <w:sz w:val="22"/>
        </w:rPr>
        <w:t>για το σκοπό της διενέργειας ερευνών και της εκπόνησης μελετών για την αξιολόγηση της εν λόγω δράσης.</w:t>
      </w:r>
    </w:p>
    <w:p>
      <w:pPr>
        <w:pStyle w:val="BodyText"/>
        <w:spacing w:line="276" w:lineRule="auto" w:before="120"/>
        <w:ind w:left="100" w:right="116"/>
        <w:jc w:val="both"/>
      </w:pPr>
      <w:r>
        <w:rPr/>
        <w:t>Ο δικαιούχος αποδέχεται ότι τα μηνύματα που θα αποστέλλονται μέσω ηλεκτρονικού ταχυδρομείου και ειδικότερα στη διεύθυνση e-mail που έχει δηλώσει στο έντυπο Υποβολής προς την Διεύθυνση Αναπτυξιακού Προγραμματισμού Περιφέρειας Θεσσαλίας επέχουν θέση κοινοποίησης και συνεπάγονται την έναρξη όλων των έννομων προθεσμιών και</w:t>
      </w:r>
      <w:r>
        <w:rPr>
          <w:spacing w:val="-12"/>
        </w:rPr>
        <w:t> </w:t>
      </w:r>
      <w:r>
        <w:rPr/>
        <w:t>συνεπειών.</w:t>
      </w:r>
    </w:p>
    <w:p>
      <w:pPr>
        <w:pStyle w:val="BodyText"/>
        <w:spacing w:line="276" w:lineRule="auto" w:before="118"/>
        <w:ind w:left="100" w:right="117"/>
        <w:jc w:val="both"/>
      </w:pPr>
      <w:r>
        <w:rPr/>
        <w:t>Σε κάθε περίπτωση διασφαλίζεται η τήρηση της νομοθεσίας περί προσωπικών δεδομένων, σύμφωνα με τον Κανονισμό (ΕΕ) 2016/679 του Ευρωπαϊκού Κοινοβουλίου και του Συμβουλίου.</w:t>
      </w:r>
    </w:p>
    <w:p>
      <w:pPr>
        <w:spacing w:after="0" w:line="276" w:lineRule="auto"/>
        <w:jc w:val="both"/>
        <w:sectPr>
          <w:pgSz w:w="11910" w:h="16840"/>
          <w:pgMar w:header="748" w:footer="734" w:top="1420" w:bottom="920" w:left="980" w:right="960"/>
        </w:sectPr>
      </w:pPr>
    </w:p>
    <w:p>
      <w:pPr>
        <w:pStyle w:val="BodyText"/>
        <w:spacing w:before="2"/>
        <w:rPr>
          <w:sz w:val="18"/>
        </w:rPr>
      </w:pPr>
    </w:p>
    <w:p>
      <w:pPr>
        <w:pStyle w:val="Heading2"/>
        <w:numPr>
          <w:ilvl w:val="0"/>
          <w:numId w:val="32"/>
        </w:numPr>
        <w:tabs>
          <w:tab w:pos="667" w:val="left" w:leader="none"/>
        </w:tabs>
        <w:spacing w:line="240" w:lineRule="auto" w:before="52" w:after="0"/>
        <w:ind w:left="666" w:right="0" w:hanging="566"/>
        <w:jc w:val="both"/>
      </w:pPr>
      <w:bookmarkStart w:name="_TOC_250034" w:id="22"/>
      <w:r>
        <w:rPr/>
        <w:t>ΔΙΚΑΙΟΛΟΓΗΤΙΚΑ ΚΑΙ ΣΤΟΙΧΕΙΑ ΓΙΑ ΤΗΝ ΑΞΙΟΛΟΓΗΣΗ ΤΗΣ ΑΙΤΗΣΗΣ</w:t>
      </w:r>
      <w:r>
        <w:rPr>
          <w:spacing w:val="-23"/>
        </w:rPr>
        <w:t> </w:t>
      </w:r>
      <w:bookmarkEnd w:id="22"/>
      <w:r>
        <w:rPr/>
        <w:t>ΧΡΗΜΑΤΟΔΟΤΗΣΗΣ</w:t>
      </w:r>
    </w:p>
    <w:p>
      <w:pPr>
        <w:pStyle w:val="BodyText"/>
        <w:spacing w:before="5"/>
        <w:rPr>
          <w:b/>
          <w:sz w:val="19"/>
        </w:rPr>
      </w:pPr>
    </w:p>
    <w:p>
      <w:pPr>
        <w:pStyle w:val="BodyText"/>
        <w:spacing w:line="276" w:lineRule="auto"/>
        <w:ind w:left="100" w:right="114"/>
        <w:jc w:val="both"/>
      </w:pPr>
      <w:r>
        <w:rPr/>
        <w:t>Τα απαιτούμενα δικαιολογητικά και στοιχεία του Παραρτήματος </w:t>
      </w:r>
      <w:r>
        <w:rPr>
          <w:b/>
        </w:rPr>
        <w:t>ΙΧ, </w:t>
      </w:r>
      <w:r>
        <w:rPr/>
        <w:t>συμπεριλαμβανομένου του Εντύπου Υποβολής Ι.1 όπως θα εκτυπωθεί από το ΠΣΚΕ και υπογραφεί αρμοδίως, θα υποβληθούν σε έντυπη μορφή στην Διεύθυνση Αναπτυξιακού Προγραμματισμού Περιφέρειας Θεσσαλίας, Πλατεία Ρήγα Φεραίου, Διοικητήριο, Τ.Κ. 41222, </w:t>
      </w:r>
      <w:r>
        <w:rPr>
          <w:b/>
          <w:u w:val="single"/>
        </w:rPr>
        <w:t>εντός της παραπάνω προθεσμίας και μέχρι την προαναφερόμενη καταληκτική ημερομηνία και ώρα. </w:t>
      </w:r>
      <w:r>
        <w:rPr/>
        <w:t>Η ημερομηνία και η ώρα πρωτοκόλλησης αυτών θεωρείται αποδεικτικό στοιχείο εμπρόθεσμης υποβολής.</w:t>
      </w:r>
    </w:p>
    <w:p>
      <w:pPr>
        <w:pStyle w:val="BodyText"/>
        <w:spacing w:line="276" w:lineRule="auto" w:before="118"/>
        <w:ind w:left="100" w:right="121"/>
        <w:jc w:val="both"/>
      </w:pPr>
      <w:r>
        <w:rPr/>
        <w:t>Σε περίπτωση αποστολής, ως ημερομηνία υποβολής θεωρείται η ημερομηνία που αναγράφεται στη σφραγίδα αποστολής ταχυδρομείου (ΕΛΤΑ – συστημένη επιστολή) ή στο παραστατικό αποστολής της εταιρείας ταχυμεταφοράς, η οποία θα πρέπει να είναι ευδιάκριτη. Η απόδειξη αποστολής των ΕΛΤΑ ή της εταιρείας ταχυμεταφοράς θεωρείται αποδεικτικό στοιχείο εμπρόθεσμης υποβολής.</w:t>
      </w:r>
    </w:p>
    <w:p>
      <w:pPr>
        <w:pStyle w:val="BodyText"/>
        <w:spacing w:line="276" w:lineRule="auto" w:before="120"/>
        <w:ind w:left="100" w:right="113"/>
        <w:jc w:val="both"/>
      </w:pPr>
      <w:r>
        <w:rPr/>
        <w:t>Σε περίπτωση υποβολής και αποστολής (ταχυδρομικά ή με ταχυμεταφορά) ο φάκελος θα φέρει εξωτερικά την ακόλουθη ένδειξη:</w:t>
      </w:r>
    </w:p>
    <w:p>
      <w:pPr>
        <w:pStyle w:val="BodyText"/>
        <w:spacing w:before="118"/>
        <w:ind w:left="724"/>
        <w:jc w:val="both"/>
      </w:pPr>
      <w:r>
        <w:rPr/>
        <w:t>ΦΑΚΕΛΟΣ ΔΙΚΑΙΟΛΟΓΗΤΙΚΩΝ ΓΙΑ ΤΗ ΔΡΑΣΗ</w:t>
      </w:r>
    </w:p>
    <w:p>
      <w:pPr>
        <w:pStyle w:val="Heading4"/>
        <w:spacing w:line="276" w:lineRule="auto" w:before="41"/>
        <w:ind w:left="724" w:right="117"/>
        <w:rPr>
          <w:b w:val="0"/>
        </w:rPr>
      </w:pPr>
      <w:r>
        <w:rPr>
          <w:b w:val="0"/>
        </w:rPr>
        <w:t>«</w:t>
      </w:r>
      <w:r>
        <w:rPr/>
        <w:t>Ενίσχυση υφιστάμενων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«Επανεπενδύω στη</w:t>
      </w:r>
      <w:r>
        <w:rPr>
          <w:spacing w:val="-10"/>
        </w:rPr>
        <w:t> </w:t>
      </w:r>
      <w:r>
        <w:rPr/>
        <w:t>Θεσσαλία»»</w:t>
      </w:r>
      <w:r>
        <w:rPr>
          <w:b w:val="0"/>
        </w:rPr>
        <w:t>.</w:t>
      </w:r>
    </w:p>
    <w:p>
      <w:pPr>
        <w:pStyle w:val="BodyText"/>
        <w:spacing w:line="276" w:lineRule="auto"/>
        <w:ind w:left="724" w:right="1216"/>
        <w:jc w:val="both"/>
      </w:pPr>
      <w:r>
        <w:rPr/>
        <w:t>Επωνυμία επιχείρησης : …………………………………………………………………………………………………… ΑΦΜ : ………………………………………………………………………………………………………………………………. ΚΩΔΙΚΟΣ ΗΛΕΚΤΡΟΝΙΚΗΣ ΥΠΟΒΟΛΗΣ ΕΠΕΝΔΥΤΙΚΟΥ ΣΧΕΔΙΟΥ : …………………………………………</w:t>
      </w:r>
    </w:p>
    <w:p>
      <w:pPr>
        <w:pStyle w:val="BodyText"/>
        <w:ind w:left="724"/>
        <w:jc w:val="both"/>
      </w:pPr>
      <w:r>
        <w:rPr/>
        <w:t>ΗΜΕΡΟΜΗΝΙΑ ΗΛΕΚΤΡΟΝΙΚΗΣ ΥΠΟΒΟΛΗΣ : ……………………………………………………………………</w:t>
      </w:r>
    </w:p>
    <w:p>
      <w:pPr>
        <w:pStyle w:val="BodyText"/>
        <w:spacing w:line="273" w:lineRule="auto" w:before="161"/>
        <w:ind w:left="100" w:right="122"/>
        <w:jc w:val="both"/>
      </w:pPr>
      <w:r>
        <w:rPr/>
        <w:t>Σε περίπτωση μη εμπρόθεσμης προσκόμισης φακέλου δικαιολογητικών το επενδυτικό σχέδιο θα απορριφθεί ως μη πλήρες.</w:t>
      </w:r>
    </w:p>
    <w:p>
      <w:pPr>
        <w:pStyle w:val="BodyText"/>
        <w:spacing w:line="276" w:lineRule="auto" w:before="123"/>
        <w:ind w:left="100" w:right="117"/>
        <w:jc w:val="both"/>
      </w:pPr>
      <w:r>
        <w:rPr/>
        <w:t>Κάθε δυνητικός δικαιούχος είναι αποκλειστικά υπεύθυνος για κάθε απόκλιση μεταξύ των στοιχείων της αίτησης και των δικαιολογητικών και η ΔΙΑΠ ΠΘ δεν φέρει καμία ευθύνη για τυχόν ενέργειες ή δαπάνες  στις οποίες έχει</w:t>
      </w:r>
      <w:r>
        <w:rPr>
          <w:spacing w:val="-4"/>
        </w:rPr>
        <w:t> </w:t>
      </w:r>
      <w:r>
        <w:rPr/>
        <w:t>υποβληθεί.</w:t>
      </w:r>
    </w:p>
    <w:p>
      <w:pPr>
        <w:pStyle w:val="BodyText"/>
        <w:spacing w:line="276" w:lineRule="auto" w:before="118"/>
        <w:ind w:left="100" w:right="112"/>
        <w:jc w:val="both"/>
      </w:pPr>
      <w:r>
        <w:rPr/>
        <w:t>Σε περίπτωση διαπιστωθεισών ελλείψεων στο φάκελο δικαιολογητικών, που έχει ήδη υποβληθεί, η ΔΙΑΠ Περιφέρειας Θεσσαλίας ειδοποιεί τον δυνητικό δικαιούχο να προσκομίσει εντός 10 ημερολογιακών ημερών τα συμπληρωματικά στοιχεία που απαιτούνται. </w:t>
      </w:r>
      <w:r>
        <w:rPr>
          <w:u w:val="single"/>
        </w:rPr>
        <w:t>Υπογραμμίζεται ότι, σε περιπτώσεις ελλείψεως δικαιολογητικών, για να γίνουν αυτά αποδεκτά, θα πρέπει να έχουν εκδοθεί σε ημερομηνία προγενέστερη της ημερομηνίας υποβολής της πρότασης. </w:t>
      </w:r>
      <w:r>
        <w:rPr/>
        <w:t>Σε περίπτωση μη ανταπόκρισης του δυνητικού δικαιούχου το επενδυτικό σχέδιο θα απορριφθεί ως μη πλήρες.</w:t>
      </w:r>
    </w:p>
    <w:p>
      <w:pPr>
        <w:spacing w:line="276" w:lineRule="auto" w:before="118"/>
        <w:ind w:left="100" w:right="117" w:firstLine="0"/>
        <w:jc w:val="both"/>
        <w:rPr>
          <w:sz w:val="22"/>
        </w:rPr>
      </w:pPr>
      <w:r>
        <w:rPr>
          <w:sz w:val="22"/>
        </w:rPr>
        <w:t>Τα απαιτούμενα δικαιολογητικά και στοιχεία που καλούνται να υποβάλουν οι δικαιούχοι παρουσιάζονται στο </w:t>
      </w:r>
      <w:r>
        <w:rPr>
          <w:b/>
          <w:sz w:val="22"/>
        </w:rPr>
        <w:t>ΠΑΡΑΡΤΗΜΑ IX : ΔΙΚΑΙΟΛΟΓΗΤΙΚΑ ΣΥΜΜΕΤΟΧΗΣ </w:t>
      </w:r>
      <w:r>
        <w:rPr>
          <w:sz w:val="22"/>
        </w:rPr>
        <w:t>της παρούσας Πρόσκλησης.</w:t>
      </w:r>
    </w:p>
    <w:p>
      <w:pPr>
        <w:spacing w:after="0" w:line="276" w:lineRule="auto"/>
        <w:jc w:val="both"/>
        <w:rPr>
          <w:sz w:val="22"/>
        </w:rPr>
        <w:sectPr>
          <w:pgSz w:w="11910" w:h="16840"/>
          <w:pgMar w:header="748" w:footer="734" w:top="1420" w:bottom="920" w:left="980" w:right="960"/>
        </w:sectPr>
      </w:pPr>
    </w:p>
    <w:p>
      <w:pPr>
        <w:pStyle w:val="BodyText"/>
        <w:spacing w:before="2"/>
        <w:rPr>
          <w:sz w:val="18"/>
        </w:rPr>
      </w:pPr>
    </w:p>
    <w:p>
      <w:pPr>
        <w:pStyle w:val="Heading2"/>
        <w:numPr>
          <w:ilvl w:val="0"/>
          <w:numId w:val="32"/>
        </w:numPr>
        <w:tabs>
          <w:tab w:pos="667" w:val="left" w:leader="none"/>
        </w:tabs>
        <w:spacing w:line="240" w:lineRule="auto" w:before="52" w:after="0"/>
        <w:ind w:left="666" w:right="0" w:hanging="566"/>
        <w:jc w:val="both"/>
      </w:pPr>
      <w:bookmarkStart w:name="_TOC_250033" w:id="23"/>
      <w:r>
        <w:rPr/>
        <w:t>ΚΡΙΤΗΡΙΑ &amp; ΔΙΑΔΙΚΑΣΙΑ ΑΞΙΟΛΟΓΗΣΗΣ – ΕΓΚΡΙΣΗ</w:t>
      </w:r>
      <w:r>
        <w:rPr>
          <w:spacing w:val="-10"/>
        </w:rPr>
        <w:t> </w:t>
      </w:r>
      <w:bookmarkEnd w:id="23"/>
      <w:r>
        <w:rPr/>
        <w:t>ΠΡΑΞΕΩΝ</w:t>
      </w:r>
    </w:p>
    <w:p>
      <w:pPr>
        <w:pStyle w:val="BodyText"/>
        <w:spacing w:before="5"/>
        <w:rPr>
          <w:b/>
          <w:sz w:val="19"/>
        </w:rPr>
      </w:pPr>
    </w:p>
    <w:p>
      <w:pPr>
        <w:pStyle w:val="Heading4"/>
        <w:numPr>
          <w:ilvl w:val="1"/>
          <w:numId w:val="32"/>
        </w:numPr>
        <w:tabs>
          <w:tab w:pos="820" w:val="left" w:leader="none"/>
          <w:tab w:pos="821" w:val="left" w:leader="none"/>
        </w:tabs>
        <w:spacing w:line="348" w:lineRule="auto" w:before="0" w:after="0"/>
        <w:ind w:left="100" w:right="4150" w:firstLine="0"/>
        <w:jc w:val="left"/>
      </w:pPr>
      <w:r>
        <w:rPr/>
        <w:t>ΟΡΓΑΝΑ ΑΞΙΟΛΟΓΗΣΗΣ ΑΙΤΗΣΕΩΝ ΧΡΗΜΑΤΟΔΟΤΗΣΗΣ Αξιολογητές</w:t>
      </w:r>
    </w:p>
    <w:p>
      <w:pPr>
        <w:pStyle w:val="BodyText"/>
        <w:spacing w:line="276" w:lineRule="auto" w:before="21"/>
        <w:ind w:left="100" w:right="115"/>
        <w:jc w:val="both"/>
      </w:pPr>
      <w:r>
        <w:rPr/>
        <w:t>Η αξιολόγηση κάθε υποβαλλόμενου επενδυτικού σχεδίου, διενεργείται (με βάση τα κριτήρια της παρούσας Πρόσκλησης), από έναν (1) αξιολογητή ο οποίος επιλέγεται με ευθύνη της Διεύθυνσης Αναπτυξιακού Προγραμματισμού Περιφέρειας Θεσσαλίας (ΔΙΑΠΠΘ) και διαθέτει τα κατάλληλα τυπικά και ουσιαστικά προσόντα και εμπειρία σχετική με το περιεχόμενο της πρόσκλησης/ επενδυτικού σχεδίου. </w:t>
      </w:r>
      <w:r>
        <w:rPr>
          <w:b/>
        </w:rPr>
        <w:t>Οι αξιολογητές ορίζονται με σχετική απόφαση του Περιφερειάρχη </w:t>
      </w:r>
      <w:r>
        <w:rPr/>
        <w:t>Θεσσαλίας.</w:t>
      </w:r>
    </w:p>
    <w:p>
      <w:pPr>
        <w:pStyle w:val="BodyText"/>
        <w:spacing w:line="276" w:lineRule="auto"/>
        <w:ind w:left="100" w:right="114"/>
        <w:jc w:val="both"/>
      </w:pPr>
      <w:r>
        <w:rPr/>
        <w:t>Οι αξιολογητές επιβάλλεται να μην συνδέονται με κανένα τρόπο με τις αιτήσεις χρηματοδότησης, ούτως ώστε να διασφαλιστεί η απαιτούμενη ανεξαρτησία τους. Οι αξιολογητές δεν πρέπει να είναι συντάκτες προτάσεων που θα υποβληθούν στο πλαίσιο της πρόσκλησης, ή να προέρχονται από φορέα που υποβάλει πρόταση. Για το λόγο αυτό (στο πλαίσιο του ΕΣΠΑ 2014-2020 κατ΄ άρθρο 38 παρ. 5 του Ν. 4314/2014), θα πρέπει να υποβάλουν υπεύθυνη δήλωση για τη μη σύγκρουση συμφερόντων, καθώς και δήλωση τήρησης εμπιστευτικότητας.</w:t>
      </w:r>
    </w:p>
    <w:p>
      <w:pPr>
        <w:pStyle w:val="BodyText"/>
        <w:spacing w:line="267" w:lineRule="exact"/>
        <w:ind w:left="100"/>
        <w:jc w:val="both"/>
      </w:pPr>
      <w:r>
        <w:rPr/>
        <w:t>Για τις ανάγκες της αξιολογικής διαδικασίας θα είναι στη διάθεση των αξιολογητών όλο το σχετικό υλικό.</w:t>
      </w:r>
    </w:p>
    <w:p>
      <w:pPr>
        <w:pStyle w:val="BodyText"/>
        <w:spacing w:line="276" w:lineRule="auto" w:before="41"/>
        <w:ind w:left="100" w:right="123"/>
        <w:jc w:val="both"/>
      </w:pPr>
      <w:r>
        <w:rPr/>
        <w:t>Οι αξιολογητές δε θα μπορούν να ασχοληθούν με την παρακολούθηση και την παραλαβή των αποτελεσμάτων των έργων που αξιολόγησαν.</w:t>
      </w:r>
    </w:p>
    <w:p>
      <w:pPr>
        <w:pStyle w:val="BodyText"/>
        <w:spacing w:before="2"/>
        <w:rPr>
          <w:sz w:val="25"/>
        </w:rPr>
      </w:pPr>
    </w:p>
    <w:p>
      <w:pPr>
        <w:pStyle w:val="Heading4"/>
      </w:pPr>
      <w:r>
        <w:rPr/>
        <w:t>Επιτροπή αξιολόγησης</w:t>
      </w:r>
    </w:p>
    <w:p>
      <w:pPr>
        <w:pStyle w:val="BodyText"/>
        <w:spacing w:line="276" w:lineRule="auto" w:before="142"/>
        <w:ind w:left="100" w:right="114"/>
        <w:jc w:val="both"/>
      </w:pPr>
      <w:r>
        <w:rPr/>
        <w:t>Για τις ανάγκες της εγκριτικής διαδικασίας της δράσης θα συσταθεί τριμελής Επιτροπή Αξιολόγησης με απόφαση του Περιφερειάρχη Θεσσαλίας. Η Επιτροπή Αξιολόγησης αποτελεί δευτεροβάθμιο όργανο αξιολόγησης η οποία εξετάζει σε δεύτερο βαθμό και καταχωρεί και οριστικοποιεί την τελική βαθμολογία στο Πληροφοριακό Σύστημα Κρατικών Ενισχύσεων (ΠΣΚΕ).</w:t>
      </w:r>
    </w:p>
    <w:p>
      <w:pPr>
        <w:pStyle w:val="BodyText"/>
        <w:spacing w:line="276" w:lineRule="auto"/>
        <w:ind w:left="100" w:right="115"/>
        <w:jc w:val="both"/>
      </w:pPr>
      <w:r>
        <w:rPr/>
        <w:t>Μέλη της Επιτροπής Αξιολόγησης δύναται να αποτελούν στελέχη της Περιφέρειας Θεσσαλίας με ανάλογη εμπειρία. Στην απόφαση σύστασης θα περιγράφονται λεπτομερώς οι αρμοδιότητες, ο τρόπος λειτουργίας της, τα μέλη της και ότι άλλο απαιτείται.</w:t>
      </w:r>
    </w:p>
    <w:p>
      <w:pPr>
        <w:pStyle w:val="BodyText"/>
        <w:spacing w:line="273" w:lineRule="auto"/>
        <w:ind w:left="100" w:right="115"/>
        <w:jc w:val="both"/>
      </w:pPr>
      <w:r>
        <w:rPr/>
        <w:t>Τα μέλη της Επιτροπής Αξιολόγησης δε θα μπορούν να ασχοληθούν άμεσα με την παρακολούθηση και την παραλαβή των αποτελεσμάτων των έργων.</w:t>
      </w:r>
    </w:p>
    <w:p>
      <w:pPr>
        <w:pStyle w:val="BodyText"/>
      </w:pPr>
    </w:p>
    <w:p>
      <w:pPr>
        <w:pStyle w:val="BodyText"/>
        <w:spacing w:before="4"/>
        <w:rPr>
          <w:sz w:val="23"/>
        </w:rPr>
      </w:pPr>
    </w:p>
    <w:p>
      <w:pPr>
        <w:pStyle w:val="Heading4"/>
        <w:numPr>
          <w:ilvl w:val="1"/>
          <w:numId w:val="32"/>
        </w:numPr>
        <w:tabs>
          <w:tab w:pos="821" w:val="left" w:leader="none"/>
        </w:tabs>
        <w:spacing w:line="240" w:lineRule="auto" w:before="0" w:after="0"/>
        <w:ind w:left="820" w:right="0" w:hanging="720"/>
        <w:jc w:val="both"/>
      </w:pPr>
      <w:bookmarkStart w:name="_TOC_250032" w:id="24"/>
      <w:r>
        <w:rPr/>
        <w:t>ΔΙΑΔΙΚΑΣΙΑ ΑΞΙΟΛΟΓΗΣΗΣ ΑΙΤΗΣΕΩΝ</w:t>
      </w:r>
      <w:r>
        <w:rPr>
          <w:spacing w:val="-13"/>
        </w:rPr>
        <w:t> </w:t>
      </w:r>
      <w:bookmarkEnd w:id="24"/>
      <w:r>
        <w:rPr/>
        <w:t>ΧΡΗΜΑΤΟΔΟΤΗΣΗΣ</w:t>
      </w:r>
    </w:p>
    <w:p>
      <w:pPr>
        <w:pStyle w:val="BodyText"/>
        <w:spacing w:line="276" w:lineRule="auto" w:before="120"/>
        <w:ind w:left="100" w:right="115"/>
        <w:jc w:val="both"/>
      </w:pPr>
      <w:r>
        <w:rPr/>
        <w:t>Με το πέρας της ηλεκτρονικής υποβολής των αιτήσεων χρηματοδότησης, ακολουθεί η διαδικασία αξιολόγησής των υποβληθέντων σχεδίων, η οποία πραγματοποιείται μέσω του ΠΣΚΕ, με ευθύνη της Διεύθυνσης Αναπτυξιακού Προγραμματισμού Περιφέρειας Θεσσαλίας (ΔΙΑΠΠΘ).</w:t>
      </w:r>
    </w:p>
    <w:p>
      <w:pPr>
        <w:pStyle w:val="BodyText"/>
        <w:spacing w:line="276" w:lineRule="auto" w:before="120"/>
        <w:ind w:left="100" w:right="114"/>
        <w:jc w:val="both"/>
      </w:pPr>
      <w:r>
        <w:rPr/>
        <w:t>Η ΔΙΑΠΠΘ αναλαμβάνει όλες τις απαιτούμενες ενέργειες της διοργάνωσης και υποστήριξης της διαδικασίας αξιολόγησης, καθώς και της καταχώρησης, σε συνεργασία με τους αξιολογητές, όλων των απαραίτητων δεδομένων στο ΠΣΚΕ.</w:t>
      </w:r>
    </w:p>
    <w:p>
      <w:pPr>
        <w:pStyle w:val="BodyText"/>
        <w:spacing w:line="273" w:lineRule="auto" w:before="120"/>
        <w:ind w:left="100" w:right="122"/>
        <w:jc w:val="both"/>
      </w:pPr>
      <w:r>
        <w:rPr/>
        <w:t>Η μεθοδολογία αξιολόγησης των προτάσεων είναι «συγκριτική» μεταξύ όλων των προτάσεων που υποβάλλονται στα χρονικά περιθώρια που ορίζονται στη σχετική Πρόσκληση.</w:t>
      </w:r>
    </w:p>
    <w:p>
      <w:pPr>
        <w:pStyle w:val="BodyText"/>
        <w:spacing w:before="124"/>
        <w:ind w:left="100"/>
        <w:jc w:val="both"/>
      </w:pPr>
      <w:r>
        <w:rPr/>
        <w:t>Η μεθοδολογία και τα κριτήρια επιλογής :</w:t>
      </w:r>
    </w:p>
    <w:p>
      <w:pPr>
        <w:pStyle w:val="BodyText"/>
        <w:spacing w:before="161"/>
        <w:ind w:left="100"/>
        <w:jc w:val="both"/>
      </w:pPr>
      <w:r>
        <w:rPr/>
        <w:t>α) δεν εισάγουν διακρίσεις και είναι διαφανή,</w:t>
      </w:r>
    </w:p>
    <w:p>
      <w:pPr>
        <w:spacing w:after="0"/>
        <w:jc w:val="both"/>
        <w:sectPr>
          <w:footerReference w:type="default" r:id="rId27"/>
          <w:pgSz w:w="11910" w:h="16840"/>
          <w:pgMar w:footer="734" w:header="748" w:top="1420" w:bottom="920" w:left="980" w:right="960"/>
        </w:sectPr>
      </w:pPr>
    </w:p>
    <w:p>
      <w:pPr>
        <w:pStyle w:val="BodyText"/>
        <w:spacing w:before="7"/>
        <w:rPr>
          <w:sz w:val="17"/>
        </w:rPr>
      </w:pPr>
    </w:p>
    <w:p>
      <w:pPr>
        <w:pStyle w:val="BodyText"/>
        <w:spacing w:line="276" w:lineRule="auto" w:before="57"/>
        <w:ind w:left="100" w:right="125"/>
        <w:jc w:val="both"/>
      </w:pPr>
      <w:r>
        <w:rPr/>
        <w:t>β) διασφαλίζουν τη συμβολή των πράξεων στην επίτευξη των ειδικών στόχων και των αποτελεσμάτων της σχετικής προτεραιότητας του Ε.Π. Θεσσαλίας 2014-2020,</w:t>
      </w:r>
    </w:p>
    <w:p>
      <w:pPr>
        <w:pStyle w:val="BodyText"/>
        <w:spacing w:line="276" w:lineRule="auto" w:before="118"/>
        <w:ind w:left="100" w:right="122"/>
        <w:jc w:val="both"/>
      </w:pPr>
      <w:r>
        <w:rPr/>
        <w:t>γ) λαμβάνουν υπόψη την προώθηση της ισότητας μεταξύ ανδρών και γυναικών και τηρούν τις αρχές της βιώσιμης ανάπτυξης όπως ορίζεται στα άρθρα 7 και 8 του Κανονισμού 1303/2013.</w:t>
      </w:r>
    </w:p>
    <w:p>
      <w:pPr>
        <w:pStyle w:val="Heading4"/>
        <w:spacing w:line="276" w:lineRule="auto" w:before="120"/>
        <w:ind w:right="117"/>
      </w:pPr>
      <w:r>
        <w:rPr/>
        <w:t>Σημειώνεται ότι κατά τον έλεγχο και την αξιολόγηση των επενδυτικών σχεδίων δύνανται να γίνουν διασταυρώσεις δεδομένων, ώστε να επαληθευθεί η ακρίβεια των δηλωθέντων στοιχείων και να αποφευχθούν και εξαρθρωθούν φαινόμενα απάτης σε βάρος του ενωσιακού προϋπολογισμού.</w:t>
      </w:r>
    </w:p>
    <w:p>
      <w:pPr>
        <w:pStyle w:val="BodyText"/>
        <w:spacing w:line="384" w:lineRule="auto" w:before="120"/>
        <w:ind w:left="100" w:right="1990"/>
      </w:pPr>
      <w:r>
        <w:rPr/>
        <w:t>Η αξιολόγηση κάθε πρότασης, γίνεται με τη διαδικασία που καταγράφεται ακολούθως. Η αξιολόγηση είναι συγκριτική και περιλαμβάνει τρία στάδια:</w:t>
      </w:r>
    </w:p>
    <w:p>
      <w:pPr>
        <w:pStyle w:val="ListParagraph"/>
        <w:numPr>
          <w:ilvl w:val="0"/>
          <w:numId w:val="29"/>
        </w:numPr>
        <w:tabs>
          <w:tab w:pos="261" w:val="left" w:leader="none"/>
        </w:tabs>
        <w:spacing w:line="267" w:lineRule="exact" w:before="0" w:after="0"/>
        <w:ind w:left="260" w:right="0" w:hanging="160"/>
        <w:jc w:val="both"/>
        <w:rPr>
          <w:sz w:val="22"/>
        </w:rPr>
      </w:pPr>
      <w:r>
        <w:rPr>
          <w:sz w:val="22"/>
        </w:rPr>
        <w:t>ΣΤΑΔΙΟ Α : έλεγχος πληρότητας</w:t>
      </w:r>
      <w:r>
        <w:rPr>
          <w:spacing w:val="-11"/>
          <w:sz w:val="22"/>
        </w:rPr>
        <w:t> </w:t>
      </w:r>
      <w:r>
        <w:rPr>
          <w:sz w:val="22"/>
        </w:rPr>
        <w:t>πρότασης.</w:t>
      </w:r>
    </w:p>
    <w:p>
      <w:pPr>
        <w:pStyle w:val="ListParagraph"/>
        <w:numPr>
          <w:ilvl w:val="0"/>
          <w:numId w:val="29"/>
        </w:numPr>
        <w:tabs>
          <w:tab w:pos="261" w:val="left" w:leader="none"/>
        </w:tabs>
        <w:spacing w:line="240" w:lineRule="auto" w:before="161" w:after="0"/>
        <w:ind w:left="260" w:right="0" w:hanging="160"/>
        <w:jc w:val="both"/>
        <w:rPr>
          <w:sz w:val="22"/>
        </w:rPr>
      </w:pPr>
      <w:r>
        <w:rPr>
          <w:sz w:val="22"/>
        </w:rPr>
        <w:t>ΣΤΑΔΙΟ Β : έλεγχος επιλεξιμότητας</w:t>
      </w:r>
      <w:r>
        <w:rPr>
          <w:spacing w:val="-13"/>
          <w:sz w:val="22"/>
        </w:rPr>
        <w:t> </w:t>
      </w:r>
      <w:r>
        <w:rPr>
          <w:sz w:val="22"/>
        </w:rPr>
        <w:t>πρότασης.</w:t>
      </w:r>
    </w:p>
    <w:p>
      <w:pPr>
        <w:pStyle w:val="ListParagraph"/>
        <w:numPr>
          <w:ilvl w:val="0"/>
          <w:numId w:val="29"/>
        </w:numPr>
        <w:tabs>
          <w:tab w:pos="261" w:val="left" w:leader="none"/>
        </w:tabs>
        <w:spacing w:line="240" w:lineRule="auto" w:before="161" w:after="0"/>
        <w:ind w:left="260" w:right="0" w:hanging="160"/>
        <w:jc w:val="both"/>
        <w:rPr>
          <w:sz w:val="22"/>
        </w:rPr>
      </w:pPr>
      <w:r>
        <w:rPr>
          <w:sz w:val="22"/>
        </w:rPr>
        <w:t>ΣΤΑΔΙΟ Γ : αξιολόγηση των προτάσεων ανά ομάδα</w:t>
      </w:r>
      <w:r>
        <w:rPr>
          <w:spacing w:val="-11"/>
          <w:sz w:val="22"/>
        </w:rPr>
        <w:t> </w:t>
      </w:r>
      <w:r>
        <w:rPr>
          <w:sz w:val="22"/>
        </w:rPr>
        <w:t>κριτηρίων.</w:t>
      </w:r>
    </w:p>
    <w:p>
      <w:pPr>
        <w:pStyle w:val="BodyText"/>
        <w:spacing w:before="158"/>
        <w:ind w:left="100"/>
        <w:jc w:val="both"/>
      </w:pPr>
      <w:r>
        <w:rPr/>
        <w:t>Οι έλεγχοι των σταδίων Α και Β απαιτούν την εκπλήρωση όλων των κριτηρίων.</w:t>
      </w:r>
    </w:p>
    <w:p>
      <w:pPr>
        <w:pStyle w:val="BodyText"/>
        <w:spacing w:line="276" w:lineRule="auto" w:before="161"/>
        <w:ind w:left="100" w:right="115"/>
        <w:jc w:val="both"/>
      </w:pPr>
      <w:r>
        <w:rPr/>
        <w:t>Η αξιολόγηση των προτάσεων κατά το στάδιο Γ γίνεται ανά ομάδα κριτηρίων με βάση τα επί μέρους κριτήρια κάθε ομάδας και με βάση τη βαθμολόγηση που ορίζεται σε κάθε ένα από αυτά. Η βαθμολογία κάθε ομάδας κριτηρίων προκύπτει από το άθροισμα της βαθμολογίας των κριτηρίων της επί τον  συντελεστή στάθμισης της ομάδας. Η συνολική βαθμολογία του επενδυτικού σχεδίου προκύπτει από το άθροισμα της σταθμισμένης βαθμολογίας των ομάδων κριτηρίων. Αποδεκτή είναι η πρόταση που έχει ελάχιστη σταθμισμένη βαθμολογία 10. Η βαθμολογία ανά ομάδα κριτηρίων και συνολικά, υπολογίζεται με δύο (2) δεκαδικά</w:t>
      </w:r>
      <w:r>
        <w:rPr>
          <w:spacing w:val="-1"/>
        </w:rPr>
        <w:t> </w:t>
      </w:r>
      <w:r>
        <w:rPr/>
        <w:t>ψηφία.</w:t>
      </w:r>
    </w:p>
    <w:p>
      <w:pPr>
        <w:pStyle w:val="BodyText"/>
        <w:spacing w:line="273" w:lineRule="auto" w:before="120"/>
        <w:ind w:left="100" w:right="122"/>
        <w:jc w:val="both"/>
      </w:pPr>
      <w:r>
        <w:rPr/>
        <w:t>Σε κάθε περίπτωση ο αξιολογητής διενεργεί πλήρως την αξιολόγηση και αξιολογεί και βαθμολογεί όλα τα κριτήρια ανεξάρτητα εάν στο στάδιο Α η πρόταση κρίνεται μη πλήρης ή/και μη παραδεκτή.</w:t>
      </w:r>
    </w:p>
    <w:p>
      <w:pPr>
        <w:spacing w:before="123"/>
        <w:ind w:left="100" w:right="0" w:firstLine="0"/>
        <w:jc w:val="both"/>
        <w:rPr>
          <w:sz w:val="22"/>
        </w:rPr>
      </w:pPr>
      <w:r>
        <w:rPr>
          <w:sz w:val="22"/>
        </w:rPr>
        <w:t>Τα Κριτήρια παρουσιάζονται στο </w:t>
      </w:r>
      <w:r>
        <w:rPr>
          <w:b/>
          <w:sz w:val="22"/>
        </w:rPr>
        <w:t>ΠΑΡΑΡΤΗΜΑ VIΙ: ΚΡΙΤΗΡΙΑ ΑΞΙΟΛΟΓΗΣΗΣ </w:t>
      </w:r>
      <w:r>
        <w:rPr>
          <w:sz w:val="22"/>
        </w:rPr>
        <w:t>της παρούσας πρόσκλησης.</w:t>
      </w:r>
    </w:p>
    <w:p>
      <w:pPr>
        <w:pStyle w:val="BodyText"/>
      </w:pPr>
    </w:p>
    <w:p>
      <w:pPr>
        <w:pStyle w:val="BodyText"/>
      </w:pPr>
    </w:p>
    <w:p>
      <w:pPr>
        <w:pStyle w:val="Heading4"/>
        <w:numPr>
          <w:ilvl w:val="2"/>
          <w:numId w:val="32"/>
        </w:numPr>
        <w:tabs>
          <w:tab w:pos="1003" w:val="left" w:leader="none"/>
        </w:tabs>
        <w:spacing w:line="240" w:lineRule="auto" w:before="171" w:after="0"/>
        <w:ind w:left="1002" w:right="0" w:hanging="902"/>
        <w:jc w:val="both"/>
      </w:pPr>
      <w:bookmarkStart w:name="_TOC_250031" w:id="25"/>
      <w:r>
        <w:rPr/>
        <w:t>Πρωτοβάθμια</w:t>
      </w:r>
      <w:r>
        <w:rPr>
          <w:spacing w:val="-8"/>
        </w:rPr>
        <w:t> </w:t>
      </w:r>
      <w:bookmarkEnd w:id="25"/>
      <w:r>
        <w:rPr/>
        <w:t>Αξιολόγηση</w:t>
      </w:r>
    </w:p>
    <w:p>
      <w:pPr>
        <w:pStyle w:val="BodyText"/>
        <w:spacing w:line="276" w:lineRule="auto" w:before="120"/>
        <w:ind w:left="100" w:right="117"/>
        <w:jc w:val="both"/>
      </w:pPr>
      <w:r>
        <w:rPr/>
        <w:t>Ο αξιολογητής χρησιμοποιώντας την εφαρμογή της «Αξιολόγησης» στο Π.Σ.Κ.Ε., ελέγχει όλα τα πεδία του Παραρτήματος </w:t>
      </w:r>
      <w:r>
        <w:rPr>
          <w:b/>
        </w:rPr>
        <w:t>Ι.1 </w:t>
      </w:r>
      <w:r>
        <w:rPr/>
        <w:t>που καταχωρήθηκαν από τον δυνητικό δικαιούχο της ενίσχυσης στο Π.Σ.Κ.Ε. κατά το στάδιο της υποβολής. Όλα τα πεδία του Παραρτήματος Ι.1 δύναται να τροποποιηθούν από τον αξιολογητή με βάση τα στοιχεία της παρούσας πρόσκλησης και τα δικαιολογητικά και στοιχεία του φυσικού και ηλεκτρονικού φακέλου που προσκόμισε ο δυνητικός δικαιούχος.</w:t>
      </w:r>
    </w:p>
    <w:p>
      <w:pPr>
        <w:pStyle w:val="BodyText"/>
        <w:spacing w:line="276" w:lineRule="auto" w:before="120"/>
        <w:ind w:left="100" w:right="113"/>
        <w:jc w:val="both"/>
      </w:pPr>
      <w:r>
        <w:rPr/>
        <w:t>Ακολούθως, η αξιολόγηση των σταδίων </w:t>
      </w:r>
      <w:r>
        <w:rPr>
          <w:b/>
        </w:rPr>
        <w:t>Α </w:t>
      </w:r>
      <w:r>
        <w:rPr/>
        <w:t>«Έλεγχος Πληρότητας», </w:t>
      </w:r>
      <w:r>
        <w:rPr>
          <w:b/>
        </w:rPr>
        <w:t>Β </w:t>
      </w:r>
      <w:r>
        <w:rPr/>
        <w:t>«Έλεγχος Επιλεξιμότητας  Πρότασης» και </w:t>
      </w:r>
      <w:r>
        <w:rPr>
          <w:b/>
        </w:rPr>
        <w:t>Γ </w:t>
      </w:r>
      <w:r>
        <w:rPr/>
        <w:t>«Αξιολόγηση Προτάσεων ανά Ομάδα Κριτηρίων» γίνεται εκτός ΠΣΚΕ σε τυποποιημένο έντυπο αξιολόγησης το οποίο παρέχει η ΔΙΑΠΠΘ και το οποίο ο αξιολογητής συμπληρώνει πλήρως. Ο αξιολογητής σύμφωνα με τα στοιχεία της πρόσκλησης, τα δεδομένα της υποβολής, τα στοιχεία του φυσικού φακέλου και τις οδηγίες βαθμολόγησης εκάστου κριτηρίου αξιολογεί το σύνολο των κριτηρίων του κάθε σταδίου, εισάγει την σχετική βαθμολόγηση του κριτηρίου στο τυποποιημένο έντυπο αξιολόγησης και αφού το συμπληρώσει πλήρως το ανεβάζει σε μορφή .pdf αρχείου ως συνημμένο στην αξιολόγηση της. Στη</w:t>
      </w:r>
      <w:r>
        <w:rPr>
          <w:spacing w:val="-20"/>
        </w:rPr>
        <w:t> </w:t>
      </w:r>
      <w:r>
        <w:rPr/>
        <w:t>συνέχεια</w:t>
      </w:r>
    </w:p>
    <w:p>
      <w:pPr>
        <w:spacing w:after="0" w:line="276" w:lineRule="auto"/>
        <w:jc w:val="both"/>
        <w:sectPr>
          <w:footerReference w:type="default" r:id="rId28"/>
          <w:pgSz w:w="11910" w:h="16840"/>
          <w:pgMar w:footer="734" w:header="748" w:top="1420" w:bottom="920" w:left="980" w:right="960"/>
          <w:pgNumType w:start="41"/>
        </w:sectPr>
      </w:pPr>
    </w:p>
    <w:p>
      <w:pPr>
        <w:pStyle w:val="BodyText"/>
        <w:spacing w:before="7"/>
        <w:rPr>
          <w:sz w:val="17"/>
        </w:rPr>
      </w:pPr>
    </w:p>
    <w:p>
      <w:pPr>
        <w:pStyle w:val="BodyText"/>
        <w:spacing w:line="276" w:lineRule="auto" w:before="57"/>
        <w:ind w:left="100" w:right="115"/>
        <w:jc w:val="both"/>
      </w:pPr>
      <w:r>
        <w:rPr/>
        <w:t>ο αξιολογητής εισάγει στο ΠΣΚΕ τα αποτελέσματα του ελέγχου των σταδίων Α και Β καθώς και τη βαθμολογία κάθε ομάδας κριτηρίων Γ, και το ΠΣΚΕ υπολογίζει την συνολική βαθμολογία κάθε πρότασης.</w:t>
      </w:r>
    </w:p>
    <w:p>
      <w:pPr>
        <w:pStyle w:val="BodyText"/>
        <w:spacing w:line="276" w:lineRule="auto" w:before="118"/>
        <w:ind w:left="100" w:right="117"/>
        <w:jc w:val="both"/>
      </w:pPr>
      <w:r>
        <w:rPr/>
        <w:t>Σε κάθε περίπτωση οι αξιολογητές διενεργούν πλήρως την αξιολόγηση κι αξιολογούν και βαθμολογούν όλα τα κριτήρια ανεξάρτητα εάν στο στάδιο Α ή Β η πρόταση κρίνεται μη πλήρης ή μη παραδεκτή αντίστοιχα.</w:t>
      </w:r>
    </w:p>
    <w:p>
      <w:pPr>
        <w:pStyle w:val="BodyText"/>
        <w:spacing w:line="273" w:lineRule="auto" w:before="120"/>
        <w:ind w:left="100" w:right="116"/>
        <w:jc w:val="both"/>
      </w:pPr>
      <w:r>
        <w:rPr/>
        <w:t>Μετά την οριστικοποίηση του συνόλου των αξιολογήσεων η αξιολόγηση προχωρά στο επόμενο στάδιο, αυτό της οριστικοποίησης της αξιολόγησης από την Επιτροπή Αξιολόγησης.</w:t>
      </w:r>
    </w:p>
    <w:p>
      <w:pPr>
        <w:pStyle w:val="BodyText"/>
        <w:spacing w:before="11"/>
        <w:rPr>
          <w:sz w:val="19"/>
        </w:rPr>
      </w:pPr>
    </w:p>
    <w:p>
      <w:pPr>
        <w:pStyle w:val="Heading4"/>
        <w:numPr>
          <w:ilvl w:val="2"/>
          <w:numId w:val="32"/>
        </w:numPr>
        <w:tabs>
          <w:tab w:pos="809" w:val="left" w:leader="none"/>
        </w:tabs>
        <w:spacing w:line="240" w:lineRule="auto" w:before="0" w:after="0"/>
        <w:ind w:left="808" w:right="0" w:hanging="708"/>
        <w:jc w:val="both"/>
      </w:pPr>
      <w:bookmarkStart w:name="_TOC_250030" w:id="26"/>
      <w:r>
        <w:rPr/>
        <w:t>Δευτεροβάθμια</w:t>
      </w:r>
      <w:r>
        <w:rPr>
          <w:spacing w:val="-5"/>
        </w:rPr>
        <w:t> </w:t>
      </w:r>
      <w:bookmarkEnd w:id="26"/>
      <w:r>
        <w:rPr/>
        <w:t>Αξιολόγηση</w:t>
      </w:r>
    </w:p>
    <w:p>
      <w:pPr>
        <w:pStyle w:val="BodyText"/>
        <w:spacing w:line="276" w:lineRule="auto" w:before="120"/>
        <w:ind w:left="100" w:right="116"/>
        <w:jc w:val="both"/>
      </w:pPr>
      <w:r>
        <w:rPr/>
        <w:t>Μετά το πέρας της αξιολόγησης του συνόλου των υποβληθεισών προτάσεων, η Επιτροπή Αξιολόγησης οριστικοποιεί την τελική βαθμολογία και το φυσικό και οικονομικό αντικείμενο της κάθε πρότασης έχοντας την ευθύνη ελέγχου της αξιολόγησης και όπου κρίνει σκόπιμο την αναβαθμολόγηση και τη διαφοροποίηση του φυσικού και οικονομικού αντικειμένου της πρότασης μετά από τεκμηριωμένη εισήγηση.</w:t>
      </w:r>
    </w:p>
    <w:p>
      <w:pPr>
        <w:pStyle w:val="BodyText"/>
        <w:spacing w:line="273" w:lineRule="auto" w:before="120"/>
        <w:ind w:left="100" w:right="123"/>
        <w:jc w:val="both"/>
      </w:pPr>
      <w:r>
        <w:rPr/>
        <w:t>Ο τρόπος με τον οποίο η Επιτροπή Αξιολόγησης διενεργεί την αξιολόγηση καθώς και τα πεδία τα οποία αξιολογεί είναι ακριβώς ίδια με του πρωτοβάθμιου αξιολογητή.</w:t>
      </w:r>
    </w:p>
    <w:p>
      <w:pPr>
        <w:pStyle w:val="BodyText"/>
        <w:spacing w:before="123"/>
        <w:ind w:left="100"/>
        <w:jc w:val="both"/>
      </w:pPr>
      <w:r>
        <w:rPr/>
        <w:t>Η Επιτροπή Αξιολόγησης συντάσσει πρακτικό που περιλαμβάνει:</w:t>
      </w:r>
    </w:p>
    <w:p>
      <w:pPr>
        <w:pStyle w:val="ListParagraph"/>
        <w:numPr>
          <w:ilvl w:val="3"/>
          <w:numId w:val="32"/>
        </w:numPr>
        <w:tabs>
          <w:tab w:pos="821" w:val="left" w:leader="none"/>
        </w:tabs>
        <w:spacing w:line="276" w:lineRule="auto" w:before="161" w:after="0"/>
        <w:ind w:left="820" w:right="115" w:hanging="466"/>
        <w:jc w:val="both"/>
        <w:rPr>
          <w:sz w:val="22"/>
        </w:rPr>
      </w:pPr>
      <w:r>
        <w:rPr>
          <w:sz w:val="22"/>
        </w:rPr>
        <w:t>Πίνακα εγκεκριμένων αιτήσεων προς ενίσχυση, με το συνολικό προϋπολογισμό και την  αναλογούσα δημόσια δαπάνη για κάθε εγκεκριμένη αίτηση, όπου συμπεριλαμβάνονται όλες οι ισοβαθμούσες προτάσεις με την τελευταία βαθμολογικά πρόταση που εντάσσεται σε</w:t>
      </w:r>
      <w:r>
        <w:rPr>
          <w:spacing w:val="-24"/>
          <w:sz w:val="22"/>
        </w:rPr>
        <w:t> </w:t>
      </w:r>
      <w:r>
        <w:rPr>
          <w:sz w:val="22"/>
        </w:rPr>
        <w:t>αυτόν,</w:t>
      </w:r>
    </w:p>
    <w:p>
      <w:pPr>
        <w:pStyle w:val="ListParagraph"/>
        <w:numPr>
          <w:ilvl w:val="3"/>
          <w:numId w:val="32"/>
        </w:numPr>
        <w:tabs>
          <w:tab w:pos="820" w:val="left" w:leader="none"/>
          <w:tab w:pos="821" w:val="left" w:leader="none"/>
        </w:tabs>
        <w:spacing w:line="240" w:lineRule="auto" w:before="121" w:after="0"/>
        <w:ind w:left="820" w:right="0" w:hanging="516"/>
        <w:jc w:val="left"/>
        <w:rPr>
          <w:sz w:val="22"/>
        </w:rPr>
      </w:pPr>
      <w:r>
        <w:rPr>
          <w:sz w:val="22"/>
        </w:rPr>
        <w:t>Πίνακα εγκεκριμένων αιτήσεων μη ενισχυόμενων, λόγω εξάντλησης προϋπολογισμού</w:t>
      </w:r>
      <w:r>
        <w:rPr>
          <w:spacing w:val="-17"/>
          <w:sz w:val="22"/>
        </w:rPr>
        <w:t> </w:t>
      </w:r>
      <w:r>
        <w:rPr>
          <w:sz w:val="22"/>
        </w:rPr>
        <w:t>πρόσκλησης,</w:t>
      </w:r>
    </w:p>
    <w:p>
      <w:pPr>
        <w:pStyle w:val="ListParagraph"/>
        <w:numPr>
          <w:ilvl w:val="3"/>
          <w:numId w:val="32"/>
        </w:numPr>
        <w:tabs>
          <w:tab w:pos="820" w:val="left" w:leader="none"/>
          <w:tab w:pos="821" w:val="left" w:leader="none"/>
        </w:tabs>
        <w:spacing w:line="273" w:lineRule="auto" w:before="161" w:after="0"/>
        <w:ind w:left="820" w:right="117" w:hanging="567"/>
        <w:jc w:val="left"/>
        <w:rPr>
          <w:sz w:val="22"/>
        </w:rPr>
      </w:pPr>
      <w:r>
        <w:rPr>
          <w:sz w:val="22"/>
        </w:rPr>
        <w:t>Πίνακα απορριφθεισών αιτήσεων λόγω αρνητικής αξιολόγησης. Πιο συγκεκριμένα στον πίνακα περιλαμβάνονται:</w:t>
      </w:r>
    </w:p>
    <w:p>
      <w:pPr>
        <w:pStyle w:val="ListParagraph"/>
        <w:numPr>
          <w:ilvl w:val="4"/>
          <w:numId w:val="32"/>
        </w:numPr>
        <w:tabs>
          <w:tab w:pos="1590" w:val="left" w:leader="none"/>
          <w:tab w:pos="1591" w:val="left" w:leader="none"/>
        </w:tabs>
        <w:spacing w:line="276" w:lineRule="auto" w:before="123" w:after="0"/>
        <w:ind w:left="1540" w:right="116" w:hanging="360"/>
        <w:jc w:val="left"/>
        <w:rPr>
          <w:sz w:val="22"/>
        </w:rPr>
      </w:pPr>
      <w:r>
        <w:rPr>
          <w:sz w:val="22"/>
        </w:rPr>
        <w:t>Οι αιτήσεις που απορρίπτονται λόγω μη κάλυψης τυπικών προϋποθέσεων (Έλεγχος Πληρότητας &amp;</w:t>
      </w:r>
      <w:r>
        <w:rPr>
          <w:spacing w:val="-7"/>
          <w:sz w:val="22"/>
        </w:rPr>
        <w:t> </w:t>
      </w:r>
      <w:r>
        <w:rPr>
          <w:sz w:val="22"/>
        </w:rPr>
        <w:t>Επιλεξιμότητας),</w:t>
      </w:r>
    </w:p>
    <w:p>
      <w:pPr>
        <w:pStyle w:val="ListParagraph"/>
        <w:numPr>
          <w:ilvl w:val="4"/>
          <w:numId w:val="32"/>
        </w:numPr>
        <w:tabs>
          <w:tab w:pos="1541" w:val="left" w:leader="none"/>
        </w:tabs>
        <w:spacing w:line="276" w:lineRule="auto" w:before="118" w:after="0"/>
        <w:ind w:left="1540" w:right="117" w:hanging="360"/>
        <w:jc w:val="left"/>
        <w:rPr>
          <w:sz w:val="22"/>
        </w:rPr>
      </w:pPr>
      <w:r>
        <w:rPr>
          <w:sz w:val="22"/>
        </w:rPr>
        <w:t>Οι αιτήσεις που απορρίπτονται λόγω μη συγκέντρωσης της ελάχιστης συνολικής σταθμισμένης βαθμολογίας, η οποία ορίζεται ίση με 10</w:t>
      </w:r>
      <w:r>
        <w:rPr>
          <w:spacing w:val="-17"/>
          <w:sz w:val="22"/>
        </w:rPr>
        <w:t> </w:t>
      </w:r>
      <w:r>
        <w:rPr>
          <w:sz w:val="22"/>
        </w:rPr>
        <w:t>βαθμούς.</w:t>
      </w:r>
    </w:p>
    <w:p>
      <w:pPr>
        <w:pStyle w:val="BodyText"/>
        <w:spacing w:line="273" w:lineRule="auto" w:before="120"/>
        <w:ind w:left="100" w:right="122"/>
        <w:jc w:val="both"/>
      </w:pPr>
      <w:r>
        <w:rPr/>
        <w:t>Για κάθε έναν από τους ανωτέρω επιμέρους Πίνακες θα περιλαμβάνονται (ενδεικτικά και όχι περιοριστικά) τα ακόλουθα στοιχεία:</w:t>
      </w:r>
    </w:p>
    <w:p>
      <w:pPr>
        <w:pStyle w:val="ListParagraph"/>
        <w:numPr>
          <w:ilvl w:val="0"/>
          <w:numId w:val="34"/>
        </w:numPr>
        <w:tabs>
          <w:tab w:pos="821" w:val="left" w:leader="none"/>
        </w:tabs>
        <w:spacing w:line="240" w:lineRule="auto" w:before="124" w:after="0"/>
        <w:ind w:left="820" w:right="0" w:hanging="360"/>
        <w:jc w:val="left"/>
        <w:rPr>
          <w:sz w:val="22"/>
        </w:rPr>
      </w:pPr>
      <w:r>
        <w:rPr>
          <w:sz w:val="22"/>
        </w:rPr>
        <w:t>Η τελικά διαμορφούμενη συνολική</w:t>
      </w:r>
      <w:r>
        <w:rPr>
          <w:spacing w:val="-10"/>
          <w:sz w:val="22"/>
        </w:rPr>
        <w:t> </w:t>
      </w:r>
      <w:r>
        <w:rPr>
          <w:sz w:val="22"/>
        </w:rPr>
        <w:t>βαθμολογία.</w:t>
      </w:r>
    </w:p>
    <w:p>
      <w:pPr>
        <w:pStyle w:val="ListParagraph"/>
        <w:numPr>
          <w:ilvl w:val="0"/>
          <w:numId w:val="34"/>
        </w:numPr>
        <w:tabs>
          <w:tab w:pos="821" w:val="left" w:leader="none"/>
        </w:tabs>
        <w:spacing w:line="273" w:lineRule="auto" w:before="161" w:after="0"/>
        <w:ind w:left="820" w:right="118" w:hanging="360"/>
        <w:jc w:val="left"/>
        <w:rPr>
          <w:sz w:val="22"/>
        </w:rPr>
      </w:pPr>
      <w:r>
        <w:rPr>
          <w:sz w:val="22"/>
        </w:rPr>
        <w:t>Τα βασικά στοιχεία του κάθε επενδυτικού σχεδίου (π</w:t>
      </w:r>
      <w:r>
        <w:rPr>
          <w:i/>
          <w:sz w:val="22"/>
        </w:rPr>
        <w:t>.χ. κωδ. Επενδυτικού σχεδίου, επωνυμία </w:t>
      </w:r>
      <w:r>
        <w:rPr>
          <w:i/>
          <w:sz w:val="22"/>
        </w:rPr>
        <w:t>επιχείρησης,</w:t>
      </w:r>
      <w:r>
        <w:rPr>
          <w:i/>
          <w:spacing w:val="-1"/>
          <w:sz w:val="22"/>
        </w:rPr>
        <w:t> </w:t>
      </w:r>
      <w:r>
        <w:rPr>
          <w:i/>
          <w:sz w:val="22"/>
        </w:rPr>
        <w:t>κλπ.</w:t>
      </w:r>
      <w:r>
        <w:rPr>
          <w:sz w:val="22"/>
        </w:rPr>
        <w:t>).</w:t>
      </w:r>
    </w:p>
    <w:p>
      <w:pPr>
        <w:pStyle w:val="ListParagraph"/>
        <w:numPr>
          <w:ilvl w:val="0"/>
          <w:numId w:val="34"/>
        </w:numPr>
        <w:tabs>
          <w:tab w:pos="821" w:val="left" w:leader="none"/>
        </w:tabs>
        <w:spacing w:line="240" w:lineRule="auto" w:before="123" w:after="0"/>
        <w:ind w:left="820" w:right="0" w:hanging="360"/>
        <w:jc w:val="left"/>
        <w:rPr>
          <w:sz w:val="22"/>
        </w:rPr>
      </w:pPr>
      <w:r>
        <w:rPr>
          <w:sz w:val="22"/>
        </w:rPr>
        <w:t>Ο επιχορηγούμενος</w:t>
      </w:r>
      <w:r>
        <w:rPr>
          <w:spacing w:val="-3"/>
          <w:sz w:val="22"/>
        </w:rPr>
        <w:t> </w:t>
      </w:r>
      <w:r>
        <w:rPr>
          <w:sz w:val="22"/>
        </w:rPr>
        <w:t>Π/Υ.</w:t>
      </w:r>
    </w:p>
    <w:p>
      <w:pPr>
        <w:pStyle w:val="BodyText"/>
        <w:spacing w:before="161"/>
        <w:ind w:left="100"/>
        <w:jc w:val="both"/>
      </w:pPr>
      <w:r>
        <w:rPr/>
        <w:t>Δύναται κατά την κρίση της ΔΙΑΠΠΘ στους ανωτέρω επιμέρους Πίνακες να περιληφθούν πρόσθετα στοιχεία</w:t>
      </w:r>
    </w:p>
    <w:p>
      <w:pPr>
        <w:spacing w:before="38"/>
        <w:ind w:left="100" w:right="0" w:firstLine="0"/>
        <w:jc w:val="both"/>
        <w:rPr>
          <w:sz w:val="22"/>
        </w:rPr>
      </w:pPr>
      <w:r>
        <w:rPr>
          <w:sz w:val="22"/>
        </w:rPr>
        <w:t>(</w:t>
      </w:r>
      <w:r>
        <w:rPr>
          <w:i/>
          <w:sz w:val="22"/>
        </w:rPr>
        <w:t>π.χ. χρονοδιάγραμμα υλοποίησης επενδυτικού σχεδίου, ίδια συμμετοχή κλπ.</w:t>
      </w:r>
      <w:r>
        <w:rPr>
          <w:sz w:val="22"/>
        </w:rPr>
        <w:t>).</w:t>
      </w:r>
    </w:p>
    <w:p>
      <w:pPr>
        <w:pStyle w:val="BodyText"/>
        <w:spacing w:line="276" w:lineRule="auto" w:before="161"/>
        <w:ind w:left="100" w:right="115"/>
        <w:jc w:val="both"/>
      </w:pPr>
      <w:r>
        <w:rPr/>
        <w:t>Το πρακτικό διαβιβάζεται στην ΔΙΑΠΠΘ, ώστε να εκδοθεί απόφαση του Περιφερειάρχη Θεσσαλίας με τα αποτελέσματα της αξιολόγησης και τον κατάλογο δικαιούχων και ο Πίνακας Κατάταξης οριστικοποιείται. Η απόφαση του Περιφερειάρχη Θεσσαλίας δημοσιοποιείται στην ιστοσελίδα της ΔΙΑΠ : </w:t>
      </w:r>
      <w:hyperlink r:id="rId9">
        <w:r>
          <w:rPr>
            <w:color w:val="0462C1"/>
            <w:u w:val="single" w:color="0462C1"/>
          </w:rPr>
          <w:t>www.thessaly.gov.gr</w:t>
        </w:r>
      </w:hyperlink>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100"/>
      </w:pPr>
      <w:r>
        <w:rPr/>
        <w:t>Κάθε δυνητικός δικαιούχος ενημερώνεται ηλεκτρονικά αλλά και μέσω του ΠΣΚΕ όπου η ΔΙΑΠ καταχωρεί τα αποτελέσματα που εγκρίθηκαν, για το αποτέλεσμα της αξιολόγησης.</w:t>
      </w:r>
    </w:p>
    <w:p>
      <w:pPr>
        <w:pStyle w:val="BodyText"/>
        <w:spacing w:line="276" w:lineRule="auto" w:before="118"/>
        <w:ind w:left="100" w:right="115"/>
        <w:jc w:val="both"/>
      </w:pPr>
      <w:r>
        <w:rPr/>
        <w:t>Κάθε υποψήφιος που το επενδυτικό του σχέδιο κρίθηκε ως απορριπτέο ή εγκεκριμένο με τροποποιήσεις του φυσικού ή/και οικονομικού αντικειμένου ενημερώνεται ηλεκτρονικά, αλλά και μέσω του ΠΣΚΕ για το αποτέλεσμα της αξιολόγησης και τη δυνατότητα και τους όρους άσκησης ένστασης εντός συγκεκριμένης καταληκτικής ημερομηνίας.</w:t>
      </w:r>
    </w:p>
    <w:p>
      <w:pPr>
        <w:spacing w:line="276" w:lineRule="auto" w:before="120"/>
        <w:ind w:left="100" w:right="0" w:firstLine="0"/>
        <w:jc w:val="left"/>
        <w:rPr>
          <w:sz w:val="22"/>
        </w:rPr>
      </w:pPr>
      <w:r>
        <w:rPr>
          <w:sz w:val="22"/>
        </w:rPr>
        <w:t>Επί του </w:t>
      </w:r>
      <w:r>
        <w:rPr>
          <w:b/>
          <w:sz w:val="22"/>
        </w:rPr>
        <w:t>αποτελέσματος της αξιολόγησης </w:t>
      </w:r>
      <w:r>
        <w:rPr>
          <w:sz w:val="22"/>
        </w:rPr>
        <w:t>δύναται να υποβληθούν ενστάσεις από τους συμμετέχοντες στη διαδικασία σύμφωνα με τα οριζόμενα στο Κεφάλαιο </w:t>
      </w:r>
      <w:r>
        <w:rPr>
          <w:b/>
          <w:sz w:val="22"/>
        </w:rPr>
        <w:t>10.4 </w:t>
      </w:r>
      <w:r>
        <w:rPr>
          <w:sz w:val="22"/>
        </w:rPr>
        <w:t>«ΔΙΑΔΙΚΑΣΙΑ ΕΝΣΤΑΣΕΩΝ».</w:t>
      </w:r>
    </w:p>
    <w:p>
      <w:pPr>
        <w:pStyle w:val="BodyText"/>
        <w:spacing w:before="8"/>
        <w:rPr>
          <w:sz w:val="19"/>
        </w:rPr>
      </w:pPr>
    </w:p>
    <w:p>
      <w:pPr>
        <w:pStyle w:val="Heading4"/>
        <w:numPr>
          <w:ilvl w:val="1"/>
          <w:numId w:val="32"/>
        </w:numPr>
        <w:tabs>
          <w:tab w:pos="821" w:val="left" w:leader="none"/>
        </w:tabs>
        <w:spacing w:line="240" w:lineRule="auto" w:before="1" w:after="0"/>
        <w:ind w:left="820" w:right="0" w:hanging="720"/>
        <w:jc w:val="both"/>
      </w:pPr>
      <w:bookmarkStart w:name="_TOC_250029" w:id="27"/>
      <w:r>
        <w:rPr/>
        <w:t>ΚΡΙΤΗΡΙΑ</w:t>
      </w:r>
      <w:r>
        <w:rPr>
          <w:spacing w:val="-4"/>
        </w:rPr>
        <w:t> </w:t>
      </w:r>
      <w:bookmarkEnd w:id="27"/>
      <w:r>
        <w:rPr/>
        <w:t>ΑΞΙΟΛΟΓΗΣΗΣ</w:t>
      </w:r>
    </w:p>
    <w:p>
      <w:pPr>
        <w:pStyle w:val="BodyText"/>
        <w:spacing w:before="118"/>
        <w:ind w:left="100"/>
        <w:jc w:val="both"/>
      </w:pPr>
      <w:r>
        <w:rPr/>
        <w:t>Η αξιολόγηση διενεργείται βάσει εγκεκριμένων από την Επιτροπή Παρακολούθησης του Ε.Π. Θεσσαλία</w:t>
      </w:r>
    </w:p>
    <w:p>
      <w:pPr>
        <w:pStyle w:val="BodyText"/>
        <w:spacing w:before="41"/>
        <w:ind w:left="100"/>
        <w:jc w:val="both"/>
      </w:pPr>
      <w:r>
        <w:rPr/>
        <w:t>2014-2020 Κριτηρίων, σε τρία στάδια :</w:t>
      </w:r>
    </w:p>
    <w:p>
      <w:pPr>
        <w:pStyle w:val="Heading4"/>
        <w:spacing w:before="41"/>
      </w:pPr>
      <w:r>
        <w:rPr/>
        <w:t>ΣΤΑΔΙΟ Α: ΕΛΕΓΧΟΣ ΠΛΗΡΟΤΗΤΑΣ</w:t>
      </w:r>
    </w:p>
    <w:p>
      <w:pPr>
        <w:spacing w:line="276" w:lineRule="auto" w:before="158"/>
        <w:ind w:left="820" w:right="116" w:hanging="360"/>
        <w:jc w:val="both"/>
        <w:rPr>
          <w:i/>
          <w:sz w:val="20"/>
        </w:rPr>
      </w:pPr>
      <w:r>
        <w:rPr>
          <w:sz w:val="22"/>
        </w:rPr>
        <w:t>1.   Πληρότητα της υποβαλλόμενης πρότασης ως προς τη συμπλήρωση όλων των αναγκαίων πεδίων   και την υποβολή όλων των προβλεπόμενων δικαιολογητικών</w:t>
      </w:r>
      <w:r>
        <w:rPr>
          <w:i/>
          <w:sz w:val="20"/>
        </w:rPr>
        <w:t>. Εξετάζεται εάν για την υποβολή της </w:t>
      </w:r>
      <w:r>
        <w:rPr>
          <w:i/>
          <w:sz w:val="20"/>
        </w:rPr>
        <w:t>πρότασης, ακολουθήθηκε εμπρόθεσμα η προβλεπόμενη διαδικασία, αν τα τυποποιημένα έντυπα είναι συμπληρωμένα και εάν έχουν επισυναφθεί όλα τα συνοδευτικά έγγραφα σύμφωνα με τα αναφερόμενα στη σχετική</w:t>
      </w:r>
      <w:r>
        <w:rPr>
          <w:i/>
          <w:spacing w:val="-6"/>
          <w:sz w:val="20"/>
        </w:rPr>
        <w:t> </w:t>
      </w:r>
      <w:r>
        <w:rPr>
          <w:i/>
          <w:sz w:val="20"/>
        </w:rPr>
        <w:t>πρόσκληση.</w:t>
      </w:r>
    </w:p>
    <w:p>
      <w:pPr>
        <w:pStyle w:val="Heading4"/>
        <w:spacing w:before="117"/>
      </w:pPr>
      <w:r>
        <w:rPr/>
        <w:t>ΣΤΑΔΙΟ Β: ΕΛΕΓΧΟΣ ΕΠΙΛΕΞΙΜΟΤΗΤΑΣ ΠΡΟΤΑΣΗΣ</w:t>
      </w:r>
    </w:p>
    <w:p>
      <w:pPr>
        <w:pStyle w:val="BodyText"/>
        <w:spacing w:before="39"/>
        <w:ind w:left="100"/>
        <w:jc w:val="both"/>
      </w:pPr>
      <w:r>
        <w:rPr/>
        <w:t>Τα κριτήρια βάσει των οποίων αξιολογούνται οι προτάσεις είναι τα εξής:</w:t>
      </w:r>
    </w:p>
    <w:p>
      <w:pPr>
        <w:pStyle w:val="ListParagraph"/>
        <w:numPr>
          <w:ilvl w:val="0"/>
          <w:numId w:val="35"/>
        </w:numPr>
        <w:tabs>
          <w:tab w:pos="821" w:val="left" w:leader="none"/>
        </w:tabs>
        <w:spacing w:line="276" w:lineRule="auto" w:before="161" w:after="0"/>
        <w:ind w:left="820" w:right="121" w:hanging="360"/>
        <w:jc w:val="both"/>
        <w:rPr>
          <w:sz w:val="22"/>
        </w:rPr>
      </w:pPr>
      <w:r>
        <w:rPr>
          <w:sz w:val="22"/>
        </w:rPr>
        <w:t>Δικαιούχος που εμπίπτει στην πρόσκληση και έχει την ιδιότητα της Μικρομεσαίας Επιχείρησης σύμφωνα με τον Ορισμό των ΜΜΕ της σύστασης της ΕΕ 2003/361/ΕΚ, λαμβανομένων υπόψη των όρων για τη διατήρηση της ιδιότητας</w:t>
      </w:r>
      <w:r>
        <w:rPr>
          <w:spacing w:val="-8"/>
          <w:sz w:val="22"/>
        </w:rPr>
        <w:t> </w:t>
      </w:r>
      <w:r>
        <w:rPr>
          <w:sz w:val="22"/>
        </w:rPr>
        <w:t>αυτής.</w:t>
      </w:r>
    </w:p>
    <w:p>
      <w:pPr>
        <w:pStyle w:val="ListParagraph"/>
        <w:numPr>
          <w:ilvl w:val="0"/>
          <w:numId w:val="35"/>
        </w:numPr>
        <w:tabs>
          <w:tab w:pos="821" w:val="left" w:leader="none"/>
        </w:tabs>
        <w:spacing w:line="276" w:lineRule="auto" w:before="0" w:after="0"/>
        <w:ind w:left="820" w:right="114" w:hanging="360"/>
        <w:jc w:val="both"/>
        <w:rPr>
          <w:sz w:val="22"/>
        </w:rPr>
      </w:pPr>
      <w:r>
        <w:rPr>
          <w:sz w:val="22"/>
        </w:rPr>
        <w:t>Η πρόταση εμπίπτει στους Κωδικούς Αριθμούς Δραστηριότητας (ΚΑΔ), όπως αναλυτικά παρουσιάζονται στο Παράρτημα «Πίνακας Επιλέξιμων ΚΑΔ» της Πρόσκλησης. Οι επιχειρήσεις διαθέτουν τον ΚΑΔ επένδυσης κατά την υποβολή της</w:t>
      </w:r>
      <w:r>
        <w:rPr>
          <w:spacing w:val="-12"/>
          <w:sz w:val="22"/>
        </w:rPr>
        <w:t> </w:t>
      </w:r>
      <w:r>
        <w:rPr>
          <w:sz w:val="22"/>
        </w:rPr>
        <w:t>πρότασης.</w:t>
      </w:r>
    </w:p>
    <w:p>
      <w:pPr>
        <w:pStyle w:val="ListParagraph"/>
        <w:numPr>
          <w:ilvl w:val="0"/>
          <w:numId w:val="35"/>
        </w:numPr>
        <w:tabs>
          <w:tab w:pos="821" w:val="left" w:leader="none"/>
        </w:tabs>
        <w:spacing w:line="240" w:lineRule="auto" w:before="118" w:after="0"/>
        <w:ind w:left="820" w:right="0" w:hanging="360"/>
        <w:jc w:val="left"/>
        <w:rPr>
          <w:sz w:val="22"/>
        </w:rPr>
      </w:pPr>
      <w:r>
        <w:rPr>
          <w:sz w:val="22"/>
        </w:rPr>
        <w:t>Το προτεινόμενο επενδυτικό σχέδιο χωροθετείται αποκλειστικά στην Περιφέρεια</w:t>
      </w:r>
      <w:r>
        <w:rPr>
          <w:spacing w:val="-19"/>
          <w:sz w:val="22"/>
        </w:rPr>
        <w:t> </w:t>
      </w:r>
      <w:r>
        <w:rPr>
          <w:sz w:val="22"/>
        </w:rPr>
        <w:t>Θεσσαλίας.</w:t>
      </w:r>
    </w:p>
    <w:p>
      <w:pPr>
        <w:pStyle w:val="ListParagraph"/>
        <w:numPr>
          <w:ilvl w:val="0"/>
          <w:numId w:val="35"/>
        </w:numPr>
        <w:tabs>
          <w:tab w:pos="821" w:val="left" w:leader="none"/>
        </w:tabs>
        <w:spacing w:line="276" w:lineRule="auto" w:before="41" w:after="0"/>
        <w:ind w:left="820" w:right="113" w:hanging="360"/>
        <w:jc w:val="both"/>
        <w:rPr>
          <w:sz w:val="22"/>
        </w:rPr>
      </w:pPr>
      <w:r>
        <w:rPr>
          <w:sz w:val="22"/>
        </w:rPr>
        <w:t>Η υφιστάμενη επιχείρηση χρησιμοποιεί διπλογραφικό ή απλογραφικό λογιστικό σύστημα (τηρεί βιβλία Β΄ ή Γ' κατηγορίας) και μέχρι τις 31/12/2018 έχει κλεισμένες τουλάχιστον τρεις  διαχειριστικές</w:t>
      </w:r>
      <w:r>
        <w:rPr>
          <w:spacing w:val="-2"/>
          <w:sz w:val="22"/>
        </w:rPr>
        <w:t> </w:t>
      </w:r>
      <w:r>
        <w:rPr>
          <w:sz w:val="22"/>
        </w:rPr>
        <w:t>χρήσεις.</w:t>
      </w:r>
    </w:p>
    <w:p>
      <w:pPr>
        <w:pStyle w:val="ListParagraph"/>
        <w:numPr>
          <w:ilvl w:val="0"/>
          <w:numId w:val="35"/>
        </w:numPr>
        <w:tabs>
          <w:tab w:pos="821" w:val="left" w:leader="none"/>
        </w:tabs>
        <w:spacing w:line="276" w:lineRule="auto" w:before="0" w:after="0"/>
        <w:ind w:left="820" w:right="118" w:hanging="360"/>
        <w:jc w:val="both"/>
        <w:rPr>
          <w:sz w:val="22"/>
        </w:rPr>
      </w:pPr>
      <w:r>
        <w:rPr>
          <w:sz w:val="22"/>
        </w:rPr>
        <w:t>Η ιδιωτική συμμετοχή της επιχείρησης στο επενδυτικό σχέδιο δεν υπερβαίνει ανά έτος το 50% του μέσου όρου των κύκλων εργασιών της για τα τρία (3) τελευταία έτη, όπως αυτός προκύπτει από τους δημοσιευμένους ισολογισμούς της ή ισοδύναμα οικονομικά</w:t>
      </w:r>
      <w:r>
        <w:rPr>
          <w:spacing w:val="-21"/>
          <w:sz w:val="22"/>
        </w:rPr>
        <w:t> </w:t>
      </w:r>
      <w:r>
        <w:rPr>
          <w:sz w:val="22"/>
        </w:rPr>
        <w:t>στοιχεία.</w:t>
      </w:r>
    </w:p>
    <w:p>
      <w:pPr>
        <w:pStyle w:val="ListParagraph"/>
        <w:numPr>
          <w:ilvl w:val="0"/>
          <w:numId w:val="35"/>
        </w:numPr>
        <w:tabs>
          <w:tab w:pos="821" w:val="left" w:leader="none"/>
        </w:tabs>
        <w:spacing w:line="276" w:lineRule="auto" w:before="0" w:after="0"/>
        <w:ind w:left="820" w:right="115" w:hanging="360"/>
        <w:jc w:val="both"/>
        <w:rPr>
          <w:sz w:val="22"/>
        </w:rPr>
      </w:pPr>
      <w:r>
        <w:rPr>
          <w:sz w:val="22"/>
        </w:rPr>
        <w:t>Η επιχείρηση λειτουργεί αποκλειστικά με μία από τις ακόλουθες μορφές επιχείρησης εταιρικού / εμπορικού χαρακτήρα: ΑΕ, ΕΠΕ, ΟΕ, ΕΕ, Ι.Κ.Ε, Ατομική Επιχείρηση, Συνεταιρισμός, ΚΟΙΝΣΕΠ, Ναυτιλιακή Εταιρεία Πλοίων Αναψυχής</w:t>
      </w:r>
      <w:r>
        <w:rPr>
          <w:spacing w:val="-6"/>
          <w:sz w:val="22"/>
        </w:rPr>
        <w:t> </w:t>
      </w:r>
      <w:r>
        <w:rPr>
          <w:sz w:val="22"/>
        </w:rPr>
        <w:t>(Ν.Ε.Π.Α.).</w:t>
      </w:r>
    </w:p>
    <w:p>
      <w:pPr>
        <w:pStyle w:val="ListParagraph"/>
        <w:numPr>
          <w:ilvl w:val="0"/>
          <w:numId w:val="35"/>
        </w:numPr>
        <w:tabs>
          <w:tab w:pos="821" w:val="left" w:leader="none"/>
        </w:tabs>
        <w:spacing w:line="276" w:lineRule="auto" w:before="0" w:after="0"/>
        <w:ind w:left="820" w:right="114" w:hanging="360"/>
        <w:jc w:val="both"/>
        <w:rPr>
          <w:sz w:val="22"/>
        </w:rPr>
      </w:pPr>
      <w:r>
        <w:rPr>
          <w:sz w:val="22"/>
        </w:rPr>
        <w:t>Η επιχείρηση έχει την - κατά περίπτωση - απαιτούμενη εν ισχύ άδεια λειτουργία ή την υποβληθείσα στον αρμόδιο φορέα αίτηση έκδοσης ή ανανέωσης αυτής για τη/ις δραστηριότητα/ες στην/ις οποία/ες</w:t>
      </w:r>
      <w:r>
        <w:rPr>
          <w:spacing w:val="-9"/>
          <w:sz w:val="22"/>
        </w:rPr>
        <w:t> </w:t>
      </w:r>
      <w:r>
        <w:rPr>
          <w:sz w:val="22"/>
        </w:rPr>
        <w:t>δραστηριοποιείται.</w:t>
      </w:r>
    </w:p>
    <w:p>
      <w:pPr>
        <w:pStyle w:val="ListParagraph"/>
        <w:numPr>
          <w:ilvl w:val="0"/>
          <w:numId w:val="35"/>
        </w:numPr>
        <w:tabs>
          <w:tab w:pos="821" w:val="left" w:leader="none"/>
        </w:tabs>
        <w:spacing w:line="276" w:lineRule="auto" w:before="0" w:after="0"/>
        <w:ind w:left="820" w:right="120" w:hanging="360"/>
        <w:jc w:val="both"/>
        <w:rPr>
          <w:sz w:val="22"/>
        </w:rPr>
      </w:pPr>
      <w:r>
        <w:rPr>
          <w:sz w:val="22"/>
        </w:rPr>
        <w:t>Η επιχείρηση υποβάλλει μόνο μία πρόταση στην Πρόσκληση, (ένα και μοναδικό επενδυτικό σχέδιο ανά Α.Φ.Μ.).</w:t>
      </w:r>
    </w:p>
    <w:p>
      <w:pPr>
        <w:spacing w:after="0" w:line="276" w:lineRule="auto"/>
        <w:jc w:val="both"/>
        <w:rPr>
          <w:sz w:val="22"/>
        </w:rPr>
        <w:sectPr>
          <w:pgSz w:w="11910" w:h="16840"/>
          <w:pgMar w:header="748" w:footer="734" w:top="1420" w:bottom="920" w:left="980" w:right="960"/>
        </w:sectPr>
      </w:pPr>
    </w:p>
    <w:p>
      <w:pPr>
        <w:pStyle w:val="BodyText"/>
        <w:spacing w:before="7"/>
        <w:rPr>
          <w:sz w:val="17"/>
        </w:rPr>
      </w:pPr>
    </w:p>
    <w:p>
      <w:pPr>
        <w:pStyle w:val="ListParagraph"/>
        <w:numPr>
          <w:ilvl w:val="0"/>
          <w:numId w:val="35"/>
        </w:numPr>
        <w:tabs>
          <w:tab w:pos="821" w:val="left" w:leader="none"/>
        </w:tabs>
        <w:spacing w:line="276" w:lineRule="auto" w:before="57" w:after="0"/>
        <w:ind w:left="820" w:right="121" w:hanging="360"/>
        <w:jc w:val="both"/>
        <w:rPr>
          <w:sz w:val="22"/>
        </w:rPr>
      </w:pPr>
      <w:r>
        <w:rPr>
          <w:sz w:val="22"/>
        </w:rPr>
        <w:t>Το συγκεκριμένο επενδυτικό σχέδιο ή μέρος αυτού καθώς και οι δαπάνες που περιλαμβάνει δεν έχουν χρηματοδοτηθεί, ενταχθεί και δεν θα υποβληθούν προς έγκριση χρηματοδότησης σε άλλο πρόγραμμα που χρηματοδοτείται από εθνικούς ή κοινοτικούς</w:t>
      </w:r>
      <w:r>
        <w:rPr>
          <w:spacing w:val="-19"/>
          <w:sz w:val="22"/>
        </w:rPr>
        <w:t> </w:t>
      </w:r>
      <w:r>
        <w:rPr>
          <w:sz w:val="22"/>
        </w:rPr>
        <w:t>πόρους.</w:t>
      </w:r>
    </w:p>
    <w:p>
      <w:pPr>
        <w:pStyle w:val="ListParagraph"/>
        <w:numPr>
          <w:ilvl w:val="0"/>
          <w:numId w:val="35"/>
        </w:numPr>
        <w:tabs>
          <w:tab w:pos="821" w:val="left" w:leader="none"/>
        </w:tabs>
        <w:spacing w:line="276" w:lineRule="auto" w:before="0" w:after="0"/>
        <w:ind w:left="820" w:right="118" w:hanging="360"/>
        <w:jc w:val="both"/>
        <w:rPr>
          <w:sz w:val="22"/>
        </w:rPr>
      </w:pPr>
      <w:r>
        <w:rPr>
          <w:sz w:val="22"/>
        </w:rPr>
        <w:t>Να μην εκκρεμεί σε βάρος της επιχείρησης ανάκτηση κρατικής ενίσχυσης έπειτα από απόφαση της Ευρωπαϊκής Επιτροπής με την οποία μια ενίσχυση κηρύσσεται παράνομη και ασυμβίβαστη με την εσωτερική</w:t>
      </w:r>
      <w:r>
        <w:rPr>
          <w:spacing w:val="-1"/>
          <w:sz w:val="22"/>
        </w:rPr>
        <w:t> </w:t>
      </w:r>
      <w:r>
        <w:rPr>
          <w:sz w:val="22"/>
        </w:rPr>
        <w:t>αγορά.</w:t>
      </w:r>
    </w:p>
    <w:p>
      <w:pPr>
        <w:pStyle w:val="ListParagraph"/>
        <w:numPr>
          <w:ilvl w:val="0"/>
          <w:numId w:val="35"/>
        </w:numPr>
        <w:tabs>
          <w:tab w:pos="821" w:val="left" w:leader="none"/>
        </w:tabs>
        <w:spacing w:line="240" w:lineRule="auto" w:before="0" w:after="0"/>
        <w:ind w:left="820" w:right="0" w:hanging="360"/>
        <w:jc w:val="left"/>
        <w:rPr>
          <w:sz w:val="22"/>
        </w:rPr>
      </w:pPr>
      <w:r>
        <w:rPr>
          <w:sz w:val="22"/>
        </w:rPr>
        <w:t>Η επιχείρηση δεν βρίσκεται υπό πτώχευση, εκκαθάριση ή αναγκαστική</w:t>
      </w:r>
      <w:r>
        <w:rPr>
          <w:spacing w:val="-12"/>
          <w:sz w:val="22"/>
        </w:rPr>
        <w:t> </w:t>
      </w:r>
      <w:r>
        <w:rPr>
          <w:sz w:val="22"/>
        </w:rPr>
        <w:t>διαχείριση.</w:t>
      </w:r>
    </w:p>
    <w:p>
      <w:pPr>
        <w:pStyle w:val="ListParagraph"/>
        <w:numPr>
          <w:ilvl w:val="0"/>
          <w:numId w:val="35"/>
        </w:numPr>
        <w:tabs>
          <w:tab w:pos="821" w:val="left" w:leader="none"/>
        </w:tabs>
        <w:spacing w:line="276" w:lineRule="auto" w:before="41" w:after="0"/>
        <w:ind w:left="820" w:right="114" w:hanging="360"/>
        <w:jc w:val="both"/>
        <w:rPr>
          <w:sz w:val="22"/>
        </w:rPr>
      </w:pPr>
      <w:r>
        <w:rPr>
          <w:sz w:val="22"/>
        </w:rPr>
        <w:t>Η επιχείρηση δεν είναι προβληματική σύμφωνα με τα οριζόμενα στο ΠΑΡΑΡΤΗΜΑ VI Ορισμός Προβληματικών  Επιχειρήσεων της παρούσας</w:t>
      </w:r>
      <w:r>
        <w:rPr>
          <w:spacing w:val="-7"/>
          <w:sz w:val="22"/>
        </w:rPr>
        <w:t> </w:t>
      </w:r>
      <w:r>
        <w:rPr>
          <w:sz w:val="22"/>
        </w:rPr>
        <w:t>πρόσκλησης.</w:t>
      </w:r>
    </w:p>
    <w:p>
      <w:pPr>
        <w:pStyle w:val="ListParagraph"/>
        <w:numPr>
          <w:ilvl w:val="0"/>
          <w:numId w:val="35"/>
        </w:numPr>
        <w:tabs>
          <w:tab w:pos="821" w:val="left" w:leader="none"/>
        </w:tabs>
        <w:spacing w:line="276" w:lineRule="auto" w:before="0" w:after="0"/>
        <w:ind w:left="820" w:right="117" w:hanging="360"/>
        <w:jc w:val="both"/>
        <w:rPr>
          <w:sz w:val="22"/>
        </w:rPr>
      </w:pPr>
      <w:r>
        <w:rPr>
          <w:sz w:val="22"/>
        </w:rPr>
        <w:t>Να διαθέτουν ή να δεσμευτούν με υπεύθυνη δήλωση του Νόμιμου Εκπροσώπου ότι μέχρι την ολοκλήρωση της επένδυσης θα μεριμνήσουν για τις κατάλληλες υποδομές και υπηρεσίες γι΄αυτήν, με σκοπό την ελαχιστοποίηση των εμποδίων και τη διευκόλυνση της πρόσβασης σε αυτές, όπου αυτό είναι απαραίτητο και αναγκαίο, ατόμων με αναπηρία, σύμφωνα με τα προβλεπόμενα στο άρθρο 7 του Κανονισμού (ΕΕ) αριθ. 1303/2013 του Ευρωπαϊκού Κοινοβουλίου και του Συμβουλίου, της 17ης Δεκεμβρίου 2013,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1083/2006. Ως υποδομές νοούνται τόσο οι κτιριακές υποδομές, όσο και οι ηλεκτρονικές εφαρμογές που απευθύνονται στο πελατειακό κοινό (π.χ. ιστοσελίδες και λοιπές ηλεκτρονικές εφαρμογές, όπως ηλεκτρονικά σημεία πληροφόρησης ή/και εξυπηρέτησης κ.λ.π.) σύμφωνα με τις οδηγίες του</w:t>
      </w:r>
      <w:r>
        <w:rPr>
          <w:spacing w:val="-10"/>
          <w:sz w:val="22"/>
        </w:rPr>
        <w:t> </w:t>
      </w:r>
      <w:r>
        <w:rPr>
          <w:sz w:val="22"/>
        </w:rPr>
        <w:t>ΕΣΑμεΑ.</w:t>
      </w:r>
    </w:p>
    <w:p>
      <w:pPr>
        <w:pStyle w:val="ListParagraph"/>
        <w:numPr>
          <w:ilvl w:val="0"/>
          <w:numId w:val="35"/>
        </w:numPr>
        <w:tabs>
          <w:tab w:pos="821" w:val="left" w:leader="none"/>
        </w:tabs>
        <w:spacing w:line="276" w:lineRule="auto" w:before="0" w:after="0"/>
        <w:ind w:left="820" w:right="116" w:hanging="360"/>
        <w:jc w:val="both"/>
        <w:rPr>
          <w:sz w:val="22"/>
        </w:rPr>
      </w:pPr>
      <w:r>
        <w:rPr>
          <w:sz w:val="22"/>
        </w:rPr>
        <w:t>Η επιχείρηση δεν εντάσσεται σε ήδη οργανωμένο ομοιόμορφο δίκτυο διανομής προϊόντων ή παροχής υπηρεσιών η οποία εκμεταλλεύεται κατόπιν σχετικών συμβάσεων άδειες εκμετάλλευσης δικαιωμάτων διανοητικής ιδιοκτησίας, που αφορούν συνήθως εμπορικά σήματα ή διακριτικούς τίτλους και τεχνογνωσία για την χρήση και τη διανομή αγαθών ή υπηρεσιών (π.χ. franchising, shop in shop, δίκτυο</w:t>
      </w:r>
      <w:r>
        <w:rPr>
          <w:spacing w:val="-5"/>
          <w:sz w:val="22"/>
        </w:rPr>
        <w:t> </w:t>
      </w:r>
      <w:r>
        <w:rPr>
          <w:sz w:val="22"/>
        </w:rPr>
        <w:t>πρακτόρευσης).</w:t>
      </w:r>
    </w:p>
    <w:p>
      <w:pPr>
        <w:pStyle w:val="ListParagraph"/>
        <w:numPr>
          <w:ilvl w:val="0"/>
          <w:numId w:val="35"/>
        </w:numPr>
        <w:tabs>
          <w:tab w:pos="821" w:val="left" w:leader="none"/>
        </w:tabs>
        <w:spacing w:line="276" w:lineRule="auto" w:before="0" w:after="0"/>
        <w:ind w:left="820" w:right="120" w:hanging="360"/>
        <w:jc w:val="both"/>
        <w:rPr>
          <w:sz w:val="22"/>
        </w:rPr>
      </w:pPr>
      <w:r>
        <w:rPr>
          <w:sz w:val="22"/>
        </w:rPr>
        <w:t>Η περίοδος υλοποίησης του επενδυτικού σχεδίου είναι εντός της περιόδου επιλεξιμότητας της Προγραμματικής Περιόδου και της</w:t>
      </w:r>
      <w:r>
        <w:rPr>
          <w:spacing w:val="-8"/>
          <w:sz w:val="22"/>
        </w:rPr>
        <w:t> </w:t>
      </w:r>
      <w:r>
        <w:rPr>
          <w:sz w:val="22"/>
        </w:rPr>
        <w:t>Πρόσκλησης.</w:t>
      </w:r>
    </w:p>
    <w:p>
      <w:pPr>
        <w:pStyle w:val="ListParagraph"/>
        <w:numPr>
          <w:ilvl w:val="0"/>
          <w:numId w:val="35"/>
        </w:numPr>
        <w:tabs>
          <w:tab w:pos="821" w:val="left" w:leader="none"/>
        </w:tabs>
        <w:spacing w:line="276" w:lineRule="auto" w:before="0" w:after="0"/>
        <w:ind w:left="820" w:right="117" w:hanging="360"/>
        <w:jc w:val="both"/>
        <w:rPr>
          <w:sz w:val="22"/>
        </w:rPr>
      </w:pPr>
      <w:r>
        <w:rPr>
          <w:sz w:val="22"/>
        </w:rPr>
        <w:t>Η πρόταση είναι εναρμονισμένη και υπακούει στους περιορισμούς σχετικά με τη σώρευση ενισχύσεων που προβλέπουν οι Κανονισμοί που την διέπουν. Η ενίσχυση που χορηγείται δυνάμει της παρούσας πρόσκλησης με τον Καν. (Ε.Ε.) 1407/2013 και πληροί όλες τις προϋποθέσεις του Κανονισμού</w:t>
      </w:r>
      <w:r>
        <w:rPr>
          <w:spacing w:val="-2"/>
          <w:sz w:val="22"/>
        </w:rPr>
        <w:t> </w:t>
      </w:r>
      <w:r>
        <w:rPr>
          <w:sz w:val="22"/>
        </w:rPr>
        <w:t>αυτού.</w:t>
      </w:r>
    </w:p>
    <w:p>
      <w:pPr>
        <w:pStyle w:val="ListParagraph"/>
        <w:numPr>
          <w:ilvl w:val="0"/>
          <w:numId w:val="35"/>
        </w:numPr>
        <w:tabs>
          <w:tab w:pos="821" w:val="left" w:leader="none"/>
        </w:tabs>
        <w:spacing w:line="276" w:lineRule="auto" w:before="0" w:after="0"/>
        <w:ind w:left="820" w:right="118" w:hanging="360"/>
        <w:jc w:val="both"/>
        <w:rPr>
          <w:sz w:val="22"/>
        </w:rPr>
      </w:pPr>
      <w:r>
        <w:rPr>
          <w:sz w:val="22"/>
        </w:rPr>
        <w:t>Το επενδυτικό σχέδιο (φυσικό και οικονομικό αντικείμενο) να μην έχει ολοκληρωθεί, πριν την ημερομηνία υποβολής της</w:t>
      </w:r>
      <w:r>
        <w:rPr>
          <w:spacing w:val="-8"/>
          <w:sz w:val="22"/>
        </w:rPr>
        <w:t> </w:t>
      </w:r>
      <w:r>
        <w:rPr>
          <w:sz w:val="22"/>
        </w:rPr>
        <w:t>πρότασης.</w:t>
      </w:r>
    </w:p>
    <w:p>
      <w:pPr>
        <w:pStyle w:val="ListParagraph"/>
        <w:numPr>
          <w:ilvl w:val="0"/>
          <w:numId w:val="35"/>
        </w:numPr>
        <w:tabs>
          <w:tab w:pos="821" w:val="left" w:leader="none"/>
        </w:tabs>
        <w:spacing w:line="273" w:lineRule="auto" w:before="0" w:after="0"/>
        <w:ind w:left="820" w:right="119" w:hanging="360"/>
        <w:jc w:val="both"/>
        <w:rPr>
          <w:sz w:val="22"/>
        </w:rPr>
      </w:pPr>
      <w:r>
        <w:rPr>
          <w:sz w:val="22"/>
        </w:rPr>
        <w:t>Δεν συντρέχουν λόγοι αποκλεισμού της επιχείρησης του άρθρου 40 του Ν. 4488/2017(Α137/13.09.2017), όπως</w:t>
      </w:r>
      <w:r>
        <w:rPr>
          <w:spacing w:val="-16"/>
          <w:sz w:val="22"/>
        </w:rPr>
        <w:t> </w:t>
      </w:r>
      <w:r>
        <w:rPr>
          <w:sz w:val="22"/>
        </w:rPr>
        <w:t>ισχύει.</w:t>
      </w:r>
    </w:p>
    <w:p>
      <w:pPr>
        <w:pStyle w:val="BodyText"/>
        <w:spacing w:before="7"/>
        <w:rPr>
          <w:sz w:val="25"/>
        </w:rPr>
      </w:pPr>
    </w:p>
    <w:p>
      <w:pPr>
        <w:pStyle w:val="Heading4"/>
        <w:spacing w:line="552" w:lineRule="auto" w:before="1"/>
        <w:ind w:right="2795"/>
        <w:jc w:val="left"/>
      </w:pPr>
      <w:r>
        <w:rPr/>
        <w:t>Ο έλεγχος των σταδίων Α και Β απαιτεί την εκπλήρωση όλων των κριτηρίων. ΣΤΑΔΙΟ Γ: ΑΞΙΟΛΟΓΗΣΗ ΤΩΝ ΠΡΟΤΑΣΕΩΝ ΑΝΑ ΟΜΑΔΑ ΚΡΙΤΗΡΙΩΝ</w:t>
      </w:r>
    </w:p>
    <w:p>
      <w:pPr>
        <w:spacing w:line="268" w:lineRule="exact" w:before="0"/>
        <w:ind w:left="100" w:right="0" w:firstLine="0"/>
        <w:jc w:val="left"/>
        <w:rPr>
          <w:b/>
          <w:sz w:val="22"/>
        </w:rPr>
      </w:pPr>
      <w:r>
        <w:rPr>
          <w:b/>
          <w:sz w:val="22"/>
        </w:rPr>
        <w:t>1</w:t>
      </w:r>
      <w:r>
        <w:rPr>
          <w:b/>
          <w:position w:val="10"/>
          <w:sz w:val="14"/>
        </w:rPr>
        <w:t>η  </w:t>
      </w:r>
      <w:r>
        <w:rPr>
          <w:b/>
          <w:sz w:val="22"/>
        </w:rPr>
        <w:t>ΟΜΑΔΑ ΚΡΙΤΗΡΙΩΝ – Ποιότητα και πληρότητα της πρότασης</w:t>
      </w:r>
    </w:p>
    <w:p>
      <w:pPr>
        <w:pStyle w:val="BodyText"/>
        <w:spacing w:before="41"/>
        <w:ind w:left="100"/>
      </w:pPr>
      <w:r>
        <w:rPr/>
        <w:t>(συντελεστής στάθμισης </w:t>
      </w:r>
      <w:r>
        <w:rPr>
          <w:b/>
        </w:rPr>
        <w:t>30%</w:t>
      </w:r>
      <w:r>
        <w:rPr/>
        <w:t>)</w:t>
      </w:r>
    </w:p>
    <w:p>
      <w:pPr>
        <w:pStyle w:val="ListParagraph"/>
        <w:numPr>
          <w:ilvl w:val="1"/>
          <w:numId w:val="36"/>
        </w:numPr>
        <w:tabs>
          <w:tab w:pos="666" w:val="left" w:leader="none"/>
          <w:tab w:pos="667" w:val="left" w:leader="none"/>
        </w:tabs>
        <w:spacing w:line="240" w:lineRule="auto" w:before="41" w:after="0"/>
        <w:ind w:left="666" w:right="0" w:hanging="566"/>
        <w:jc w:val="left"/>
        <w:rPr>
          <w:sz w:val="22"/>
        </w:rPr>
      </w:pPr>
      <w:r>
        <w:rPr>
          <w:sz w:val="22"/>
        </w:rPr>
        <w:t>Σαφήνεια του περιεχομένου της</w:t>
      </w:r>
      <w:r>
        <w:rPr>
          <w:spacing w:val="-11"/>
          <w:sz w:val="22"/>
        </w:rPr>
        <w:t> </w:t>
      </w:r>
      <w:r>
        <w:rPr>
          <w:sz w:val="22"/>
        </w:rPr>
        <w:t>πρότασης.</w:t>
      </w:r>
    </w:p>
    <w:p>
      <w:pPr>
        <w:pStyle w:val="ListParagraph"/>
        <w:numPr>
          <w:ilvl w:val="1"/>
          <w:numId w:val="36"/>
        </w:numPr>
        <w:tabs>
          <w:tab w:pos="666" w:val="left" w:leader="none"/>
          <w:tab w:pos="667" w:val="left" w:leader="none"/>
        </w:tabs>
        <w:spacing w:line="240" w:lineRule="auto" w:before="38" w:after="0"/>
        <w:ind w:left="666" w:right="0" w:hanging="566"/>
        <w:jc w:val="left"/>
        <w:rPr>
          <w:sz w:val="22"/>
        </w:rPr>
      </w:pPr>
      <w:r>
        <w:rPr>
          <w:sz w:val="22"/>
        </w:rPr>
        <w:t>Αναγκαιότητα και πληρότητα των παρεμβάσεων σχετικά με τις ανάγκες της</w:t>
      </w:r>
      <w:r>
        <w:rPr>
          <w:spacing w:val="-23"/>
          <w:sz w:val="22"/>
        </w:rPr>
        <w:t> </w:t>
      </w:r>
      <w:r>
        <w:rPr>
          <w:sz w:val="22"/>
        </w:rPr>
        <w:t>επιχείρησης.</w:t>
      </w:r>
    </w:p>
    <w:p>
      <w:pPr>
        <w:spacing w:after="0" w:line="240" w:lineRule="auto"/>
        <w:jc w:val="left"/>
        <w:rPr>
          <w:sz w:val="22"/>
        </w:rPr>
        <w:sectPr>
          <w:pgSz w:w="11910" w:h="16840"/>
          <w:pgMar w:header="748" w:footer="734" w:top="1420" w:bottom="920" w:left="980" w:right="960"/>
        </w:sectPr>
      </w:pPr>
    </w:p>
    <w:p>
      <w:pPr>
        <w:pStyle w:val="BodyText"/>
        <w:spacing w:before="7"/>
        <w:rPr>
          <w:sz w:val="17"/>
        </w:rPr>
      </w:pPr>
    </w:p>
    <w:p>
      <w:pPr>
        <w:pStyle w:val="ListParagraph"/>
        <w:numPr>
          <w:ilvl w:val="1"/>
          <w:numId w:val="36"/>
        </w:numPr>
        <w:tabs>
          <w:tab w:pos="667" w:val="left" w:leader="none"/>
        </w:tabs>
        <w:spacing w:line="240" w:lineRule="auto" w:before="57" w:after="0"/>
        <w:ind w:left="666" w:right="0" w:hanging="566"/>
        <w:jc w:val="both"/>
        <w:rPr>
          <w:sz w:val="22"/>
        </w:rPr>
      </w:pPr>
      <w:r>
        <w:rPr>
          <w:sz w:val="22"/>
        </w:rPr>
        <w:t>Έλεγχος του εύλογου του κόστους της</w:t>
      </w:r>
      <w:r>
        <w:rPr>
          <w:spacing w:val="-12"/>
          <w:sz w:val="22"/>
        </w:rPr>
        <w:t> </w:t>
      </w:r>
      <w:r>
        <w:rPr>
          <w:sz w:val="22"/>
        </w:rPr>
        <w:t>επένδυσης.</w:t>
      </w:r>
    </w:p>
    <w:p>
      <w:pPr>
        <w:spacing w:line="276" w:lineRule="auto" w:before="163"/>
        <w:ind w:left="458" w:right="119" w:firstLine="0"/>
        <w:jc w:val="both"/>
        <w:rPr>
          <w:i/>
          <w:sz w:val="20"/>
        </w:rPr>
      </w:pPr>
      <w:r>
        <w:rPr>
          <w:i/>
          <w:sz w:val="20"/>
        </w:rPr>
        <w:t>Ειδικά στο κριτήριο 1.3 που αφορά στο εύλογο του κόστους, οι Αξιολογητές δύναται να προτείνουν τεκμηριωμένες </w:t>
      </w:r>
      <w:r>
        <w:rPr>
          <w:i/>
          <w:sz w:val="20"/>
        </w:rPr>
        <w:t>τροποποιήσεις στον προϋπολογισμό του έργου.</w:t>
      </w:r>
    </w:p>
    <w:p>
      <w:pPr>
        <w:pStyle w:val="BodyText"/>
        <w:rPr>
          <w:i/>
          <w:sz w:val="23"/>
        </w:rPr>
      </w:pPr>
    </w:p>
    <w:p>
      <w:pPr>
        <w:pStyle w:val="Heading4"/>
      </w:pPr>
      <w:r>
        <w:rPr/>
        <w:t>2</w:t>
      </w:r>
      <w:r>
        <w:rPr>
          <w:position w:val="10"/>
          <w:sz w:val="14"/>
        </w:rPr>
        <w:t>η  </w:t>
      </w:r>
      <w:r>
        <w:rPr/>
        <w:t>ΟΜΑΔΑ ΚΡΙΤΗΡΙΩΝ - Αξιοπιστία υλοποίησης του έργου</w:t>
      </w:r>
    </w:p>
    <w:p>
      <w:pPr>
        <w:pStyle w:val="BodyText"/>
        <w:spacing w:before="41"/>
        <w:ind w:left="100"/>
        <w:jc w:val="both"/>
      </w:pPr>
      <w:r>
        <w:rPr/>
        <w:t>(συντελεστής στάθμισης </w:t>
      </w:r>
      <w:r>
        <w:rPr>
          <w:b/>
        </w:rPr>
        <w:t>40%</w:t>
      </w:r>
      <w:r>
        <w:rPr/>
        <w:t>)</w:t>
      </w:r>
    </w:p>
    <w:p>
      <w:pPr>
        <w:pStyle w:val="ListParagraph"/>
        <w:numPr>
          <w:ilvl w:val="1"/>
          <w:numId w:val="37"/>
        </w:numPr>
        <w:tabs>
          <w:tab w:pos="667" w:val="left" w:leader="none"/>
        </w:tabs>
        <w:spacing w:line="240" w:lineRule="auto" w:before="161" w:after="0"/>
        <w:ind w:left="666" w:right="0" w:hanging="566"/>
        <w:jc w:val="both"/>
        <w:rPr>
          <w:sz w:val="22"/>
        </w:rPr>
      </w:pPr>
      <w:r>
        <w:rPr>
          <w:sz w:val="22"/>
        </w:rPr>
        <w:t>Κερδοφορία της</w:t>
      </w:r>
      <w:r>
        <w:rPr>
          <w:spacing w:val="-7"/>
          <w:sz w:val="22"/>
        </w:rPr>
        <w:t> </w:t>
      </w:r>
      <w:r>
        <w:rPr>
          <w:sz w:val="22"/>
        </w:rPr>
        <w:t>επιχείρησης.</w:t>
      </w:r>
    </w:p>
    <w:p>
      <w:pPr>
        <w:pStyle w:val="ListParagraph"/>
        <w:numPr>
          <w:ilvl w:val="1"/>
          <w:numId w:val="37"/>
        </w:numPr>
        <w:tabs>
          <w:tab w:pos="667" w:val="left" w:leader="none"/>
        </w:tabs>
        <w:spacing w:line="240" w:lineRule="auto" w:before="38" w:after="0"/>
        <w:ind w:left="666" w:right="0" w:hanging="566"/>
        <w:jc w:val="both"/>
        <w:rPr>
          <w:sz w:val="22"/>
        </w:rPr>
      </w:pPr>
      <w:r>
        <w:rPr>
          <w:sz w:val="22"/>
        </w:rPr>
        <w:t>Αριθμός</w:t>
      </w:r>
      <w:r>
        <w:rPr>
          <w:spacing w:val="-6"/>
          <w:sz w:val="22"/>
        </w:rPr>
        <w:t> </w:t>
      </w:r>
      <w:r>
        <w:rPr>
          <w:sz w:val="22"/>
        </w:rPr>
        <w:t>Απασχολουμένων.</w:t>
      </w:r>
    </w:p>
    <w:p>
      <w:pPr>
        <w:pStyle w:val="ListParagraph"/>
        <w:numPr>
          <w:ilvl w:val="1"/>
          <w:numId w:val="37"/>
        </w:numPr>
        <w:tabs>
          <w:tab w:pos="667" w:val="left" w:leader="none"/>
        </w:tabs>
        <w:spacing w:line="240" w:lineRule="auto" w:before="41" w:after="0"/>
        <w:ind w:left="666" w:right="0" w:hanging="566"/>
        <w:jc w:val="both"/>
        <w:rPr>
          <w:sz w:val="22"/>
        </w:rPr>
      </w:pPr>
      <w:r>
        <w:rPr>
          <w:sz w:val="22"/>
        </w:rPr>
        <w:t>Οργανωτική διάρθρωση του</w:t>
      </w:r>
      <w:r>
        <w:rPr>
          <w:spacing w:val="-5"/>
          <w:sz w:val="22"/>
        </w:rPr>
        <w:t> </w:t>
      </w:r>
      <w:r>
        <w:rPr>
          <w:sz w:val="22"/>
        </w:rPr>
        <w:t>δικαιούχου.</w:t>
      </w:r>
    </w:p>
    <w:p>
      <w:pPr>
        <w:spacing w:line="276" w:lineRule="auto" w:before="43"/>
        <w:ind w:left="458" w:right="120" w:firstLine="0"/>
        <w:jc w:val="both"/>
        <w:rPr>
          <w:i/>
          <w:sz w:val="20"/>
        </w:rPr>
      </w:pPr>
      <w:r>
        <w:rPr>
          <w:i/>
          <w:sz w:val="20"/>
        </w:rPr>
        <w:t>Σημειώνεται ειδικά για το Κριτήριο αυτό ότι το σημείο «Άλλο» αναφέρεται κατά προτεραιότητα σε πατέντα που </w:t>
      </w:r>
      <w:r>
        <w:rPr>
          <w:i/>
          <w:sz w:val="20"/>
        </w:rPr>
        <w:t>εφαρμόζεται ή βράβευση της επιχείρησης ή αποδεδειγμένη/αναγνωρισμένη καινοτομία που εφαρμόζεται, εφόσον κρίνει ο προτείνων ότι συνεισφέρει στην οργανωτική διάρθρωσή του και λειτουργία, συνεισφέροντας στην Αξιοπιστία υλοποίησης της Επένδυσης</w:t>
      </w:r>
    </w:p>
    <w:p>
      <w:pPr>
        <w:pStyle w:val="Heading4"/>
        <w:spacing w:line="266" w:lineRule="exact"/>
      </w:pPr>
      <w:r>
        <w:rPr/>
        <w:t>3</w:t>
      </w:r>
      <w:r>
        <w:rPr>
          <w:position w:val="10"/>
          <w:sz w:val="14"/>
        </w:rPr>
        <w:t>η </w:t>
      </w:r>
      <w:r>
        <w:rPr/>
        <w:t>ΟΜΑΔΑ ΚΡΙΤΗΡΙΩΝ </w:t>
      </w:r>
      <w:r>
        <w:rPr>
          <w:b w:val="0"/>
        </w:rPr>
        <w:t>–</w:t>
      </w:r>
      <w:r>
        <w:rPr/>
        <w:t>Επιπτώσεις της επένδυσης στην επιχείρηση και στην περιφερειακή οικονομία</w:t>
      </w:r>
    </w:p>
    <w:p>
      <w:pPr>
        <w:pStyle w:val="BodyText"/>
        <w:spacing w:before="38"/>
        <w:ind w:left="100"/>
        <w:jc w:val="both"/>
      </w:pPr>
      <w:r>
        <w:rPr/>
        <w:t>(συντελεστής στάθμισης </w:t>
      </w:r>
      <w:r>
        <w:rPr>
          <w:b/>
        </w:rPr>
        <w:t>20%</w:t>
      </w:r>
      <w:r>
        <w:rPr/>
        <w:t>)</w:t>
      </w:r>
    </w:p>
    <w:p>
      <w:pPr>
        <w:pStyle w:val="ListParagraph"/>
        <w:numPr>
          <w:ilvl w:val="1"/>
          <w:numId w:val="38"/>
        </w:numPr>
        <w:tabs>
          <w:tab w:pos="461" w:val="left" w:leader="none"/>
        </w:tabs>
        <w:spacing w:line="240" w:lineRule="auto" w:before="161" w:after="0"/>
        <w:ind w:left="460" w:right="0" w:hanging="360"/>
        <w:jc w:val="both"/>
        <w:rPr>
          <w:sz w:val="22"/>
        </w:rPr>
      </w:pPr>
      <w:r>
        <w:rPr>
          <w:sz w:val="22"/>
        </w:rPr>
        <w:t>Επιπτώσεις της επένδυσης στην επιχείρηση και στην περιφερειακή</w:t>
      </w:r>
      <w:r>
        <w:rPr>
          <w:spacing w:val="-12"/>
          <w:sz w:val="22"/>
        </w:rPr>
        <w:t> </w:t>
      </w:r>
      <w:r>
        <w:rPr>
          <w:sz w:val="22"/>
        </w:rPr>
        <w:t>οικονομία.</w:t>
      </w:r>
    </w:p>
    <w:p>
      <w:pPr>
        <w:spacing w:line="276" w:lineRule="auto" w:before="43"/>
        <w:ind w:left="458" w:right="114" w:firstLine="0"/>
        <w:jc w:val="both"/>
        <w:rPr>
          <w:i/>
          <w:sz w:val="20"/>
        </w:rPr>
      </w:pPr>
      <w:r>
        <w:rPr>
          <w:i/>
          <w:sz w:val="20"/>
        </w:rPr>
        <w:t>Σημειώνεται για το Κριτήριο αυτό, ότι περιλαμβάνει δύο (2) μέρη : α) τις επιπτώσεις στην ίδια την επιχείρηση και  </w:t>
      </w:r>
      <w:r>
        <w:rPr>
          <w:i/>
          <w:sz w:val="20"/>
        </w:rPr>
        <w:t>β) τις επιπτώσεις στην περιφερειακή οικονομία. Για την περίπτωση (α) λαμβάνεται υπόψη κάθε παράγοντας που επιδρά στην ίδια την επιχείρηση, με επικέντρωση στην εισαγωγή καινοτομιών τεχνολογικών ή και μη  τεχνολογικών, αποτελεσμάτων έρευνας, στη βελτίωση της παραγωγικής διαδικασίας, στη βελτίωση ή ανάπτυξη νέων προϊόντων, ανταγωνιστικών προϊόντων, στην προβλεπόμενη (αύξηση) κύκλου εργασιών ή και κερδών. Για την περίπτωση (β) λαμβάνεται υπόψη η στήριξη της ΑΠΑ κλάδων υψηλής προστιθέμενης αξίας για την  Περιφέρεια, οι επιπτώσεις από την Επένδυση σε άλλες οικονομικές δραστηριότητες στην Περιφέρεια και η πολλαπλασιαστικότητα / μόχλευση που μπορεί αυτή να επιφέρει σε επίπεδο Περιφέρειας, η μείωση του κόστους στις αλυσίδες αξίας και εφοδιασμού των τελικών προϊόντων στα οποία συνεισφέρει η Επένδυση, η ενσωμάτωση αποτελεσμάτων έρευνας στη λειτουργία της επιχείρησης που προσδίδουν σε περιφερειακό επίπεδο, η εξωστρέφεια</w:t>
      </w:r>
      <w:r>
        <w:rPr>
          <w:i/>
          <w:spacing w:val="-6"/>
          <w:sz w:val="20"/>
        </w:rPr>
        <w:t> </w:t>
      </w:r>
      <w:r>
        <w:rPr>
          <w:i/>
          <w:sz w:val="20"/>
        </w:rPr>
        <w:t>κ.α.</w:t>
      </w:r>
    </w:p>
    <w:p>
      <w:pPr>
        <w:pStyle w:val="ListParagraph"/>
        <w:numPr>
          <w:ilvl w:val="1"/>
          <w:numId w:val="38"/>
        </w:numPr>
        <w:tabs>
          <w:tab w:pos="461" w:val="left" w:leader="none"/>
        </w:tabs>
        <w:spacing w:line="266" w:lineRule="exact" w:before="0" w:after="0"/>
        <w:ind w:left="460" w:right="0" w:hanging="360"/>
        <w:jc w:val="both"/>
        <w:rPr>
          <w:sz w:val="22"/>
        </w:rPr>
      </w:pPr>
      <w:r>
        <w:rPr>
          <w:sz w:val="22"/>
        </w:rPr>
        <w:t>Δημιουργία νέων θέσεων</w:t>
      </w:r>
      <w:r>
        <w:rPr>
          <w:spacing w:val="-1"/>
          <w:sz w:val="22"/>
        </w:rPr>
        <w:t> </w:t>
      </w:r>
      <w:r>
        <w:rPr>
          <w:sz w:val="22"/>
        </w:rPr>
        <w:t>εργασίας.</w:t>
      </w:r>
    </w:p>
    <w:p>
      <w:pPr>
        <w:spacing w:line="276" w:lineRule="auto" w:before="41"/>
        <w:ind w:left="460" w:right="125" w:firstLine="0"/>
        <w:jc w:val="both"/>
        <w:rPr>
          <w:i/>
          <w:sz w:val="20"/>
        </w:rPr>
      </w:pPr>
      <w:r>
        <w:rPr>
          <w:i/>
          <w:sz w:val="20"/>
        </w:rPr>
        <w:t>Σημειώνεται για το Κριτήριο αυτό, ότι προσμετρώνται αποκλειστικά οι ΕΜΕ που περιλαμβάνονται ως μέρος του </w:t>
      </w:r>
      <w:r>
        <w:rPr>
          <w:i/>
          <w:sz w:val="20"/>
        </w:rPr>
        <w:t>Συνολικού Προϋπολογισμού του Επενδυτικού Σχεδίου.</w:t>
      </w:r>
    </w:p>
    <w:p>
      <w:pPr>
        <w:pStyle w:val="BodyText"/>
        <w:spacing w:before="2"/>
        <w:rPr>
          <w:i/>
          <w:sz w:val="23"/>
        </w:rPr>
      </w:pPr>
    </w:p>
    <w:p>
      <w:pPr>
        <w:spacing w:line="278" w:lineRule="auto" w:before="1"/>
        <w:ind w:left="100" w:right="0" w:firstLine="0"/>
        <w:jc w:val="left"/>
        <w:rPr>
          <w:sz w:val="22"/>
        </w:rPr>
      </w:pPr>
      <w:r>
        <w:rPr>
          <w:b/>
          <w:sz w:val="22"/>
        </w:rPr>
        <w:t>4</w:t>
      </w:r>
      <w:r>
        <w:rPr>
          <w:b/>
          <w:position w:val="10"/>
          <w:sz w:val="14"/>
        </w:rPr>
        <w:t>η </w:t>
      </w:r>
      <w:r>
        <w:rPr>
          <w:b/>
          <w:sz w:val="22"/>
        </w:rPr>
        <w:t>ΟΜΑΔΑ ΚΡΙΤΗΡΙΩΝ-Το Επενδυτικό Σχέδιο εμπίπτει στους τομείς δραστηριότητας της RIS</w:t>
      </w:r>
      <w:r>
        <w:rPr>
          <w:b/>
          <w:position w:val="10"/>
          <w:sz w:val="14"/>
        </w:rPr>
        <w:t>3 </w:t>
      </w:r>
      <w:r>
        <w:rPr>
          <w:b/>
          <w:sz w:val="22"/>
        </w:rPr>
        <w:t>Περιφέρειας Θεσσαλίας </w:t>
      </w:r>
      <w:r>
        <w:rPr>
          <w:sz w:val="22"/>
        </w:rPr>
        <w:t>(συντελεστής στάθμισης </w:t>
      </w:r>
      <w:r>
        <w:rPr>
          <w:b/>
          <w:sz w:val="22"/>
        </w:rPr>
        <w:t>10%</w:t>
      </w:r>
      <w:r>
        <w:rPr>
          <w:sz w:val="22"/>
        </w:rPr>
        <w:t>)</w:t>
      </w:r>
    </w:p>
    <w:p>
      <w:pPr>
        <w:pStyle w:val="BodyText"/>
        <w:spacing w:line="264" w:lineRule="exact"/>
        <w:ind w:left="100"/>
        <w:jc w:val="both"/>
      </w:pPr>
      <w:r>
        <w:rPr/>
        <w:t>ΝΑΙ: τίθενται 20 βαθμοί / ΌΧΙ: τίθενται 0 βαθμοί.</w:t>
      </w:r>
    </w:p>
    <w:p>
      <w:pPr>
        <w:pStyle w:val="BodyText"/>
        <w:spacing w:before="8"/>
        <w:rPr>
          <w:sz w:val="28"/>
        </w:rPr>
      </w:pPr>
    </w:p>
    <w:p>
      <w:pPr>
        <w:pStyle w:val="BodyText"/>
        <w:spacing w:line="268" w:lineRule="auto" w:before="1"/>
        <w:ind w:left="100" w:right="113"/>
        <w:jc w:val="both"/>
      </w:pPr>
      <w:r>
        <w:rPr/>
        <w:t>Να επισημανθεί ότι η παρούσα πρόσκληση στοχεύει στις επιχειρήσεις που δραστηριοποιούνται στους στρατηγικούς τομείς προτεραιότητας της Περιφερειακής </w:t>
      </w:r>
      <w:r>
        <w:rPr>
          <w:b/>
        </w:rPr>
        <w:t>RIS</w:t>
      </w:r>
      <w:r>
        <w:rPr>
          <w:b/>
          <w:position w:val="10"/>
          <w:sz w:val="14"/>
        </w:rPr>
        <w:t>3 </w:t>
      </w:r>
      <w:r>
        <w:rPr/>
        <w:t>(ήτοι: αγροδιατροφικό σύμπλεγμα, ενέργεια, περιβάλλον, δημιουργικός τουρισμός, αποκατάσταση και προηγμένες υπηρεσίες υγείας, μέταλλα και δομικά υλικά). Για το σκοπό αυτό, πριμοδοτούνται βαθμολογικά κατά την αξιολόγηση της 4</w:t>
      </w:r>
      <w:r>
        <w:rPr>
          <w:position w:val="10"/>
          <w:sz w:val="14"/>
        </w:rPr>
        <w:t>ης </w:t>
      </w:r>
      <w:r>
        <w:rPr/>
        <w:t>Ομάδας Κριτηρίων τα επενδυτικά σχέδια τα οποία αφορούν ή τεκμηριώνουν τη συνεισφορά τους στην αλυσίδα αξίας των ως άνω στρατηγικών τομέων προτεραιότητας της Περιφερειακής RIS3, </w:t>
      </w:r>
      <w:r>
        <w:rPr>
          <w:b/>
        </w:rPr>
        <w:t>σύμφωνα με </w:t>
      </w:r>
      <w:r>
        <w:rPr/>
        <w:t>τη διακριτή κατάταξη των ΚΑΔ στο παράρτημα της παρούσας.</w:t>
      </w:r>
    </w:p>
    <w:p>
      <w:pPr>
        <w:pStyle w:val="BodyText"/>
        <w:spacing w:before="11"/>
        <w:rPr>
          <w:sz w:val="25"/>
        </w:rPr>
      </w:pPr>
    </w:p>
    <w:p>
      <w:pPr>
        <w:pStyle w:val="Heading4"/>
        <w:spacing w:line="276" w:lineRule="auto"/>
        <w:jc w:val="left"/>
      </w:pPr>
      <w:r>
        <w:rPr/>
        <w:t>Αναλυτικά τα κριτήρια και ο τρόπος υπολογισμού της βαθμολογίας της πρότασης αναφέρονται στο ΠΑΡΑΡΤΗΜΑ VII.</w:t>
      </w:r>
    </w:p>
    <w:p>
      <w:pPr>
        <w:spacing w:after="0" w:line="276" w:lineRule="auto"/>
        <w:jc w:val="left"/>
        <w:sectPr>
          <w:pgSz w:w="11910" w:h="16840"/>
          <w:pgMar w:header="748" w:footer="734" w:top="1420" w:bottom="920" w:left="980" w:right="960"/>
        </w:sectPr>
      </w:pPr>
    </w:p>
    <w:p>
      <w:pPr>
        <w:pStyle w:val="BodyText"/>
        <w:rPr>
          <w:b/>
          <w:sz w:val="20"/>
        </w:rPr>
      </w:pPr>
    </w:p>
    <w:p>
      <w:pPr>
        <w:pStyle w:val="BodyText"/>
        <w:rPr>
          <w:b/>
          <w:sz w:val="23"/>
        </w:rPr>
      </w:pPr>
    </w:p>
    <w:p>
      <w:pPr>
        <w:pStyle w:val="BodyText"/>
        <w:spacing w:line="276" w:lineRule="auto" w:before="56"/>
        <w:ind w:left="100" w:right="116"/>
        <w:jc w:val="both"/>
      </w:pPr>
      <w:r>
        <w:rPr/>
        <w:t>Η αξιολόγηση των προτάσεων κατά το στάδιο Γ διενεργείται από τα όργανα αξιολόγησης και γίνεται ανά ομάδα κριτηρίων με βάση τα επί μέρους κριτήρια κάθε ομάδας και με βάση τη βαθμολόγηση που ορίζεται σε κάθε ένα από αυτά. Η βαθμολογία κάθε ομάδας κριτηρίων προκύπτει από το άθροισμα της βαθμολογίας των κριτηρίων της επί τον συντελεστή στάθμισης της ομάδας. Η συνολική βαθμολογία του επενδυτικού σχεδίου προκύπτει από το άθροισμα της σταθμισμένης βαθμολογίας των ομάδων κριτηρίων. Αποδεκτή είναι η πρόταση που έχει ελάχιστη σταθμισμένη βαθμολογία 10. Η βαθμολογία ανά ομάδα κριτηρίων και συνολικά, υπολογίζεται με έως 2 δεκαδικά ψηφία.</w:t>
      </w:r>
    </w:p>
    <w:p>
      <w:pPr>
        <w:pStyle w:val="BodyText"/>
      </w:pPr>
    </w:p>
    <w:p>
      <w:pPr>
        <w:pStyle w:val="BodyText"/>
        <w:spacing w:before="11"/>
      </w:pPr>
    </w:p>
    <w:p>
      <w:pPr>
        <w:pStyle w:val="Heading4"/>
        <w:numPr>
          <w:ilvl w:val="1"/>
          <w:numId w:val="32"/>
        </w:numPr>
        <w:tabs>
          <w:tab w:pos="821" w:val="left" w:leader="none"/>
        </w:tabs>
        <w:spacing w:line="240" w:lineRule="auto" w:before="0" w:after="0"/>
        <w:ind w:left="820" w:right="0" w:hanging="720"/>
        <w:jc w:val="both"/>
      </w:pPr>
      <w:bookmarkStart w:name="_TOC_250028" w:id="28"/>
      <w:r>
        <w:rPr/>
        <w:t>ΔΙΑΔΙΚΑΣΙΑ</w:t>
      </w:r>
      <w:r>
        <w:rPr>
          <w:spacing w:val="-7"/>
        </w:rPr>
        <w:t> </w:t>
      </w:r>
      <w:bookmarkEnd w:id="28"/>
      <w:r>
        <w:rPr/>
        <w:t>ΕΝΣΤΑΣΕΩΝ</w:t>
      </w:r>
    </w:p>
    <w:p>
      <w:pPr>
        <w:pStyle w:val="BodyText"/>
        <w:spacing w:before="120"/>
        <w:ind w:left="100"/>
        <w:jc w:val="both"/>
      </w:pPr>
      <w:r>
        <w:rPr/>
        <w:t>Η ΔΙΑΠΠΘ αναλαμβάνει όλες τις απαιτούμενες ενέργειες υποστήριξης της διαδικασίας.</w:t>
      </w:r>
    </w:p>
    <w:p>
      <w:pPr>
        <w:pStyle w:val="BodyText"/>
        <w:spacing w:line="276" w:lineRule="auto" w:before="161"/>
        <w:ind w:left="100" w:right="113"/>
        <w:jc w:val="both"/>
      </w:pPr>
      <w:r>
        <w:rPr/>
        <w:t>Συστήνεται Επιτροπή Ενστάσεων με απόφαση του Περιφερειάρχη Θεσσαλίας. Η διαδικασία ενστάσεων ακολουθεί το άρθρο 43 παρ. 7 της υπ’ αριθμ. 137675/EΥΘΥ1016/19-12-2018 Υπουργικής Απόφασης (ΦΕΚ 5968/Β/31-12-2018) «Αντικατάσταση της υπ’ αριθμ. 110427/EΥΘΥ/ 1020/20.10.2016 (ΦΕΚ Β΄ 3521) υπουργικής απόφασης με τίτλο «Τροποποίηση και αντικατάσταση της υπ’ αριθμ.  81986/ΕΥΘΥ712/31.7.2015 (ΦΕΚ Β΄ 1822) υπουργικής απόφασης “Εθνικοί κανόνες επιλεξιμότητας δαπανών για τα προ γράμματα του ΕΣΠΑ 2014 - 2020 -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πράξεων”». Μέλη της Επιτροπής Αξιολόγησης Προτάσεων της παρούσης, δεν δύνανται να συμμετάσχουν στην Επιτροπή</w:t>
      </w:r>
      <w:r>
        <w:rPr>
          <w:spacing w:val="-13"/>
        </w:rPr>
        <w:t> </w:t>
      </w:r>
      <w:r>
        <w:rPr/>
        <w:t>Ενστάσεων.</w:t>
      </w:r>
    </w:p>
    <w:p>
      <w:pPr>
        <w:pStyle w:val="BodyText"/>
        <w:spacing w:line="276" w:lineRule="auto" w:before="120"/>
        <w:ind w:left="100" w:right="116"/>
        <w:jc w:val="both"/>
      </w:pPr>
      <w:r>
        <w:rPr/>
        <w:t>Η Επιτροπή Ενστάσεων δύναται να περιλαμβάνει ως μέλη της στελέχη της Περιφέρειας, της ΕΥΔ ΕΠ ΠΘ, της Κεντρικής Υπηρεσίας της ΜΟΔ, ειδικούς εμπειρογνώμονες ή/και μέλη από σχετικό Μητρώο.</w:t>
      </w:r>
    </w:p>
    <w:p>
      <w:pPr>
        <w:pStyle w:val="BodyText"/>
      </w:pPr>
    </w:p>
    <w:p>
      <w:pPr>
        <w:pStyle w:val="BodyText"/>
        <w:spacing w:before="10"/>
      </w:pPr>
    </w:p>
    <w:p>
      <w:pPr>
        <w:spacing w:line="276" w:lineRule="auto" w:before="1"/>
        <w:ind w:left="100" w:right="112" w:firstLine="0"/>
        <w:jc w:val="both"/>
        <w:rPr>
          <w:sz w:val="22"/>
        </w:rPr>
      </w:pPr>
      <w:r>
        <w:rPr>
          <w:sz w:val="22"/>
        </w:rPr>
        <w:t>Ο ενδιαφερόμενος δύναται εντός </w:t>
      </w:r>
      <w:r>
        <w:rPr>
          <w:b/>
          <w:sz w:val="22"/>
        </w:rPr>
        <w:t>αποκλειστικής προθεσμίας επτά (7) εργάσιμων ημερών </w:t>
      </w:r>
      <w:r>
        <w:rPr>
          <w:sz w:val="22"/>
        </w:rPr>
        <w:t>από την επομένη της γνωστοποίησης των αποτελεσμάτων της αξιολόγησης να υποβάλει διοικητική ένσταση (ενδικοφανή προσφυγή με την έννοια του άρθρου Ν. 25 του 2690/1999) σχετικά με την απόρριψη της αίτησης, τη βαθμολόγησή της και τους όρους έγκρισής της, </w:t>
      </w:r>
      <w:r>
        <w:rPr>
          <w:b/>
          <w:sz w:val="22"/>
        </w:rPr>
        <w:t>υποχρεωτικά μέσω του Πληροφοριακού Συστήματος Κρατικών Ενισχύσεων και αποστέλλοντας τα σχετικά δικαιολογητικά τεκμηρίωσης στην Διεύθυνση Αναπτυξιακού Προγραμματισμού Περιφέρειας Θεσσαλίας</w:t>
      </w:r>
      <w:r>
        <w:rPr>
          <w:sz w:val="22"/>
        </w:rPr>
        <w:t>, εντός της ίδιας αποκλειστικής προθεσμίας, προκειμένου να εξεταστούν από την Επιτροπή Ενστάσεων. Η ηλεκτρονική υποβολή της ένστασης γίνεται στο ΠΣΚΕ με συμπλήρωση των σχετικών πεδίων του σημείου «ΕΝΣΤΑΣΕΙΣ» του ΠΣΚΕ. Ο τρόπος υποβολής των δικαιολογητικών σε φυσική μορφή είναι ίδιος με τον περιγραφόμενο στο κεφάλαιο</w:t>
      </w:r>
      <w:r>
        <w:rPr>
          <w:spacing w:val="13"/>
          <w:sz w:val="22"/>
        </w:rPr>
        <w:t> </w:t>
      </w:r>
      <w:r>
        <w:rPr>
          <w:sz w:val="22"/>
        </w:rPr>
        <w:t>9</w:t>
      </w:r>
    </w:p>
    <w:p>
      <w:pPr>
        <w:pStyle w:val="BodyText"/>
        <w:ind w:left="100"/>
        <w:jc w:val="both"/>
      </w:pPr>
      <w:r>
        <w:rPr/>
        <w:t>«ΔΙΚΑΙΟΛΟΓΗΤΙΚΑ ΚΑΙ ΣΤΟΙΧΕΙΑ ΓΙΑ ΤΗΝ ΑΞΙΟΛΟΓΗΣΗ ΤΗΣ ΑΙΤΗΣΗΣ ΧΡΗΜΑΤΟΔΟΤΗΣΗΣ».</w:t>
      </w:r>
    </w:p>
    <w:p>
      <w:pPr>
        <w:pStyle w:val="BodyText"/>
        <w:spacing w:line="273" w:lineRule="auto" w:before="161"/>
        <w:ind w:left="100" w:right="118"/>
        <w:jc w:val="both"/>
      </w:pPr>
      <w:r>
        <w:rPr/>
        <w:t>Η εξέταση των ενστάσεων γίνεται μέσω του Πληροφοριακού Συστήματος Κρατικών Ενισχύσεων. Η Επιτροπή Αξιολόγησης Ενστάσεων συντάσσει πρακτικό που περιλαμβάνει την γνωμοδότησή της αναφορικά με:</w:t>
      </w:r>
    </w:p>
    <w:p>
      <w:pPr>
        <w:pStyle w:val="ListParagraph"/>
        <w:numPr>
          <w:ilvl w:val="0"/>
          <w:numId w:val="19"/>
        </w:numPr>
        <w:tabs>
          <w:tab w:pos="461" w:val="left" w:leader="none"/>
        </w:tabs>
        <w:spacing w:line="240" w:lineRule="auto" w:before="123" w:after="0"/>
        <w:ind w:left="460" w:right="0" w:hanging="360"/>
        <w:jc w:val="both"/>
        <w:rPr>
          <w:rFonts w:ascii="Symbol" w:hAnsi="Symbol"/>
          <w:sz w:val="22"/>
        </w:rPr>
      </w:pPr>
      <w:r>
        <w:rPr>
          <w:sz w:val="22"/>
        </w:rPr>
        <w:t>Αποδεκτές ενστάσεις (</w:t>
      </w:r>
      <w:r>
        <w:rPr>
          <w:i/>
          <w:sz w:val="22"/>
        </w:rPr>
        <w:t>ή εν μέρει αποδεκτές</w:t>
      </w:r>
      <w:r>
        <w:rPr>
          <w:sz w:val="22"/>
        </w:rPr>
        <w:t>), καθώς</w:t>
      </w:r>
      <w:r>
        <w:rPr>
          <w:spacing w:val="-7"/>
          <w:sz w:val="22"/>
        </w:rPr>
        <w:t> </w:t>
      </w:r>
      <w:r>
        <w:rPr>
          <w:sz w:val="22"/>
        </w:rPr>
        <w:t>και</w:t>
      </w:r>
    </w:p>
    <w:p>
      <w:pPr>
        <w:pStyle w:val="ListParagraph"/>
        <w:numPr>
          <w:ilvl w:val="0"/>
          <w:numId w:val="19"/>
        </w:numPr>
        <w:tabs>
          <w:tab w:pos="461" w:val="left" w:leader="none"/>
        </w:tabs>
        <w:spacing w:line="240" w:lineRule="auto" w:before="161" w:after="0"/>
        <w:ind w:left="460" w:right="0" w:hanging="360"/>
        <w:jc w:val="both"/>
        <w:rPr>
          <w:rFonts w:ascii="Symbol" w:hAnsi="Symbol"/>
          <w:sz w:val="22"/>
        </w:rPr>
      </w:pPr>
      <w:r>
        <w:rPr>
          <w:sz w:val="22"/>
        </w:rPr>
        <w:t>Απορριφθείσες</w:t>
      </w:r>
      <w:r>
        <w:rPr>
          <w:spacing w:val="-3"/>
          <w:sz w:val="22"/>
        </w:rPr>
        <w:t> </w:t>
      </w:r>
      <w:r>
        <w:rPr>
          <w:sz w:val="22"/>
        </w:rPr>
        <w:t>ενστάσεις.</w:t>
      </w:r>
    </w:p>
    <w:p>
      <w:pPr>
        <w:pStyle w:val="BodyText"/>
        <w:spacing w:line="276" w:lineRule="auto" w:before="158"/>
        <w:ind w:left="100" w:right="122"/>
        <w:jc w:val="both"/>
      </w:pPr>
      <w:r>
        <w:rPr/>
        <w:t>Σημειώνεται ότι ως λόγος απόρριψης ένστασης δύναται να αποτελεί και η εξάντληση της δημόσιας δαπάνης της</w:t>
      </w:r>
      <w:r>
        <w:rPr>
          <w:spacing w:val="-2"/>
        </w:rPr>
        <w:t> </w:t>
      </w:r>
      <w:r>
        <w:rPr/>
        <w:t>πρόσκλησης.</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100" w:right="114"/>
        <w:jc w:val="both"/>
      </w:pPr>
      <w:r>
        <w:rPr/>
        <w:t>Το Πρακτικό της Επιτροπής Αξιολόγησης Ενστάσεων, διαβιβάζεται με σχετική εισήγηση στην ΔΙΑΠ Περιφέρειας Θεσσαλίας, προκειμένου να προωθηθεί για την έκδοση Απόφασης Επικύρωσης του Πρακτικού Αξιολόγησης Ενστάσεων από τον Περιφερειάρχη Θεσσαλίας. Η Απόφαση επί των ενστάσεων εκδίδεται, σύμφωνα με το Άρθρο 25 του Ν.2690/1999 από τον Περιφερειάρχη Θεσσαλίας, εντός </w:t>
      </w:r>
      <w:r>
        <w:rPr>
          <w:b/>
        </w:rPr>
        <w:t>δεκαπέντε (15) εργάσιμων ημερών </w:t>
      </w:r>
      <w:r>
        <w:rPr/>
        <w:t>από την καταληκτική ημερομηνία υποβολής των ενστάσεων, και κοινοποιείται άμεσα στους ενδιαφερομένους, ώστε να λάβουν έγκαιρα γνώση για τα αποτελέσματα εξέτασης της ένστασης, με ηλεκτρονικό ταχυδρομείο αλλά και μέσω του ΠΣΚΕ.</w:t>
      </w:r>
    </w:p>
    <w:p>
      <w:pPr>
        <w:pStyle w:val="BodyText"/>
        <w:spacing w:line="276" w:lineRule="auto" w:before="120"/>
        <w:ind w:left="100" w:right="116"/>
        <w:jc w:val="both"/>
      </w:pPr>
      <w:r>
        <w:rPr/>
        <w:t>Με την ολοκλήρωση της αξιολόγησης των ενστάσεων ενεργοποιείται εκ νέου η διαδικασία Έκδοσης Πίνακα Αποτελεσμάτων και εκδίδονται συμπληρωματικοί Πίνακες Κατάταξης από την ΔΙΑΠΠΘ και με σχετική εισήγηση τους διαβιβάζει στον Περιφερειάρχη, για την έκδοση Απόφασης Επικύρωσής τους.</w:t>
      </w:r>
    </w:p>
    <w:p>
      <w:pPr>
        <w:pStyle w:val="BodyText"/>
        <w:spacing w:before="121"/>
        <w:ind w:left="100"/>
        <w:jc w:val="both"/>
      </w:pPr>
      <w:r>
        <w:rPr/>
        <w:t>Η Απόφαση Επικύρωσης δημοσιοποιείται στην ιστοσελίδα της ΔΙΑΠ: </w:t>
      </w:r>
      <w:hyperlink r:id="rId9">
        <w:r>
          <w:rPr>
            <w:color w:val="0462C1"/>
            <w:u w:val="single" w:color="0462C1"/>
          </w:rPr>
          <w:t>www.thessaly.gov.gr</w:t>
        </w:r>
      </w:hyperlink>
    </w:p>
    <w:p>
      <w:pPr>
        <w:pStyle w:val="BodyText"/>
        <w:spacing w:before="5"/>
        <w:rPr>
          <w:sz w:val="18"/>
        </w:rPr>
      </w:pPr>
    </w:p>
    <w:p>
      <w:pPr>
        <w:pStyle w:val="Heading4"/>
        <w:numPr>
          <w:ilvl w:val="1"/>
          <w:numId w:val="32"/>
        </w:numPr>
        <w:tabs>
          <w:tab w:pos="821" w:val="left" w:leader="none"/>
        </w:tabs>
        <w:spacing w:line="240" w:lineRule="auto" w:before="56" w:after="0"/>
        <w:ind w:left="820" w:right="0" w:hanging="720"/>
        <w:jc w:val="both"/>
      </w:pPr>
      <w:bookmarkStart w:name="_TOC_250027" w:id="29"/>
      <w:bookmarkEnd w:id="29"/>
      <w:r>
        <w:rPr/>
        <w:t>ΕΓΚΡΙΣΗ</w:t>
      </w:r>
    </w:p>
    <w:p>
      <w:pPr>
        <w:pStyle w:val="BodyText"/>
        <w:spacing w:before="5"/>
        <w:rPr>
          <w:b/>
          <w:sz w:val="19"/>
        </w:rPr>
      </w:pPr>
    </w:p>
    <w:p>
      <w:pPr>
        <w:pStyle w:val="Heading4"/>
        <w:numPr>
          <w:ilvl w:val="2"/>
          <w:numId w:val="32"/>
        </w:numPr>
        <w:tabs>
          <w:tab w:pos="1234" w:val="left" w:leader="none"/>
        </w:tabs>
        <w:spacing w:line="240" w:lineRule="auto" w:before="1" w:after="0"/>
        <w:ind w:left="1233" w:right="0" w:hanging="1081"/>
        <w:jc w:val="both"/>
      </w:pPr>
      <w:bookmarkStart w:name="_TOC_250026" w:id="30"/>
      <w:r>
        <w:rPr/>
        <w:t>Διαδικασία</w:t>
      </w:r>
      <w:r>
        <w:rPr>
          <w:spacing w:val="-2"/>
        </w:rPr>
        <w:t> </w:t>
      </w:r>
      <w:bookmarkEnd w:id="30"/>
      <w:r>
        <w:rPr/>
        <w:t>έγκρισης</w:t>
      </w:r>
    </w:p>
    <w:p>
      <w:pPr>
        <w:pStyle w:val="BodyText"/>
        <w:spacing w:line="276" w:lineRule="auto" w:before="120"/>
        <w:ind w:left="100" w:right="113"/>
        <w:jc w:val="both"/>
      </w:pPr>
      <w:r>
        <w:rPr/>
        <w:t>Η ένταξη των έργων στη Δράση γίνεται με απόφαση του Περιφερειάρχη Θεσσαλίας μετά από εισήγηση της Διεύθυνσης Αναπτυξιακού Προγραμματισμού Περιφέρειας Θεσσαλίας. Η απόφαση ένταξης κοινοποιείται στην ΕΥΔ ΕΠΠΘ και στις αρμόδιες αρχές του ΕΣΠΑ και χρηματοδότησης έργων. Στην ίδια απόφαση δημοσιεύεται επίσης ο εγκεκριμένος προϋπολογισμός και η αναλογούσα δημόσια χρηματοδότηση για κάθε επιχορηγούμενη Αίτηση Χρηματοδότησης.</w:t>
      </w:r>
    </w:p>
    <w:p>
      <w:pPr>
        <w:pStyle w:val="BodyText"/>
        <w:spacing w:line="273" w:lineRule="auto" w:before="121"/>
        <w:ind w:left="100" w:right="119"/>
        <w:jc w:val="both"/>
      </w:pPr>
      <w:r>
        <w:rPr/>
        <w:t>Σε περίπτωση αποδοχής ενστάσεων και έκδοσης συμπληρωματικού Πίνακα Κατάταξης ενεργοποιείται εκ νέου η ως άνω αναφερόμενη διαδικασία και εκδίδεται συμπληρωματική Απόφαση Ένταξης.</w:t>
      </w:r>
    </w:p>
    <w:p>
      <w:pPr>
        <w:pStyle w:val="BodyText"/>
      </w:pPr>
    </w:p>
    <w:p>
      <w:pPr>
        <w:pStyle w:val="BodyText"/>
        <w:spacing w:before="3"/>
        <w:rPr>
          <w:sz w:val="23"/>
        </w:rPr>
      </w:pPr>
    </w:p>
    <w:p>
      <w:pPr>
        <w:pStyle w:val="BodyText"/>
        <w:spacing w:line="276" w:lineRule="auto"/>
        <w:ind w:left="100" w:right="117"/>
        <w:jc w:val="both"/>
      </w:pPr>
      <w:r>
        <w:rPr/>
        <w:t>Ακολούθως ενημερώνονται ηλεκτρονικά, από τη ΔΙΑΠ ΠΘ, όλοι οι δικαιούχοι των εγκεκριμένων αιτήσεων προς ενίσχυση, για την ένταξη του επενδυτικού τους σχεδίου. Η εγκριτική επιστολή ενημερώνει ηλεκτρονικά, χωριστά τον κάθε δικαιούχο για το Τεχνικό Παράρτημα στο οποίο περιλαμβάνεται σαφής και αναλυτική περιγραφή του προς εκτέλεση έργου, το χρονοδιάγραμμα, ο συνολικός προϋπολογισμός του, οι πηγές και το ποσοστό χρηματοδότησης αυτού (το Τεχνικό Παράρτημα θα αναρτηθεί και στο ΠΣΚΕ για κάθε επιχείρηση χωριστά).</w:t>
      </w:r>
    </w:p>
    <w:p>
      <w:pPr>
        <w:pStyle w:val="BodyText"/>
        <w:spacing w:line="276" w:lineRule="auto" w:before="121"/>
        <w:ind w:left="100" w:right="118"/>
        <w:jc w:val="both"/>
      </w:pPr>
      <w:r>
        <w:rPr/>
        <w:t>Η Απόφαση Ένταξης συνιστά αποδοχή της εγγραφής τους στον κατάλογο των πράξεων που δημοσιεύεται σύμφωνα με το άρθρο 115, παράγραφος 2, του Κανονισμού 1303/2013. Στοιχεία των εγκεκριμένων προς χρηματοδότηση Επενδυτικών Σχεδίων, όπως αυτά προβλέπονται στο Παράρτημα XII του Καν. 1303/2013 και στην κατά περίπτωση εφαρμοζόμενη νομική βάση του Ανταγωνισμού, θα αποτελέσουν αντικείμενο δημοσιοποίησης.</w:t>
      </w:r>
    </w:p>
    <w:p>
      <w:pPr>
        <w:spacing w:before="118"/>
        <w:ind w:left="100" w:right="0" w:firstLine="0"/>
        <w:jc w:val="both"/>
        <w:rPr>
          <w:sz w:val="22"/>
        </w:rPr>
      </w:pPr>
      <w:r>
        <w:rPr>
          <w:sz w:val="22"/>
        </w:rPr>
        <w:t>Σημειώνεται   ότι   ως   </w:t>
      </w:r>
      <w:r>
        <w:rPr>
          <w:b/>
          <w:sz w:val="22"/>
        </w:rPr>
        <w:t>ημερομηνία   έναρξης   του   χρόνου   υλοποίησης   της   επένδυσης   </w:t>
      </w:r>
      <w:r>
        <w:rPr>
          <w:sz w:val="22"/>
        </w:rPr>
        <w:t>λαμβάνεται   η</w:t>
      </w:r>
    </w:p>
    <w:p>
      <w:pPr>
        <w:pStyle w:val="Heading4"/>
        <w:spacing w:before="41"/>
        <w:rPr>
          <w:b w:val="0"/>
        </w:rPr>
      </w:pPr>
      <w:r>
        <w:rPr/>
        <w:t>ημερομηνία που ορίζεται για κάθε επένδυση με την Απόφαση Ένταξης </w:t>
      </w:r>
      <w:r>
        <w:rPr>
          <w:b w:val="0"/>
        </w:rPr>
        <w:t>της Πράξης.</w:t>
      </w:r>
    </w:p>
    <w:p>
      <w:pPr>
        <w:pStyle w:val="BodyText"/>
      </w:pPr>
    </w:p>
    <w:p>
      <w:pPr>
        <w:pStyle w:val="BodyText"/>
      </w:pPr>
    </w:p>
    <w:p>
      <w:pPr>
        <w:pStyle w:val="Heading4"/>
        <w:numPr>
          <w:ilvl w:val="2"/>
          <w:numId w:val="32"/>
        </w:numPr>
        <w:tabs>
          <w:tab w:pos="1234" w:val="left" w:leader="none"/>
        </w:tabs>
        <w:spacing w:line="240" w:lineRule="auto" w:before="171" w:after="0"/>
        <w:ind w:left="1233" w:right="0" w:hanging="1081"/>
        <w:jc w:val="both"/>
      </w:pPr>
      <w:bookmarkStart w:name="_TOC_250025" w:id="31"/>
      <w:r>
        <w:rPr/>
        <w:t>Δημοσιότητα ενταγμένων</w:t>
      </w:r>
      <w:r>
        <w:rPr>
          <w:spacing w:val="-1"/>
        </w:rPr>
        <w:t> </w:t>
      </w:r>
      <w:bookmarkEnd w:id="31"/>
      <w:r>
        <w:rPr/>
        <w:t>έργων</w:t>
      </w:r>
    </w:p>
    <w:p>
      <w:pPr>
        <w:pStyle w:val="BodyText"/>
        <w:spacing w:line="276" w:lineRule="auto" w:before="120"/>
        <w:ind w:left="100" w:right="113"/>
        <w:jc w:val="both"/>
      </w:pPr>
      <w:r>
        <w:rPr/>
        <w:t>Η Διεύθυνση Αναπτυξιακού Προγραμματισμού Περιφέρειας Θεσσαλίας δημοσιοποιεί τουλάχιστον στην ιστοσελίδα    της    συνοπτικά    στοιχεία   για   κάθε    εγκεκριμένο    έργο,    όπως   π.χ.   την    επωνυμία  του</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100" w:right="123"/>
        <w:jc w:val="both"/>
      </w:pPr>
      <w:r>
        <w:rPr/>
        <w:t>χρηματοδοτούμενου, τον τίτλο του έργου, την ημερομηνία, το ύψος της χρηματοδότησης και το ποσοστό συμμετοχής της Ε.Ε., κλπ. Τα στοιχεία των μη εγκεκριμένων έργων δεν δημοσιοποιούνται.</w:t>
      </w:r>
    </w:p>
    <w:p>
      <w:pPr>
        <w:pStyle w:val="BodyText"/>
      </w:pPr>
    </w:p>
    <w:p>
      <w:pPr>
        <w:pStyle w:val="BodyText"/>
        <w:spacing w:before="11"/>
        <w:rPr>
          <w:sz w:val="32"/>
        </w:rPr>
      </w:pPr>
    </w:p>
    <w:p>
      <w:pPr>
        <w:pStyle w:val="Heading2"/>
        <w:numPr>
          <w:ilvl w:val="0"/>
          <w:numId w:val="32"/>
        </w:numPr>
        <w:tabs>
          <w:tab w:pos="667" w:val="left" w:leader="none"/>
        </w:tabs>
        <w:spacing w:line="240" w:lineRule="auto" w:before="0" w:after="0"/>
        <w:ind w:left="666" w:right="0" w:hanging="566"/>
        <w:jc w:val="both"/>
      </w:pPr>
      <w:bookmarkStart w:name="_TOC_250024" w:id="32"/>
      <w:r>
        <w:rPr/>
        <w:t>ΔΙΑΔΙΚΑΣΙΑ ΥΛΟΠΟΙΗΣΗΣ – ΠΑΡΑΚΟΛΟΥΘΗΣΗΣ</w:t>
      </w:r>
      <w:r>
        <w:rPr>
          <w:spacing w:val="-14"/>
        </w:rPr>
        <w:t> </w:t>
      </w:r>
      <w:bookmarkEnd w:id="32"/>
      <w:r>
        <w:rPr/>
        <w:t>ΠΡΑΞΕΩΝ</w:t>
      </w:r>
    </w:p>
    <w:p>
      <w:pPr>
        <w:pStyle w:val="BodyText"/>
        <w:spacing w:before="5"/>
        <w:rPr>
          <w:b/>
          <w:sz w:val="19"/>
        </w:rPr>
      </w:pPr>
    </w:p>
    <w:p>
      <w:pPr>
        <w:pStyle w:val="Heading4"/>
        <w:numPr>
          <w:ilvl w:val="1"/>
          <w:numId w:val="32"/>
        </w:numPr>
        <w:tabs>
          <w:tab w:pos="821" w:val="left" w:leader="none"/>
        </w:tabs>
        <w:spacing w:line="240" w:lineRule="auto" w:before="0" w:after="0"/>
        <w:ind w:left="820" w:right="0" w:hanging="720"/>
        <w:jc w:val="both"/>
      </w:pPr>
      <w:bookmarkStart w:name="_TOC_250023" w:id="33"/>
      <w:r>
        <w:rPr/>
        <w:t>ΕΞΟΦΛΗΣΗ ΔΑΠΑΝΩΝ</w:t>
      </w:r>
      <w:r>
        <w:rPr>
          <w:spacing w:val="-4"/>
        </w:rPr>
        <w:t> </w:t>
      </w:r>
      <w:bookmarkEnd w:id="33"/>
      <w:r>
        <w:rPr/>
        <w:t>ΥΛΟΠΟΙΗΣΗΣ</w:t>
      </w:r>
    </w:p>
    <w:p>
      <w:pPr>
        <w:pStyle w:val="BodyText"/>
        <w:spacing w:before="8"/>
        <w:rPr>
          <w:b/>
          <w:sz w:val="19"/>
        </w:rPr>
      </w:pPr>
    </w:p>
    <w:p>
      <w:pPr>
        <w:pStyle w:val="Heading4"/>
        <w:numPr>
          <w:ilvl w:val="2"/>
          <w:numId w:val="32"/>
        </w:numPr>
        <w:tabs>
          <w:tab w:pos="1234" w:val="left" w:leader="none"/>
        </w:tabs>
        <w:spacing w:line="240" w:lineRule="auto" w:before="0" w:after="0"/>
        <w:ind w:left="1233" w:right="0" w:hanging="1081"/>
        <w:jc w:val="both"/>
      </w:pPr>
      <w:bookmarkStart w:name="_TOC_250022" w:id="34"/>
      <w:r>
        <w:rPr/>
        <w:t>Τρόπος Εξόφλησης</w:t>
      </w:r>
      <w:r>
        <w:rPr>
          <w:spacing w:val="-9"/>
        </w:rPr>
        <w:t> </w:t>
      </w:r>
      <w:bookmarkEnd w:id="34"/>
      <w:r>
        <w:rPr/>
        <w:t>Παραστατικών</w:t>
      </w:r>
    </w:p>
    <w:p>
      <w:pPr>
        <w:pStyle w:val="Heading5"/>
        <w:spacing w:line="276" w:lineRule="auto" w:before="120"/>
        <w:ind w:right="118"/>
      </w:pPr>
      <w:r>
        <w:rPr>
          <w:i/>
        </w:rPr>
        <w:t>Σημειώνεται ότι για τις εξοφλήσεις των δαπανών που πραγματοποιούνται στο πλαίσιο ενός επενδυτικού </w:t>
      </w:r>
      <w:r>
        <w:rPr/>
        <w:t>σχεδίου, θα λαμβάνονται κάθε φορά υπόψη τα οριζόμενα στις εκάστοτε ισχύουσες νομοθετικές και κανονιστικές πράξεις που ρυθμίζουν το πλαίσιο πραγματοποίησης συναλλαγών και θέσπισης τυχόν περιορισμών σε αυτές.</w:t>
      </w:r>
    </w:p>
    <w:p>
      <w:pPr>
        <w:pStyle w:val="BodyText"/>
        <w:spacing w:before="120"/>
        <w:ind w:left="100"/>
        <w:jc w:val="both"/>
        <w:rPr>
          <w:b/>
        </w:rPr>
      </w:pPr>
      <w:r>
        <w:rPr/>
        <w:t>Κατάλογος Ενδεικτικών Παραδοτέων, ανά Κατηγορία Δαπανών, περιγράφεται αναλυτικά στο </w:t>
      </w:r>
      <w:r>
        <w:rPr>
          <w:b/>
        </w:rPr>
        <w:t>Παράρτημα III</w:t>
      </w:r>
    </w:p>
    <w:p>
      <w:pPr>
        <w:pStyle w:val="BodyText"/>
        <w:spacing w:line="276" w:lineRule="auto" w:before="38"/>
        <w:ind w:left="100" w:right="115"/>
        <w:jc w:val="both"/>
      </w:pPr>
      <w:r>
        <w:rPr/>
        <w:t>«Προϋποθέσεις επιλεξιμότητας δαπανών – Απαραίτητα παραστατικά για την υλοποίηση φυσικού &amp; οικονομικού αντικειμένου», ενώ των αντίστοιχων δικαιολογητικών, στο </w:t>
      </w:r>
      <w:r>
        <w:rPr>
          <w:b/>
        </w:rPr>
        <w:t>Παράρτημα ΧΙ </w:t>
      </w:r>
      <w:r>
        <w:rPr/>
        <w:t>«Απαιτούμενα δικαιολογητικά για την καταβολή της επιχορήγησης», της παρούσας πρόσκλησης.</w:t>
      </w:r>
    </w:p>
    <w:p>
      <w:pPr>
        <w:pStyle w:val="BodyText"/>
        <w:spacing w:line="276" w:lineRule="auto" w:before="118"/>
        <w:ind w:left="100" w:right="115"/>
        <w:jc w:val="both"/>
      </w:pPr>
      <w:r>
        <w:rPr/>
        <w:t>Επισημαίνεται πως κατά τη φάση παρακολούθησης της υλοποίησης του φυσικού και οικονομικού αντικειμένου του Επενδυτικού Σχεδίου δύναται να ζητηθούν πρόσθετα δικαιολογητικά για την καταβολή της επιχορήγησης, αναλόγως του είδους της δαπάνης και του ισχύοντος, κατά τη φάση υλοποίησης θεσμικού – νομοθετικού</w:t>
      </w:r>
      <w:r>
        <w:rPr>
          <w:spacing w:val="-7"/>
        </w:rPr>
        <w:t> </w:t>
      </w:r>
      <w:r>
        <w:rPr/>
        <w:t>πλαισίου.</w:t>
      </w:r>
    </w:p>
    <w:p>
      <w:pPr>
        <w:pStyle w:val="BodyText"/>
        <w:spacing w:line="276" w:lineRule="auto" w:before="120"/>
        <w:ind w:left="100" w:right="121"/>
        <w:jc w:val="both"/>
      </w:pPr>
      <w:r>
        <w:rPr/>
        <w:t>Επίσης, οι Δαπάνες του </w:t>
      </w:r>
      <w:r>
        <w:rPr>
          <w:b/>
        </w:rPr>
        <w:t>Παραρτήματος III </w:t>
      </w:r>
      <w:r>
        <w:rPr/>
        <w:t>εξετάζονται ως προς την επιλεξιμότητά τους σε σχέση με τα αναφερόμενα στο Κεφάλαιο 6 «ΕΠΙΛΕΞΙΜΕΣ ΔΑΠΑΝΕΣ».</w:t>
      </w:r>
    </w:p>
    <w:p>
      <w:pPr>
        <w:pStyle w:val="BodyText"/>
        <w:spacing w:line="273" w:lineRule="auto" w:before="120"/>
        <w:ind w:left="100" w:right="123"/>
        <w:jc w:val="both"/>
      </w:pPr>
      <w:r>
        <w:rPr/>
        <w:t>Η εξόφληση κάθε δαπάνης (τμηματική ή ολική), για να είναι επιλέξιμη, πρέπει να είναι σύμφωνη με τις διατάξεις της ισχύουσας κάθε φορά φορολογικής νομοθεσίας και μπορεί να γίνει ως ακολούθως:</w:t>
      </w:r>
    </w:p>
    <w:p>
      <w:pPr>
        <w:pStyle w:val="Heading4"/>
        <w:numPr>
          <w:ilvl w:val="0"/>
          <w:numId w:val="20"/>
        </w:numPr>
        <w:tabs>
          <w:tab w:pos="459" w:val="left" w:leader="none"/>
        </w:tabs>
        <w:spacing w:line="276" w:lineRule="auto" w:before="123" w:after="0"/>
        <w:ind w:left="458" w:right="116" w:hanging="358"/>
        <w:jc w:val="both"/>
      </w:pPr>
      <w:r>
        <w:rPr/>
        <w:t>Κάθε είδους δαπάνη, που συνοδεύεται από νόμιμο φορολογικό στοιχείο και που αφορά σε αγορά αγαθών ή λήψη υπηρεσιών καθαρής αξίας πεντακοσίων (500) ευρώ και κάτω (χωρίς ΦΠΑ), μπορεί να εξοφλείται και χωρίς τη χρήση τραπεζικού μέσου πληρωμής, δηλαδή με οποιονδήποτε τρόπο πληρωμής.</w:t>
      </w:r>
    </w:p>
    <w:p>
      <w:pPr>
        <w:pStyle w:val="ListParagraph"/>
        <w:numPr>
          <w:ilvl w:val="0"/>
          <w:numId w:val="20"/>
        </w:numPr>
        <w:tabs>
          <w:tab w:pos="459" w:val="left" w:leader="none"/>
        </w:tabs>
        <w:spacing w:line="276" w:lineRule="auto" w:before="121" w:after="0"/>
        <w:ind w:left="458" w:right="117" w:hanging="358"/>
        <w:jc w:val="both"/>
        <w:rPr>
          <w:b/>
          <w:sz w:val="22"/>
        </w:rPr>
      </w:pPr>
      <w:r>
        <w:rPr>
          <w:b/>
          <w:sz w:val="22"/>
        </w:rPr>
        <w:t>Κάθε είδους δαπάνη, που συνοδεύεται από νόμιμο φορολογικό στοιχείο και που αφορά σε αγορά αγαθών ή λήψη υπηρεσιών καθαρής αξίας άνω των πεντακοσίων (500) ευρώ (χωρίς ΦΠΑ), θα πρέπει η τμηματική ή ολική εξόφληση της, να γίνει γίνεται με τη χρήση τραπεζικού μέσου</w:t>
      </w:r>
      <w:r>
        <w:rPr>
          <w:b/>
          <w:spacing w:val="-13"/>
          <w:sz w:val="22"/>
        </w:rPr>
        <w:t> </w:t>
      </w:r>
      <w:r>
        <w:rPr>
          <w:b/>
          <w:sz w:val="22"/>
        </w:rPr>
        <w:t>πληρωμής.</w:t>
      </w:r>
    </w:p>
    <w:p>
      <w:pPr>
        <w:pStyle w:val="BodyText"/>
        <w:spacing w:before="118"/>
        <w:ind w:left="100"/>
        <w:jc w:val="both"/>
      </w:pPr>
      <w:r>
        <w:rPr/>
        <w:t>Ως τραπεζικό μέσο πληρωμής, προκειμένου για την εφαρμογή των ανωτέρω, νοείται:</w:t>
      </w:r>
    </w:p>
    <w:p>
      <w:pPr>
        <w:pStyle w:val="ListParagraph"/>
        <w:numPr>
          <w:ilvl w:val="0"/>
          <w:numId w:val="39"/>
        </w:numPr>
        <w:tabs>
          <w:tab w:pos="528" w:val="left" w:leader="none"/>
        </w:tabs>
        <w:spacing w:line="240" w:lineRule="auto" w:before="120" w:after="0"/>
        <w:ind w:left="527" w:right="120" w:hanging="427"/>
        <w:jc w:val="both"/>
        <w:rPr>
          <w:sz w:val="22"/>
        </w:rPr>
      </w:pPr>
      <w:r>
        <w:rPr>
          <w:sz w:val="22"/>
        </w:rPr>
        <w:t>Η κατάθεση σε τραπεζικό λογαριασμό του προμηθευτή, όπως προβλέπεται στις ισχύουσες φορολογικές</w:t>
      </w:r>
      <w:r>
        <w:rPr>
          <w:spacing w:val="-5"/>
          <w:sz w:val="22"/>
        </w:rPr>
        <w:t> </w:t>
      </w:r>
      <w:r>
        <w:rPr>
          <w:sz w:val="22"/>
        </w:rPr>
        <w:t>διατάξεις.</w:t>
      </w:r>
    </w:p>
    <w:p>
      <w:pPr>
        <w:pStyle w:val="ListParagraph"/>
        <w:numPr>
          <w:ilvl w:val="0"/>
          <w:numId w:val="39"/>
        </w:numPr>
        <w:tabs>
          <w:tab w:pos="528" w:val="left" w:leader="none"/>
        </w:tabs>
        <w:spacing w:line="240" w:lineRule="auto" w:before="120" w:after="0"/>
        <w:ind w:left="527" w:right="119" w:hanging="427"/>
        <w:jc w:val="both"/>
        <w:rPr>
          <w:sz w:val="22"/>
        </w:rPr>
      </w:pPr>
      <w:r>
        <w:rPr>
          <w:sz w:val="22"/>
        </w:rPr>
        <w:t>Η χρήση εταιρικών χρεωστικών ή πιστωτικών καρτών της επιχείρησης που πραγματοποιεί την  πληρωμή ή/και όποιας άλλης κάρτας συνδέεται με ονομαστικό ταυτοποιημένο λογαριασμό πληρωμών του λήπτη της ενίσχυσης (Δικαιούχου) που τηρείται σε Πάροχο Υπηρεσιών Πληρωμών του Ν. 3862/2010 (ήτοι Πιστωτικό Ίδρυμα, Ίδρυμα Ηλεκτρονικού Χρήματος ή Ίδρυμα</w:t>
      </w:r>
      <w:r>
        <w:rPr>
          <w:spacing w:val="-20"/>
          <w:sz w:val="22"/>
        </w:rPr>
        <w:t> </w:t>
      </w:r>
      <w:r>
        <w:rPr>
          <w:sz w:val="22"/>
        </w:rPr>
        <w:t>Πληρωμών).</w:t>
      </w:r>
    </w:p>
    <w:p>
      <w:pPr>
        <w:pStyle w:val="ListParagraph"/>
        <w:numPr>
          <w:ilvl w:val="0"/>
          <w:numId w:val="39"/>
        </w:numPr>
        <w:tabs>
          <w:tab w:pos="528" w:val="left" w:leader="none"/>
        </w:tabs>
        <w:spacing w:line="240" w:lineRule="auto" w:before="120" w:after="0"/>
        <w:ind w:left="527" w:right="119" w:hanging="427"/>
        <w:jc w:val="both"/>
        <w:rPr>
          <w:sz w:val="22"/>
        </w:rPr>
      </w:pPr>
      <w:r>
        <w:rPr>
          <w:sz w:val="22"/>
        </w:rPr>
        <w:t>Η έκδοση επιταγής της επιχείρησης ή η έκδοση τραπεζικής επιταγής από νόμιμα λειτουργούσα στην Ελλάδα τράπεζα.</w:t>
      </w:r>
    </w:p>
    <w:p>
      <w:pPr>
        <w:spacing w:after="0" w:line="240" w:lineRule="auto"/>
        <w:jc w:val="both"/>
        <w:rPr>
          <w:sz w:val="22"/>
        </w:rPr>
        <w:sectPr>
          <w:pgSz w:w="11910" w:h="16840"/>
          <w:pgMar w:header="748" w:footer="734" w:top="1420" w:bottom="920" w:left="980" w:right="960"/>
        </w:sectPr>
      </w:pPr>
    </w:p>
    <w:p>
      <w:pPr>
        <w:pStyle w:val="BodyText"/>
        <w:spacing w:before="11"/>
        <w:rPr>
          <w:sz w:val="14"/>
        </w:rPr>
      </w:pPr>
    </w:p>
    <w:p>
      <w:pPr>
        <w:pStyle w:val="ListParagraph"/>
        <w:numPr>
          <w:ilvl w:val="0"/>
          <w:numId w:val="39"/>
        </w:numPr>
        <w:tabs>
          <w:tab w:pos="528" w:val="left" w:leader="none"/>
        </w:tabs>
        <w:spacing w:line="240" w:lineRule="auto" w:before="89" w:after="0"/>
        <w:ind w:left="527" w:right="113" w:hanging="427"/>
        <w:jc w:val="both"/>
        <w:rPr>
          <w:sz w:val="22"/>
        </w:rPr>
      </w:pPr>
      <w:r>
        <w:rPr>
          <w:sz w:val="22"/>
        </w:rPr>
        <w:t>Η χρήση ταχυδρομικής επιταγής – ταχυπληρωμής (έως του ορίου που επιτρέπεται από τα ΕΛΤΑ). Επισημαίνεται ότι η επιβάρυνση για την έκδοση της ταχυδρομικής επιταγής δεν αποτελεί επιλέξιμη δαπάνη.</w:t>
      </w:r>
    </w:p>
    <w:p>
      <w:pPr>
        <w:pStyle w:val="ListParagraph"/>
        <w:numPr>
          <w:ilvl w:val="0"/>
          <w:numId w:val="39"/>
        </w:numPr>
        <w:tabs>
          <w:tab w:pos="528" w:val="left" w:leader="none"/>
        </w:tabs>
        <w:spacing w:line="240" w:lineRule="auto" w:before="120" w:after="0"/>
        <w:ind w:left="527" w:right="115" w:hanging="427"/>
        <w:jc w:val="both"/>
        <w:rPr>
          <w:sz w:val="22"/>
        </w:rPr>
      </w:pPr>
      <w:r>
        <w:rPr>
          <w:sz w:val="22"/>
        </w:rPr>
        <w:t>Η καταβολή σε ταυτοποιημένο λογαριασμό πληρωμών του προμηθευτή, που τηρείται σε Πάροχο Υπηρεσιών Πληρωμών του Ν. 3862/2010 (ήτοι Πιστωτικό Ίδρυμα, Ίδρυμα Πληρωμών ή Ίδρυμα Ηλεκτρονικού Χρήματος), είτε με μετρητά, είτε </w:t>
      </w:r>
      <w:r>
        <w:rPr>
          <w:spacing w:val="2"/>
          <w:sz w:val="22"/>
        </w:rPr>
        <w:t>με </w:t>
      </w:r>
      <w:r>
        <w:rPr>
          <w:sz w:val="22"/>
        </w:rPr>
        <w:t>μεταφορά μεταξύ λογαριασμών πληρωμών (μεταφορά εντός του ίδιου Ιδρύματος ή</w:t>
      </w:r>
      <w:r>
        <w:rPr>
          <w:spacing w:val="-8"/>
          <w:sz w:val="22"/>
        </w:rPr>
        <w:t> </w:t>
      </w:r>
      <w:r>
        <w:rPr>
          <w:sz w:val="22"/>
        </w:rPr>
        <w:t>έμβασμα).</w:t>
      </w:r>
    </w:p>
    <w:p>
      <w:pPr>
        <w:pStyle w:val="BodyText"/>
        <w:spacing w:before="120"/>
        <w:ind w:left="100" w:right="118"/>
        <w:jc w:val="both"/>
      </w:pPr>
      <w:r>
        <w:rPr/>
        <w:t>Σε περίπτωση που καταβάλλονται προκαταβολές έναντι της αξίας του προς αγορά αγαθού ή υπηρεσίας ή όταν πραγματοποιούνται τμηματικές καταβολές που αφορούν παραστατικό καθαρής αξίας άνω των €500, απαιτείται η χρήση τραπεζικού μέσου πληρωμής, ανεξαρτήτως του ποσού της κάθε τμηματικής καταβολής ή προκαταβολής και για κάθε μέρος</w:t>
      </w:r>
      <w:r>
        <w:rPr>
          <w:spacing w:val="-7"/>
        </w:rPr>
        <w:t> </w:t>
      </w:r>
      <w:r>
        <w:rPr/>
        <w:t>αυτής</w:t>
      </w:r>
    </w:p>
    <w:p>
      <w:pPr>
        <w:pStyle w:val="BodyText"/>
        <w:spacing w:before="121"/>
        <w:ind w:left="100"/>
        <w:jc w:val="both"/>
      </w:pPr>
      <w:r>
        <w:rPr/>
        <w:t>Αποδεκτοί τρόποι εξόφλησης / πληρωμής είναι:</w:t>
      </w:r>
    </w:p>
    <w:p>
      <w:pPr>
        <w:pStyle w:val="ListParagraph"/>
        <w:numPr>
          <w:ilvl w:val="0"/>
          <w:numId w:val="19"/>
        </w:numPr>
        <w:tabs>
          <w:tab w:pos="528" w:val="left" w:leader="none"/>
        </w:tabs>
        <w:spacing w:line="276" w:lineRule="auto" w:before="161" w:after="0"/>
        <w:ind w:left="527" w:right="113" w:hanging="427"/>
        <w:jc w:val="both"/>
        <w:rPr>
          <w:rFonts w:ascii="Symbol" w:hAnsi="Symbol"/>
          <w:sz w:val="22"/>
        </w:rPr>
      </w:pPr>
      <w:r>
        <w:rPr>
          <w:sz w:val="22"/>
        </w:rPr>
        <w:t>Έκδοση τραπεζικής επιταγής από τον εταιρικό λογαριασμό του λήπτη της ενίσχυσης (δικαιούχου) προς τον προμηθευτή, η οποία πρέπει να έχει πληρωθεί από την Τράπεζα σε χρόνο προγενέστερο της συμβατικής ημερομηνίας ολοκλήρωσης του έργου. Για την πιστοποίηση της πληρωμής απαιτείται τουλάχιστον: (α) τα σχετικά με την εκδοθείσα τραπεζική επιταγή έντυπα κίνησης των επαγγελματικών τραπεζικών λογαριασμών (extrait) της επιχορηγούμενης επιχείρησης και βεβαίωση της τράπεζας ότι έχει εξοφληθεί (αριθμός επιταγής-ημερομηνία-ποσό), (β) φωτοαντίγραφο του σώματος της επιταγής, (γ) απόδειξη είσπραξης του προμηθευτή και (δ) καρτέλα προμηθευτή (λογαριασμός</w:t>
      </w:r>
      <w:r>
        <w:rPr>
          <w:spacing w:val="-21"/>
          <w:sz w:val="22"/>
        </w:rPr>
        <w:t> </w:t>
      </w:r>
      <w:r>
        <w:rPr>
          <w:sz w:val="22"/>
        </w:rPr>
        <w:t>50).</w:t>
      </w:r>
    </w:p>
    <w:p>
      <w:pPr>
        <w:pStyle w:val="ListParagraph"/>
        <w:numPr>
          <w:ilvl w:val="0"/>
          <w:numId w:val="19"/>
        </w:numPr>
        <w:tabs>
          <w:tab w:pos="528" w:val="left" w:leader="none"/>
        </w:tabs>
        <w:spacing w:line="276" w:lineRule="auto" w:before="118" w:after="0"/>
        <w:ind w:left="527" w:right="114" w:hanging="427"/>
        <w:jc w:val="both"/>
        <w:rPr>
          <w:rFonts w:ascii="Symbol" w:hAnsi="Symbol"/>
          <w:sz w:val="22"/>
        </w:rPr>
      </w:pPr>
      <w:r>
        <w:rPr>
          <w:sz w:val="22"/>
        </w:rPr>
        <w:t>Κατάθεση μετρητών από τον λήπτη της ενίσχυσης (δικαιούχο) στον τραπεζικό λογαριασμό του προμηθευτή. Για την πιστοποίηση της πληρωμής απαιτείται τουλάχιστον: (α) το αντίγραφο κατάθεσης του ποσού στον τραπεζικό λογαριασμό από τον οποίο θα φαίνεται ως δικαιούχος του λογαριασμού ο προμηθευτής των αγαθών ή και υπηρεσιών προς τον λήπτη της ενίσχυσης (δικαιούχο), ο καταθέτης – επενδυτής, καθώς και τα στοιχεία του παραστατικού που αφορά η πληρωμή, (β) καρτέλα ταμείου (λογαριασμός 38) ή/και extrait εταιρικού λογαριασμού από όπου θα διαπιστώνεται η ανάληψη των μετρητών, (γ) απόδειξη είσπραξης του προμηθευτή και (δ) καρτέλα προμηθευτή (λογαριασμός</w:t>
      </w:r>
      <w:r>
        <w:rPr>
          <w:spacing w:val="-25"/>
          <w:sz w:val="22"/>
        </w:rPr>
        <w:t> </w:t>
      </w:r>
      <w:r>
        <w:rPr>
          <w:sz w:val="22"/>
        </w:rPr>
        <w:t>50).</w:t>
      </w:r>
    </w:p>
    <w:p>
      <w:pPr>
        <w:pStyle w:val="ListParagraph"/>
        <w:numPr>
          <w:ilvl w:val="1"/>
          <w:numId w:val="19"/>
        </w:numPr>
        <w:tabs>
          <w:tab w:pos="528" w:val="left" w:leader="none"/>
        </w:tabs>
        <w:spacing w:line="276" w:lineRule="auto" w:before="121" w:after="0"/>
        <w:ind w:left="527" w:right="118" w:hanging="286"/>
        <w:jc w:val="both"/>
        <w:rPr>
          <w:rFonts w:ascii="Symbol" w:hAnsi="Symbol"/>
          <w:sz w:val="22"/>
        </w:rPr>
      </w:pPr>
      <w:r>
        <w:rPr>
          <w:sz w:val="22"/>
        </w:rPr>
        <w:t>Μεταφορά από τον εταιρικό λογαριασμό του λήπτη της ενίσχυσης (δικαιούχου) σε εταιρικό λογαριασμό του προμηθευτή. Για την πιστοποίηση της πληρωμής απαιτείται τουλάχιστον: (α) αντίγραφο του εγγράφου της τράπεζας για μεταφορά χρημάτων όπου φαίνονται τα στοιχεία των λογαριασμών (β) απόδειξη είσπραξης του προμηθευτή (γ) καρτέλα προμηθευτή (λογαριασμός</w:t>
      </w:r>
      <w:r>
        <w:rPr>
          <w:spacing w:val="-23"/>
          <w:sz w:val="22"/>
        </w:rPr>
        <w:t> </w:t>
      </w:r>
      <w:r>
        <w:rPr>
          <w:sz w:val="22"/>
        </w:rPr>
        <w:t>50).</w:t>
      </w:r>
    </w:p>
    <w:p>
      <w:pPr>
        <w:pStyle w:val="ListParagraph"/>
        <w:numPr>
          <w:ilvl w:val="1"/>
          <w:numId w:val="19"/>
        </w:numPr>
        <w:tabs>
          <w:tab w:pos="528" w:val="left" w:leader="none"/>
        </w:tabs>
        <w:spacing w:line="276" w:lineRule="auto" w:before="121" w:after="0"/>
        <w:ind w:left="527" w:right="118" w:hanging="286"/>
        <w:jc w:val="both"/>
        <w:rPr>
          <w:rFonts w:ascii="Symbol" w:hAnsi="Symbol"/>
          <w:sz w:val="22"/>
        </w:rPr>
      </w:pPr>
      <w:r>
        <w:rPr>
          <w:sz w:val="22"/>
        </w:rPr>
        <w:t>Έκδοση Τραπεζικής Επιταγής από την επιχορηγούμενη επιχείρηση προς τον προμηθευτή, από νόμιμα λειτουργούσα στην Ελλάδα τράπεζα, μέσω αντίστοιχης κατάθεσης μετρητών στην τράπεζα από την επιχορηγούμενη επιχείρηση. Για την πιστοποίηση της πληρωμής αποδεικτικά εκτός των άλλων (π.χ. καταθετήριο) αποτελούν τα έγγραφα της τράπεζας για την έκδοση της επιταγής προς τον προμηθευτή, αντίγραφο και φωτοτυπία του σώματος της αντίστοιχης</w:t>
      </w:r>
      <w:r>
        <w:rPr>
          <w:spacing w:val="-14"/>
          <w:sz w:val="22"/>
        </w:rPr>
        <w:t> </w:t>
      </w:r>
      <w:r>
        <w:rPr>
          <w:sz w:val="22"/>
        </w:rPr>
        <w:t>επιταγής.</w:t>
      </w:r>
    </w:p>
    <w:p>
      <w:pPr>
        <w:pStyle w:val="ListParagraph"/>
        <w:numPr>
          <w:ilvl w:val="0"/>
          <w:numId w:val="19"/>
        </w:numPr>
        <w:tabs>
          <w:tab w:pos="528" w:val="left" w:leader="none"/>
        </w:tabs>
        <w:spacing w:line="276" w:lineRule="auto" w:before="121" w:after="0"/>
        <w:ind w:left="527" w:right="116" w:hanging="427"/>
        <w:jc w:val="both"/>
        <w:rPr>
          <w:rFonts w:ascii="Symbol" w:hAnsi="Symbol"/>
          <w:sz w:val="22"/>
        </w:rPr>
      </w:pPr>
      <w:r>
        <w:rPr>
          <w:sz w:val="22"/>
        </w:rPr>
        <w:t>Ηλεκτρονική συναλλαγή (κίνηση web-banking ή κίνηση μεταφοράς μέσω web από και προς ταυτοποιημένο λογαριασμό πληρωμών που τηρείται σε Πάροχο Υπηρεσιών Πληρωμών. Για την πιστοποίηση της πληρωμής απαιτούνται: (α) αντίγραφο κίνησης του εταιρικού λογαριασμού (extrait) που τηρείται σε Τράπεζα ή σε Πάροχο Υπηρεσιών Πληρωμών του λήπτη της ενίσχυσης (δικαιούχου) χρονικής διάρκειας τουλάχιστον ενός μηνός μετά την πραγματοποίηση της πληρωμής, (β) αντίγραφο της</w:t>
      </w:r>
      <w:r>
        <w:rPr>
          <w:spacing w:val="21"/>
          <w:sz w:val="22"/>
        </w:rPr>
        <w:t> </w:t>
      </w:r>
      <w:r>
        <w:rPr>
          <w:sz w:val="22"/>
        </w:rPr>
        <w:t>ηλεκτρονικής</w:t>
      </w:r>
      <w:r>
        <w:rPr>
          <w:spacing w:val="19"/>
          <w:sz w:val="22"/>
        </w:rPr>
        <w:t> </w:t>
      </w:r>
      <w:r>
        <w:rPr>
          <w:sz w:val="22"/>
        </w:rPr>
        <w:t>συναλλαγής</w:t>
      </w:r>
      <w:r>
        <w:rPr>
          <w:spacing w:val="21"/>
          <w:sz w:val="22"/>
        </w:rPr>
        <w:t> </w:t>
      </w:r>
      <w:r>
        <w:rPr>
          <w:sz w:val="22"/>
        </w:rPr>
        <w:t>από</w:t>
      </w:r>
      <w:r>
        <w:rPr>
          <w:spacing w:val="19"/>
          <w:sz w:val="22"/>
        </w:rPr>
        <w:t> </w:t>
      </w:r>
      <w:r>
        <w:rPr>
          <w:sz w:val="22"/>
        </w:rPr>
        <w:t>το</w:t>
      </w:r>
      <w:r>
        <w:rPr>
          <w:spacing w:val="19"/>
          <w:sz w:val="22"/>
        </w:rPr>
        <w:t> </w:t>
      </w:r>
      <w:r>
        <w:rPr>
          <w:sz w:val="22"/>
        </w:rPr>
        <w:t>οποίο</w:t>
      </w:r>
      <w:r>
        <w:rPr>
          <w:spacing w:val="19"/>
          <w:sz w:val="22"/>
        </w:rPr>
        <w:t> </w:t>
      </w:r>
      <w:r>
        <w:rPr>
          <w:sz w:val="22"/>
        </w:rPr>
        <w:t>θα</w:t>
      </w:r>
      <w:r>
        <w:rPr>
          <w:spacing w:val="18"/>
          <w:sz w:val="22"/>
        </w:rPr>
        <w:t> </w:t>
      </w:r>
      <w:r>
        <w:rPr>
          <w:sz w:val="22"/>
        </w:rPr>
        <w:t>προκύπτει</w:t>
      </w:r>
      <w:r>
        <w:rPr>
          <w:spacing w:val="18"/>
          <w:sz w:val="22"/>
        </w:rPr>
        <w:t> </w:t>
      </w:r>
      <w:r>
        <w:rPr>
          <w:sz w:val="22"/>
        </w:rPr>
        <w:t>ο</w:t>
      </w:r>
      <w:r>
        <w:rPr>
          <w:spacing w:val="19"/>
          <w:sz w:val="22"/>
        </w:rPr>
        <w:t> </w:t>
      </w:r>
      <w:r>
        <w:rPr>
          <w:sz w:val="22"/>
        </w:rPr>
        <w:t>λήπτης</w:t>
      </w:r>
      <w:r>
        <w:rPr>
          <w:spacing w:val="19"/>
          <w:sz w:val="22"/>
        </w:rPr>
        <w:t> </w:t>
      </w:r>
      <w:r>
        <w:rPr>
          <w:sz w:val="22"/>
        </w:rPr>
        <w:t>του</w:t>
      </w:r>
      <w:r>
        <w:rPr>
          <w:spacing w:val="21"/>
          <w:sz w:val="22"/>
        </w:rPr>
        <w:t> </w:t>
      </w:r>
      <w:r>
        <w:rPr>
          <w:sz w:val="22"/>
        </w:rPr>
        <w:t>ποσού</w:t>
      </w:r>
      <w:r>
        <w:rPr>
          <w:spacing w:val="19"/>
          <w:sz w:val="22"/>
        </w:rPr>
        <w:t> </w:t>
      </w:r>
      <w:r>
        <w:rPr>
          <w:sz w:val="22"/>
        </w:rPr>
        <w:t>πληρωμής,</w:t>
      </w:r>
      <w:r>
        <w:rPr>
          <w:spacing w:val="19"/>
          <w:sz w:val="22"/>
        </w:rPr>
        <w:t> </w:t>
      </w:r>
      <w:r>
        <w:rPr>
          <w:sz w:val="22"/>
        </w:rPr>
        <w:t>δηλαδή</w:t>
      </w:r>
      <w:r>
        <w:rPr>
          <w:spacing w:val="15"/>
          <w:sz w:val="22"/>
        </w:rPr>
        <w:t> </w:t>
      </w:r>
      <w:r>
        <w:rPr>
          <w:sz w:val="22"/>
        </w:rPr>
        <w:t>ο</w:t>
      </w:r>
    </w:p>
    <w:p>
      <w:pPr>
        <w:spacing w:after="0" w:line="276" w:lineRule="auto"/>
        <w:jc w:val="both"/>
        <w:rPr>
          <w:rFonts w:ascii="Symbol" w:hAnsi="Symbol"/>
          <w:sz w:val="22"/>
        </w:rPr>
        <w:sectPr>
          <w:pgSz w:w="11910" w:h="16840"/>
          <w:pgMar w:header="748" w:footer="734" w:top="1420" w:bottom="920" w:left="980" w:right="960"/>
        </w:sectPr>
      </w:pPr>
    </w:p>
    <w:p>
      <w:pPr>
        <w:pStyle w:val="BodyText"/>
        <w:spacing w:before="7"/>
        <w:rPr>
          <w:sz w:val="17"/>
        </w:rPr>
      </w:pPr>
    </w:p>
    <w:p>
      <w:pPr>
        <w:pStyle w:val="BodyText"/>
        <w:spacing w:line="276" w:lineRule="auto" w:before="57"/>
        <w:ind w:left="527"/>
      </w:pPr>
      <w:r>
        <w:rPr/>
        <w:t>προμηθευτής των αγαθών και υπηρεσιών και ο πληρωτής/καταθέτης, δηλαδή ο δικαιούχος της ενίσχυσης και (γ) αναλυτικό καθολικό (καρτέλα) προμηθευτή (λογαριασμός 50).</w:t>
      </w:r>
    </w:p>
    <w:p>
      <w:pPr>
        <w:pStyle w:val="ListParagraph"/>
        <w:numPr>
          <w:ilvl w:val="0"/>
          <w:numId w:val="19"/>
        </w:numPr>
        <w:tabs>
          <w:tab w:pos="528" w:val="left" w:leader="none"/>
        </w:tabs>
        <w:spacing w:line="276" w:lineRule="auto" w:before="118" w:after="0"/>
        <w:ind w:left="527" w:right="114" w:hanging="427"/>
        <w:jc w:val="both"/>
        <w:rPr>
          <w:rFonts w:ascii="Symbol" w:hAnsi="Symbol"/>
          <w:sz w:val="22"/>
        </w:rPr>
      </w:pPr>
      <w:r>
        <w:rPr>
          <w:sz w:val="22"/>
        </w:rPr>
        <w:t>Εξόφληση μέσω κάρτας πληρωμών (χρεωστικής, πιστωτικής, προπληρωμένης). Προϋπόθεση για την πιστοποίηση της πληρωμής είναι η κάρτα να έχει εκδοθεί στο όνομα της δικαιούχου επιχείρησης της ενίσχυσης, ή να συνδέεται απαραιτήτως με λογαριασμό πληρωμών που τηρείται σε Πάροχο  Υπηρεσιών Πληρωμών στο όνομα της δικαιούχου επιχείρησης της ενίσχυσης, ή του επιχειρηματία για την περίπτωση ατομικών επιχειρήσεων. Σε κάθε περίπτωση πρέπει να υπάρχει επαρκής διαδρομή ελέγχου, δηλαδή να αποδεικνύεται η αγορά των αντίστοιχων αγαθών/υπηρεσιών και η χρέωση της κάρτας του Δικαιούχου (ανεξάρτητα εάν η συναλλαγή αυτή πραγματοποιείται με δόσεις ή με εφάπαξ καταβολή). Για την πιστοποίηση απαιτούνται: (α) αντίγραφο κίνησης κάρτας ή  λογαριασμού πληρωμών του λήπτη της ενίσχυσης (δικαιούχου) που τηρείται σε Πάροχο Υπηρεσιών Πληρωμών που αποτυπώνει τις κινήσεις της κάρτας και στο οποίο να εμφαίνεται μία δόση ή η εφάπαξ καταβολή για τη συναλλαγή και (β) αναλυτικό καθολικό (καρτέλα) προμηθευτή (λογαριασμός 50) και καρτέλα πελάτη (λογ. 30) της αντισυμβαλλόμενης</w:t>
      </w:r>
      <w:r>
        <w:rPr>
          <w:spacing w:val="-11"/>
          <w:sz w:val="22"/>
        </w:rPr>
        <w:t> </w:t>
      </w:r>
      <w:r>
        <w:rPr>
          <w:sz w:val="22"/>
        </w:rPr>
        <w:t>επιχείρησης.</w:t>
      </w:r>
    </w:p>
    <w:p>
      <w:pPr>
        <w:pStyle w:val="ListParagraph"/>
        <w:numPr>
          <w:ilvl w:val="0"/>
          <w:numId w:val="19"/>
        </w:numPr>
        <w:tabs>
          <w:tab w:pos="528" w:val="left" w:leader="none"/>
        </w:tabs>
        <w:spacing w:line="276" w:lineRule="auto" w:before="121" w:after="0"/>
        <w:ind w:left="527" w:right="119" w:hanging="360"/>
        <w:jc w:val="both"/>
        <w:rPr>
          <w:rFonts w:ascii="Symbol" w:hAnsi="Symbol"/>
          <w:sz w:val="22"/>
        </w:rPr>
      </w:pPr>
      <w:r>
        <w:rPr>
          <w:sz w:val="22"/>
        </w:rPr>
        <w:t>Έκδοση ταχυδρομικής επιταγής - ταχυπληρωμής με κατάθεση μετρητών του λήπτη της ενίσχυσης (Δικαιούχου) στα ΕΛΤΑ για εξόφληση του προμηθευτή, σε χρόνο προγενέστερο της ημερομηνίας πιστοποίησης της δαπάνης. Για την πιστοποίηση της πληρωμής απαιτείται: (α) αποδεικτικά έκδοσης και είσπραξης της ταχυδρομικής επιταγής, όπου θα αναγράφονται τα στοιχεία του Δικαιούχου και του προμηθευτή και (β) αναλυτικό καθολικό (καρτέλα) προμηθευτή (λογαριασμός 50) και καρτέλα πελάτη (λογ. 30) της αντισυμβαλλόμενης</w:t>
      </w:r>
      <w:r>
        <w:rPr>
          <w:spacing w:val="-11"/>
          <w:sz w:val="22"/>
        </w:rPr>
        <w:t> </w:t>
      </w:r>
      <w:r>
        <w:rPr>
          <w:sz w:val="22"/>
        </w:rPr>
        <w:t>επιχείρησης.</w:t>
      </w:r>
    </w:p>
    <w:p>
      <w:pPr>
        <w:pStyle w:val="BodyText"/>
        <w:spacing w:line="276" w:lineRule="auto" w:before="118"/>
        <w:ind w:left="100" w:right="114"/>
        <w:jc w:val="both"/>
      </w:pPr>
      <w:r>
        <w:rPr/>
        <w:t>Διευκρινίζεται ότι η υποχρέωση προσκόμισης του ως άνω δικαιολογητικού με τίτλο «αναλυτικό καθολικό (καρτέλα) προμηθευτή (λογαριασμός 50)» ισχύει μόνο για τους δικαιούχους που τηρούν διπλογραφικό λογιστικό σύστημα (πρώην βιβλία Γ’ κατηγορίας).</w:t>
      </w:r>
    </w:p>
    <w:p>
      <w:pPr>
        <w:pStyle w:val="BodyText"/>
        <w:spacing w:line="276" w:lineRule="auto" w:before="120"/>
        <w:ind w:left="100" w:right="118"/>
        <w:jc w:val="both"/>
      </w:pPr>
      <w:r>
        <w:rPr/>
        <w:t>Στις περιπτώσεις όπου από τα ως άνω περιγραφόμενα στοιχεία και δικαιολογητικά για τις εξοφλήσεις με τη χρήση τραπεζικού μέσου πληρωμής, δεν προκύπτουν σαφώς τα στοιχεία των αντισυμβαλλομένων ή για εξοφλήσεις δαπανών ειδικού τύπου (π.χ. εξοφλήσεις ενοικίων) δύναται να ζητείται επιπλέον απόδειξη είσπραξης ή έγγραφο ισοδύναμης αποδεικτικής αξίας π.χ. βεβαίωση προμηθευτή περί εξόφλησης της συναλλαγής.</w:t>
      </w:r>
    </w:p>
    <w:p>
      <w:pPr>
        <w:pStyle w:val="BodyText"/>
        <w:spacing w:line="276" w:lineRule="auto" w:before="120"/>
        <w:ind w:left="100" w:right="117"/>
        <w:jc w:val="both"/>
      </w:pPr>
      <w:r>
        <w:rPr/>
        <w:t>Σε περίπτωση εξόφλησης παραστατικού μέσω μετρητών (καθαρής αξίας έως και 500€) τα απαιτούμενα στοιχεία και δικαιολογητικά για τις συναλλαγές αυτές είναι (εκτός του τιμολογίου αγοράς αγαθών ή παροχής υπηρεσιών): απόδειξη είσπραξης του προμηθευτή ή έγγραφο ισοδύναμης αποδεικτικής αξίας π.χ. βεβαίωση προμηθευτή περί εξόφλησης της συναλλαγής.</w:t>
      </w:r>
    </w:p>
    <w:p>
      <w:pPr>
        <w:pStyle w:val="BodyText"/>
        <w:spacing w:line="276" w:lineRule="auto" w:before="120"/>
        <w:ind w:left="100" w:right="119"/>
        <w:jc w:val="both"/>
      </w:pPr>
      <w:r>
        <w:rPr/>
        <w:t>Το σύνολο των ως άνω συναλλαγών πρέπει να συνοδεύεται από τις κατά περίπτωση και σύμφωνα με την τηρούμενη κατηγορία λογιστικών βιβλίων της επιχείρησης (Απλογραφικά ή Διπλογραφικά), λογιστικές καταχωρήσεις βάσει των Ελληνικών Λογιστικών Προτύπων (Ν. 4308/2014).</w:t>
      </w:r>
    </w:p>
    <w:p>
      <w:pPr>
        <w:pStyle w:val="BodyText"/>
        <w:spacing w:line="276" w:lineRule="auto" w:before="120"/>
        <w:ind w:left="100" w:right="116"/>
        <w:jc w:val="both"/>
      </w:pPr>
      <w:r>
        <w:rPr/>
        <w:t>Στο μισθολογικό κόστος υφιστάμενου ή νέου προσωπικού περιλαμβάνονται όλες οι νόμιμες αποδοχές &amp; ασφαλιστικές εισφορές, σύμφωνα με τις εκάστοτε ισχύουσες διατάξεις, καθώς και οι υποχρεώσεις της επιχείρησης προς τους φορείς του Δημοσίου, εξαιρουμένης της αποζημίωσης απόλυσης. Η δαπάνη της μισθοδοσίας ειδικά, εξοφλείται αποκλειστικά με τη χρήση τραπεζικού μέσου πληρωμής. Για την πιστοποίηση της πληρωμής απαιτούνται:</w:t>
      </w:r>
    </w:p>
    <w:p>
      <w:pPr>
        <w:spacing w:after="0" w:line="276" w:lineRule="auto"/>
        <w:jc w:val="both"/>
        <w:sectPr>
          <w:footerReference w:type="default" r:id="rId29"/>
          <w:pgSz w:w="11910" w:h="16840"/>
          <w:pgMar w:footer="734" w:header="748" w:top="1420" w:bottom="920" w:left="980" w:right="960"/>
        </w:sectPr>
      </w:pPr>
    </w:p>
    <w:p>
      <w:pPr>
        <w:pStyle w:val="BodyText"/>
        <w:rPr>
          <w:sz w:val="14"/>
        </w:rPr>
      </w:pPr>
    </w:p>
    <w:p>
      <w:pPr>
        <w:pStyle w:val="ListParagraph"/>
        <w:numPr>
          <w:ilvl w:val="0"/>
          <w:numId w:val="19"/>
        </w:numPr>
        <w:tabs>
          <w:tab w:pos="548" w:val="left" w:leader="none"/>
        </w:tabs>
        <w:spacing w:line="276" w:lineRule="auto" w:before="101" w:after="0"/>
        <w:ind w:left="547" w:right="122" w:hanging="439"/>
        <w:jc w:val="both"/>
        <w:rPr>
          <w:rFonts w:ascii="Symbol" w:hAnsi="Symbol"/>
          <w:sz w:val="22"/>
        </w:rPr>
      </w:pPr>
      <w:r>
        <w:rPr>
          <w:sz w:val="22"/>
        </w:rPr>
        <w:t>Μισθοδοτικές καταστάσεις (ατομικές) σφραγισμένες και υπογεγραμμένες από τον λογιστή και το νόμιμο εκπρόσωπο επιχείρησης, για το διάστημα κατά το οποίο επιδοτείται η θέση</w:t>
      </w:r>
      <w:r>
        <w:rPr>
          <w:spacing w:val="-14"/>
          <w:sz w:val="22"/>
        </w:rPr>
        <w:t> </w:t>
      </w:r>
      <w:r>
        <w:rPr>
          <w:sz w:val="22"/>
        </w:rPr>
        <w:t>απασχόλησης.</w:t>
      </w:r>
    </w:p>
    <w:p>
      <w:pPr>
        <w:pStyle w:val="ListParagraph"/>
        <w:numPr>
          <w:ilvl w:val="0"/>
          <w:numId w:val="19"/>
        </w:numPr>
        <w:tabs>
          <w:tab w:pos="548" w:val="left" w:leader="none"/>
        </w:tabs>
        <w:spacing w:line="276" w:lineRule="auto" w:before="118" w:after="0"/>
        <w:ind w:left="547" w:right="112" w:hanging="427"/>
        <w:jc w:val="both"/>
        <w:rPr>
          <w:rFonts w:ascii="Symbol" w:hAnsi="Symbol"/>
          <w:sz w:val="22"/>
        </w:rPr>
      </w:pPr>
      <w:r>
        <w:rPr>
          <w:sz w:val="22"/>
        </w:rPr>
        <w:t>Δικαιολογητικό πληρωμής μισθοδοσίας σε τραπεζικό λογαριασμό του εργαζόμενου (κίνηση extrait ή καταθετήριο σε τραπεζικό</w:t>
      </w:r>
      <w:r>
        <w:rPr>
          <w:spacing w:val="-6"/>
          <w:sz w:val="22"/>
        </w:rPr>
        <w:t> </w:t>
      </w:r>
      <w:r>
        <w:rPr>
          <w:sz w:val="22"/>
        </w:rPr>
        <w:t>λογαριασμό).</w:t>
      </w:r>
    </w:p>
    <w:p>
      <w:pPr>
        <w:pStyle w:val="ListParagraph"/>
        <w:numPr>
          <w:ilvl w:val="0"/>
          <w:numId w:val="19"/>
        </w:numPr>
        <w:tabs>
          <w:tab w:pos="548" w:val="left" w:leader="none"/>
        </w:tabs>
        <w:spacing w:line="273" w:lineRule="auto" w:before="121" w:after="0"/>
        <w:ind w:left="547" w:right="118" w:hanging="427"/>
        <w:jc w:val="both"/>
        <w:rPr>
          <w:rFonts w:ascii="Symbol" w:hAnsi="Symbol"/>
          <w:sz w:val="22"/>
        </w:rPr>
      </w:pPr>
      <w:r>
        <w:rPr>
          <w:sz w:val="22"/>
        </w:rPr>
        <w:t>Αποδεικτικά καταβολής εργοδοτικών και ασφαλιστικών εισφορών. Σε περίπτωση που έχουν καταβληθεί οι καθαρές (πληρωτέες) αποδοχές και δεν έχουν αποδοθεί οι αναλογούσες ασφαλιστικές εισφορές και ο αντίστοιχος φόρος, δύναται να πιστοποιηθούν οι ως άνω καθαρές αποδοχές υπό τον όρο ότι ο δικαιούχος έχει προβεί σε ρύθμιση των οφειλών του την οποία και</w:t>
      </w:r>
      <w:r>
        <w:rPr>
          <w:spacing w:val="-15"/>
          <w:sz w:val="22"/>
        </w:rPr>
        <w:t> </w:t>
      </w:r>
      <w:r>
        <w:rPr>
          <w:sz w:val="22"/>
        </w:rPr>
        <w:t>εξυπηρετεί.</w:t>
      </w:r>
    </w:p>
    <w:p>
      <w:pPr>
        <w:pStyle w:val="ListParagraph"/>
        <w:numPr>
          <w:ilvl w:val="0"/>
          <w:numId w:val="19"/>
        </w:numPr>
        <w:tabs>
          <w:tab w:pos="547" w:val="left" w:leader="none"/>
          <w:tab w:pos="548" w:val="left" w:leader="none"/>
        </w:tabs>
        <w:spacing w:line="379" w:lineRule="auto" w:before="123" w:after="0"/>
        <w:ind w:left="120" w:right="6727" w:firstLine="0"/>
        <w:jc w:val="left"/>
        <w:rPr>
          <w:rFonts w:ascii="Symbol" w:hAnsi="Symbol"/>
          <w:sz w:val="22"/>
        </w:rPr>
      </w:pPr>
      <w:r>
        <w:rPr>
          <w:sz w:val="22"/>
        </w:rPr>
        <w:t>Αποδεικτικά καταβολής ΦΜΥ. Επισημαίνεται</w:t>
      </w:r>
      <w:r>
        <w:rPr>
          <w:spacing w:val="-3"/>
          <w:sz w:val="22"/>
        </w:rPr>
        <w:t> </w:t>
      </w:r>
      <w:r>
        <w:rPr>
          <w:sz w:val="22"/>
        </w:rPr>
        <w:t>ότι:</w:t>
      </w:r>
    </w:p>
    <w:p>
      <w:pPr>
        <w:pStyle w:val="ListParagraph"/>
        <w:numPr>
          <w:ilvl w:val="0"/>
          <w:numId w:val="40"/>
        </w:numPr>
        <w:tabs>
          <w:tab w:pos="481" w:val="left" w:leader="none"/>
        </w:tabs>
        <w:spacing w:line="276" w:lineRule="auto" w:before="3" w:after="0"/>
        <w:ind w:left="480" w:right="115" w:hanging="360"/>
        <w:jc w:val="both"/>
        <w:rPr>
          <w:sz w:val="22"/>
        </w:rPr>
      </w:pPr>
      <w:r>
        <w:rPr>
          <w:sz w:val="22"/>
        </w:rPr>
        <w:t>Το σύνολο των δαπανών θα πρέπει να έχει εξοφληθεί πλήρως πριν από την οριστικοποίηση της τελικής έκθεσης επαλήθευσης-πιστοποίησης και σε κάθε περίπτωση το αργότερο 24 μήνες από την ημερομηνία ένταξης του επενδυτικού</w:t>
      </w:r>
      <w:r>
        <w:rPr>
          <w:spacing w:val="-5"/>
          <w:sz w:val="22"/>
        </w:rPr>
        <w:t> </w:t>
      </w:r>
      <w:r>
        <w:rPr>
          <w:sz w:val="22"/>
        </w:rPr>
        <w:t>σχεδίου.</w:t>
      </w:r>
    </w:p>
    <w:p>
      <w:pPr>
        <w:pStyle w:val="ListParagraph"/>
        <w:numPr>
          <w:ilvl w:val="0"/>
          <w:numId w:val="40"/>
        </w:numPr>
        <w:tabs>
          <w:tab w:pos="481" w:val="left" w:leader="none"/>
        </w:tabs>
        <w:spacing w:line="276" w:lineRule="auto" w:before="118" w:after="0"/>
        <w:ind w:left="480" w:right="117" w:hanging="360"/>
        <w:jc w:val="both"/>
        <w:rPr>
          <w:sz w:val="22"/>
        </w:rPr>
      </w:pPr>
      <w:r>
        <w:rPr>
          <w:sz w:val="22"/>
        </w:rPr>
        <w:t>Ο Δικαιούχος μπορεί να λαμβάνει και να εκδίδει ηλεκτρονικά τιμολόγια. Ηλεκτρονικό τιμολόγιο είναι οποιοδήποτε τιμολόγιο περιέχει τις πληροφορίες που απαιτούνται από τα Ελληνικά Λογιστικά Πρότυπα (Ν. 4308/2014) και το οποίο έχει εκδοθεί και ληφθεί σε ηλεκτρονική μορφή. Για τους σκοπούς πιστοποίησης των δαπανών της επένδυσης, τα ηλεκτρονικά τιμολόγια θα πρέπει σε κάθε περίπτωση να εκτυπώνονται.</w:t>
      </w:r>
    </w:p>
    <w:p>
      <w:pPr>
        <w:pStyle w:val="ListParagraph"/>
        <w:numPr>
          <w:ilvl w:val="0"/>
          <w:numId w:val="40"/>
        </w:numPr>
        <w:tabs>
          <w:tab w:pos="481" w:val="left" w:leader="none"/>
        </w:tabs>
        <w:spacing w:line="276" w:lineRule="auto" w:before="121" w:after="0"/>
        <w:ind w:left="480" w:right="119" w:hanging="360"/>
        <w:jc w:val="both"/>
        <w:rPr>
          <w:sz w:val="22"/>
        </w:rPr>
      </w:pPr>
      <w:r>
        <w:rPr>
          <w:sz w:val="22"/>
        </w:rPr>
        <w:t>Ο δικαιούχος υποχρεούται στην τήρηση ξεχωριστής λογιστικής μερίδας για την πράξη στην οποία θα καταχωρίζονται όλες οι σχετικές δαπάνες του επενδυτικού σχεδίου. Σε περίπτωση μη τήρησης ξεχωριστής λογιστικής μερίδας θα πρέπει να είναι διακριτό το σύνολο των δαπανών της επιχορηγούμενης</w:t>
      </w:r>
      <w:r>
        <w:rPr>
          <w:spacing w:val="-6"/>
          <w:sz w:val="22"/>
        </w:rPr>
        <w:t> </w:t>
      </w:r>
      <w:r>
        <w:rPr>
          <w:sz w:val="22"/>
        </w:rPr>
        <w:t>επένδυσης.</w:t>
      </w:r>
    </w:p>
    <w:p>
      <w:pPr>
        <w:pStyle w:val="ListParagraph"/>
        <w:numPr>
          <w:ilvl w:val="0"/>
          <w:numId w:val="40"/>
        </w:numPr>
        <w:tabs>
          <w:tab w:pos="481" w:val="left" w:leader="none"/>
        </w:tabs>
        <w:spacing w:line="276" w:lineRule="auto" w:before="118" w:after="0"/>
        <w:ind w:left="480" w:right="116" w:hanging="360"/>
        <w:jc w:val="both"/>
        <w:rPr>
          <w:sz w:val="22"/>
        </w:rPr>
      </w:pPr>
      <w:r>
        <w:rPr>
          <w:sz w:val="22"/>
        </w:rPr>
        <w:t>Οι δαπάνες του επενδυτικού σχεδίου είναι επιλέξιμες εφόσον συμμορφώνονται προς τις  απαιτήσεις της εφαρμοστέας ισχύουσας φορολογικής και εργατικής</w:t>
      </w:r>
      <w:r>
        <w:rPr>
          <w:spacing w:val="-10"/>
          <w:sz w:val="22"/>
        </w:rPr>
        <w:t> </w:t>
      </w:r>
      <w:r>
        <w:rPr>
          <w:sz w:val="22"/>
        </w:rPr>
        <w:t>νομοθεσίας.</w:t>
      </w:r>
    </w:p>
    <w:p>
      <w:pPr>
        <w:pStyle w:val="ListParagraph"/>
        <w:numPr>
          <w:ilvl w:val="0"/>
          <w:numId w:val="40"/>
        </w:numPr>
        <w:tabs>
          <w:tab w:pos="481" w:val="left" w:leader="none"/>
        </w:tabs>
        <w:spacing w:line="276" w:lineRule="auto" w:before="118" w:after="0"/>
        <w:ind w:left="480" w:right="118" w:hanging="360"/>
        <w:jc w:val="both"/>
        <w:rPr>
          <w:sz w:val="22"/>
        </w:rPr>
      </w:pPr>
      <w:r>
        <w:rPr>
          <w:sz w:val="22"/>
        </w:rPr>
        <w:t>Όλες οι εταιρείες-προμηθευτές της επιχείρησης για τις δαπάνες της δράσης θα πρέπει να τηρούν εταιρικό τραπεζικό λογαριασμό. Σε περίπτωση καταθέσεων σε προσωπικό λογαριασμό και όχι εταιρικό (εξαιρούνται οι προμηθευτές που είναι ατομικές επιχειρήσεις) δεν θα πιστοποιούνται οι εν λόγω δαπάνες.</w:t>
      </w:r>
    </w:p>
    <w:p>
      <w:pPr>
        <w:pStyle w:val="ListParagraph"/>
        <w:numPr>
          <w:ilvl w:val="0"/>
          <w:numId w:val="40"/>
        </w:numPr>
        <w:tabs>
          <w:tab w:pos="480" w:val="left" w:leader="none"/>
          <w:tab w:pos="481" w:val="left" w:leader="none"/>
        </w:tabs>
        <w:spacing w:line="240" w:lineRule="auto" w:before="121" w:after="0"/>
        <w:ind w:left="480" w:right="0" w:hanging="360"/>
        <w:jc w:val="left"/>
        <w:rPr>
          <w:sz w:val="22"/>
        </w:rPr>
      </w:pPr>
      <w:r>
        <w:rPr>
          <w:sz w:val="22"/>
        </w:rPr>
        <w:t>Δεν</w:t>
      </w:r>
      <w:r>
        <w:rPr>
          <w:spacing w:val="20"/>
          <w:sz w:val="22"/>
        </w:rPr>
        <w:t> </w:t>
      </w:r>
      <w:r>
        <w:rPr>
          <w:sz w:val="22"/>
        </w:rPr>
        <w:t>είναι</w:t>
      </w:r>
      <w:r>
        <w:rPr>
          <w:spacing w:val="20"/>
          <w:sz w:val="22"/>
        </w:rPr>
        <w:t> </w:t>
      </w:r>
      <w:r>
        <w:rPr>
          <w:sz w:val="22"/>
        </w:rPr>
        <w:t>επιτρεπτή</w:t>
      </w:r>
      <w:r>
        <w:rPr>
          <w:spacing w:val="20"/>
          <w:sz w:val="22"/>
        </w:rPr>
        <w:t> </w:t>
      </w:r>
      <w:r>
        <w:rPr>
          <w:sz w:val="22"/>
        </w:rPr>
        <w:t>η</w:t>
      </w:r>
      <w:r>
        <w:rPr>
          <w:spacing w:val="20"/>
          <w:sz w:val="22"/>
        </w:rPr>
        <w:t> </w:t>
      </w:r>
      <w:r>
        <w:rPr>
          <w:sz w:val="22"/>
        </w:rPr>
        <w:t>εξόφληση</w:t>
      </w:r>
      <w:r>
        <w:rPr>
          <w:spacing w:val="20"/>
          <w:sz w:val="22"/>
        </w:rPr>
        <w:t> </w:t>
      </w:r>
      <w:r>
        <w:rPr>
          <w:sz w:val="22"/>
        </w:rPr>
        <w:t>του</w:t>
      </w:r>
      <w:r>
        <w:rPr>
          <w:spacing w:val="21"/>
          <w:sz w:val="22"/>
        </w:rPr>
        <w:t> </w:t>
      </w:r>
      <w:r>
        <w:rPr>
          <w:sz w:val="22"/>
        </w:rPr>
        <w:t>προμηθευτή</w:t>
      </w:r>
      <w:r>
        <w:rPr>
          <w:spacing w:val="20"/>
          <w:sz w:val="22"/>
        </w:rPr>
        <w:t> </w:t>
      </w:r>
      <w:r>
        <w:rPr>
          <w:sz w:val="22"/>
        </w:rPr>
        <w:t>μέσω</w:t>
      </w:r>
      <w:r>
        <w:rPr>
          <w:spacing w:val="21"/>
          <w:sz w:val="22"/>
        </w:rPr>
        <w:t> </w:t>
      </w:r>
      <w:r>
        <w:rPr>
          <w:sz w:val="22"/>
        </w:rPr>
        <w:t>λογαριασμών</w:t>
      </w:r>
      <w:r>
        <w:rPr>
          <w:spacing w:val="20"/>
          <w:sz w:val="22"/>
        </w:rPr>
        <w:t> </w:t>
      </w:r>
      <w:r>
        <w:rPr>
          <w:sz w:val="22"/>
        </w:rPr>
        <w:t>και</w:t>
      </w:r>
      <w:r>
        <w:rPr>
          <w:spacing w:val="20"/>
          <w:sz w:val="22"/>
        </w:rPr>
        <w:t> </w:t>
      </w:r>
      <w:r>
        <w:rPr>
          <w:sz w:val="22"/>
        </w:rPr>
        <w:t>παραστατικών</w:t>
      </w:r>
      <w:r>
        <w:rPr>
          <w:spacing w:val="20"/>
          <w:sz w:val="22"/>
        </w:rPr>
        <w:t> </w:t>
      </w:r>
      <w:r>
        <w:rPr>
          <w:sz w:val="22"/>
        </w:rPr>
        <w:t>των</w:t>
      </w:r>
      <w:r>
        <w:rPr>
          <w:spacing w:val="20"/>
          <w:sz w:val="22"/>
        </w:rPr>
        <w:t> </w:t>
      </w:r>
      <w:r>
        <w:rPr>
          <w:sz w:val="22"/>
        </w:rPr>
        <w:t>εταίρων</w:t>
      </w:r>
    </w:p>
    <w:p>
      <w:pPr>
        <w:pStyle w:val="BodyText"/>
        <w:spacing w:before="41"/>
        <w:ind w:left="480"/>
      </w:pPr>
      <w:r>
        <w:rPr/>
        <w:t>/μετόχων της επιχείρησης.</w:t>
      </w:r>
    </w:p>
    <w:p>
      <w:pPr>
        <w:pStyle w:val="ListParagraph"/>
        <w:numPr>
          <w:ilvl w:val="0"/>
          <w:numId w:val="40"/>
        </w:numPr>
        <w:tabs>
          <w:tab w:pos="480" w:val="left" w:leader="none"/>
          <w:tab w:pos="481" w:val="left" w:leader="none"/>
        </w:tabs>
        <w:spacing w:line="240" w:lineRule="auto" w:before="159" w:after="0"/>
        <w:ind w:left="480" w:right="0" w:hanging="360"/>
        <w:jc w:val="left"/>
        <w:rPr>
          <w:sz w:val="22"/>
        </w:rPr>
      </w:pPr>
      <w:r>
        <w:rPr>
          <w:sz w:val="22"/>
        </w:rPr>
        <w:t>Δεν γίνεται δεκτή εξόφληση δαπανών με τη χρήση επιταγών</w:t>
      </w:r>
      <w:r>
        <w:rPr>
          <w:spacing w:val="-12"/>
          <w:sz w:val="22"/>
        </w:rPr>
        <w:t> </w:t>
      </w:r>
      <w:r>
        <w:rPr>
          <w:sz w:val="22"/>
        </w:rPr>
        <w:t>τρίτων.</w:t>
      </w:r>
    </w:p>
    <w:p>
      <w:pPr>
        <w:pStyle w:val="ListParagraph"/>
        <w:numPr>
          <w:ilvl w:val="0"/>
          <w:numId w:val="40"/>
        </w:numPr>
        <w:tabs>
          <w:tab w:pos="481" w:val="left" w:leader="none"/>
        </w:tabs>
        <w:spacing w:line="276" w:lineRule="auto" w:before="161" w:after="0"/>
        <w:ind w:left="480" w:right="117" w:hanging="360"/>
        <w:jc w:val="both"/>
        <w:rPr>
          <w:sz w:val="22"/>
        </w:rPr>
      </w:pPr>
      <w:r>
        <w:rPr>
          <w:sz w:val="22"/>
        </w:rPr>
        <w:t>Δεν επιτρέπεται κατακερματισμός (κατάτμηση) δαπάνης που οδηγεί σε αποφυγή των υποχρεώσεων για τους αποδεκτούς τρόπους εξόφλησης (δηλαδή δεν επιτρέπεται τμηματική έκδοση τιμολογίου, με σκοπό την μετάπτωση σε μικρότερη κατηγορία, για την εξόφληση των δαπανών αυτών με</w:t>
      </w:r>
      <w:r>
        <w:rPr>
          <w:spacing w:val="-20"/>
          <w:sz w:val="22"/>
        </w:rPr>
        <w:t> </w:t>
      </w:r>
      <w:r>
        <w:rPr>
          <w:sz w:val="22"/>
        </w:rPr>
        <w:t>μετρητά).</w:t>
      </w:r>
    </w:p>
    <w:p>
      <w:pPr>
        <w:pStyle w:val="ListParagraph"/>
        <w:numPr>
          <w:ilvl w:val="0"/>
          <w:numId w:val="40"/>
        </w:numPr>
        <w:tabs>
          <w:tab w:pos="481" w:val="left" w:leader="none"/>
        </w:tabs>
        <w:spacing w:line="276" w:lineRule="auto" w:before="121" w:after="0"/>
        <w:ind w:left="480" w:right="113" w:hanging="360"/>
        <w:jc w:val="both"/>
        <w:rPr>
          <w:sz w:val="22"/>
        </w:rPr>
      </w:pPr>
      <w:r>
        <w:rPr>
          <w:sz w:val="22"/>
        </w:rPr>
        <w:t>Δεν είναι επιλέξιμοι οι χρεωστικοί τόκοι, οι προμήθειες χρηματοπιστωτικών συναλλαγών, τα έξοδα συναλλάγματος και οι χρεωστικές συναλλαγματικές διαφορές καθώς και τα λοιπά καθαρά χρηματοοικονομικά έξοδα του δικαιούχου. Επίσης, οι δαπάνες για πρόστιμα, χρηματικές ποινές και έξοδα για την επίλυση διαφορών δεν είναι</w:t>
      </w:r>
      <w:r>
        <w:rPr>
          <w:spacing w:val="-8"/>
          <w:sz w:val="22"/>
        </w:rPr>
        <w:t> </w:t>
      </w:r>
      <w:r>
        <w:rPr>
          <w:sz w:val="22"/>
        </w:rPr>
        <w:t>επιλέξιμες.</w:t>
      </w:r>
    </w:p>
    <w:p>
      <w:pPr>
        <w:spacing w:after="0" w:line="276" w:lineRule="auto"/>
        <w:jc w:val="both"/>
        <w:rPr>
          <w:sz w:val="22"/>
        </w:rPr>
        <w:sectPr>
          <w:footerReference w:type="default" r:id="rId30"/>
          <w:pgSz w:w="11910" w:h="16840"/>
          <w:pgMar w:footer="734" w:header="748" w:top="1420" w:bottom="920" w:left="960" w:right="960"/>
          <w:pgNumType w:start="51"/>
        </w:sectPr>
      </w:pPr>
    </w:p>
    <w:p>
      <w:pPr>
        <w:pStyle w:val="BodyText"/>
        <w:rPr>
          <w:sz w:val="14"/>
        </w:rPr>
      </w:pPr>
    </w:p>
    <w:p>
      <w:pPr>
        <w:pStyle w:val="ListParagraph"/>
        <w:numPr>
          <w:ilvl w:val="0"/>
          <w:numId w:val="40"/>
        </w:numPr>
        <w:tabs>
          <w:tab w:pos="461" w:val="left" w:leader="none"/>
        </w:tabs>
        <w:spacing w:line="276" w:lineRule="auto" w:before="101" w:after="0"/>
        <w:ind w:left="460" w:right="119" w:hanging="360"/>
        <w:jc w:val="both"/>
        <w:rPr>
          <w:sz w:val="22"/>
        </w:rPr>
      </w:pPr>
      <w:r>
        <w:rPr>
          <w:sz w:val="22"/>
        </w:rPr>
        <w:t>Για να είναι επιλέξιμες οι δαπάνες της κατηγορίας εξοπλισμού και αποσβέσεων θα πρέπει τα επιχορηγούμενα πάγια (υλικά και άϋλα) να έχουν καταχωρηθεί στο μητρώο παγίων της επιχείρησης σύμφωνα με τα προβλεπόμενα στα Ελληνικά Λογιστικά Πρότυπα και οι αποσβέσεις να διενεργούνται  με βάση την εθνική φορολογική νομοθεσία</w:t>
      </w:r>
      <w:r>
        <w:rPr>
          <w:spacing w:val="-7"/>
          <w:sz w:val="22"/>
        </w:rPr>
        <w:t> </w:t>
      </w:r>
      <w:r>
        <w:rPr>
          <w:sz w:val="22"/>
        </w:rPr>
        <w:t>(ΚΦΕ).</w:t>
      </w:r>
    </w:p>
    <w:p>
      <w:pPr>
        <w:pStyle w:val="BodyText"/>
        <w:spacing w:before="8"/>
        <w:rPr>
          <w:sz w:val="19"/>
        </w:rPr>
      </w:pPr>
    </w:p>
    <w:p>
      <w:pPr>
        <w:pStyle w:val="Heading4"/>
        <w:numPr>
          <w:ilvl w:val="1"/>
          <w:numId w:val="32"/>
        </w:numPr>
        <w:tabs>
          <w:tab w:pos="821" w:val="left" w:leader="none"/>
        </w:tabs>
        <w:spacing w:line="240" w:lineRule="auto" w:before="1" w:after="0"/>
        <w:ind w:left="820" w:right="0" w:hanging="720"/>
        <w:jc w:val="both"/>
      </w:pPr>
      <w:bookmarkStart w:name="_TOC_250021" w:id="35"/>
      <w:r>
        <w:rPr/>
        <w:t>ΠΑΡΑΚΟΛΟΥΘΗΣΗ ΠΡΑΞΕΩΝ – ΕΠΑΛΗΘΕΥΣΕΙΣ –</w:t>
      </w:r>
      <w:r>
        <w:rPr>
          <w:spacing w:val="-12"/>
        </w:rPr>
        <w:t> </w:t>
      </w:r>
      <w:bookmarkEnd w:id="35"/>
      <w:r>
        <w:rPr/>
        <w:t>ΠΙΣΤΟΠΟΙΗΣΕΙΣ</w:t>
      </w:r>
    </w:p>
    <w:p>
      <w:pPr>
        <w:pStyle w:val="BodyText"/>
        <w:spacing w:before="8"/>
        <w:rPr>
          <w:b/>
          <w:sz w:val="19"/>
        </w:rPr>
      </w:pPr>
    </w:p>
    <w:p>
      <w:pPr>
        <w:pStyle w:val="Heading4"/>
        <w:numPr>
          <w:ilvl w:val="2"/>
          <w:numId w:val="32"/>
        </w:numPr>
        <w:tabs>
          <w:tab w:pos="1234" w:val="left" w:leader="none"/>
        </w:tabs>
        <w:spacing w:line="240" w:lineRule="auto" w:before="0" w:after="0"/>
        <w:ind w:left="1233" w:right="0" w:hanging="1081"/>
        <w:jc w:val="both"/>
      </w:pPr>
      <w:bookmarkStart w:name="_TOC_250020" w:id="36"/>
      <w:r>
        <w:rPr/>
        <w:t>Λογιστική</w:t>
      </w:r>
      <w:r>
        <w:rPr>
          <w:spacing w:val="-5"/>
        </w:rPr>
        <w:t> </w:t>
      </w:r>
      <w:bookmarkEnd w:id="36"/>
      <w:r>
        <w:rPr/>
        <w:t>παρακολούθηση</w:t>
      </w:r>
    </w:p>
    <w:p>
      <w:pPr>
        <w:spacing w:line="276" w:lineRule="auto" w:before="118"/>
        <w:ind w:left="100" w:right="117" w:firstLine="0"/>
        <w:jc w:val="both"/>
        <w:rPr>
          <w:b/>
          <w:sz w:val="22"/>
        </w:rPr>
      </w:pPr>
      <w:r>
        <w:rPr>
          <w:b/>
          <w:sz w:val="22"/>
        </w:rPr>
        <w:t>Οι δικαιούχοι είναι υπεύθυνοι εξ ολοκλήρου απέναντι στους αρμόδιους Φορείς για την υλοποίηση, την παρακολούθηση και τη διασφάλιση της προόδου του έργου τους, την ορθή τήρηση των χρονοδιαγραμμάτων και των λοιπών όρων και περιορισμών καθώς και την ολοκλήρωση του φυσικού και οικονομικού αντικειμένου (ΦΟΑ) με βάση τα εγκεκριμένα χαρακτηριστικά του έργου τους.</w:t>
      </w:r>
    </w:p>
    <w:p>
      <w:pPr>
        <w:pStyle w:val="BodyText"/>
        <w:spacing w:line="276" w:lineRule="auto" w:before="118"/>
        <w:ind w:left="100" w:right="118"/>
        <w:jc w:val="both"/>
      </w:pPr>
      <w:r>
        <w:rPr/>
        <w:t>Όσον αφορά τη διαχείριση του έργου τονίζεται ιδιαίτερα ότι είναι απαραίτητη η τήρηση ξεχωριστού λογαριασμού στα λογιστικά βιβλία για τις δαπάνες και οι επιχορηγήσεις του έργου σύμφωνα με το ΕΓΛΣ.  Θα πρέπει, δηλαδή, να τηρούνται για το έργο τελευταίας βαθμίδας λογαριασμοί, όπου θα φαίνονται αναλυτικά οι δαπάνες κατά κατηγορία και οι επιχορηγήσεις. Αυτό ισχύει για όλους τους δικαιούχους. Στην περίπτωση φορέων που τηρούν Β’ κατηγορίας βιβλία, η επιχορήγηση (έσοδα) και οι δαπάνες θα πρέπει να παρακολουθούνται σε ιδιαίτερες στήλες του βιβλίου εσόδων – εξόδων και να εμφανίζονται χωριστά από την λοιπή δραστηριότητα στα αναλυτικά στοιχεία δήλωσης φορολογίας εισοδήματος. Οι λογιστικές καταχωρήσεις στα βιβλία των φορέων θα παρέχουν πλήρη, ακριβή και διακριτή εικόνα των στοιχείων των παραστατικών, που αφορούν το</w:t>
      </w:r>
      <w:r>
        <w:rPr>
          <w:spacing w:val="-6"/>
        </w:rPr>
        <w:t> </w:t>
      </w:r>
      <w:r>
        <w:rPr/>
        <w:t>έργο.</w:t>
      </w:r>
    </w:p>
    <w:p>
      <w:pPr>
        <w:pStyle w:val="BodyText"/>
        <w:spacing w:line="276" w:lineRule="auto" w:before="118"/>
        <w:ind w:left="100" w:right="115"/>
        <w:jc w:val="both"/>
      </w:pPr>
      <w:r>
        <w:rPr/>
        <w:t>Τονίζεται ότι η μη τήρηση ξεχωριστού λογαριασμού για κάποιες (ή όλες τις) κατηγορίες δαπανών θα έχει ως συνέπεια να κριθούν οι σχετικές δαπάνες μη επιλέξιμες. Όλα τα δικαιολογητικά, πρωτότυπα τιμολόγια κ.λπ. παραστατικά στοιχεία δαπανών του έργου τηρούνται από τον αντίστοιχο δικαιούχο και τίθενται, οποτεδήποτε αυτό ζητηθεί, συγκεντρωμένα στη διάθεση της ΔΙΑΠ ΠΘ και των λοιπών αρμοδίων ελεγκτικών οργάνων, που προβλέπονται από την εθνική και κοινοτική νομοθεσία. Φωτοαντίγραφα των τηρουμένων πρωτοτύπων παραστατικών θα τηρούνται σε ιδιαίτερους φακέλους του λογιστηρίου του δικαιούχου ανά έργο, φέροντας ένδειξη του φακέλου όπου βρίσκεται το πρωτότυπο. Τα παραστατικά δαπανών συνοδεύονται υποχρεωτικά από εξοφλημένα τιμολόγια ή από λογιστικά έγγραφα ισοδύναμης αποδεικτικής ισχύος σύμφωνα με την εθνική νομοθεσία. Τα πρωτότυπα των παραστατικών δαπανών πρέπει να σφραγίζονται με την ακόλουθη ένδειξη: </w:t>
      </w:r>
      <w:r>
        <w:rPr>
          <w:b/>
        </w:rPr>
        <w:t>«ΕΠ Θεσσαλίας 2014-2020/ </w:t>
      </w:r>
      <w:r>
        <w:rPr>
          <w:b/>
          <w:i/>
        </w:rPr>
        <w:t>(κωδικός και ακρωνύμιο του έργου</w:t>
      </w:r>
      <w:r>
        <w:rPr>
          <w:b/>
        </w:rPr>
        <w:t>)»</w:t>
      </w:r>
      <w:r>
        <w:rPr/>
        <w:t>.</w:t>
      </w:r>
    </w:p>
    <w:p>
      <w:pPr>
        <w:pStyle w:val="BodyText"/>
        <w:spacing w:line="276" w:lineRule="auto" w:before="121"/>
        <w:ind w:left="100" w:right="114"/>
        <w:jc w:val="both"/>
      </w:pPr>
      <w:r>
        <w:rPr/>
        <w:t>Όλα τα δικαιολογητικά που αφορούν την εκτέλεση του έργου πρέπει να τηρούνται, τόσο κατά τη διάρκεια της περιόδου εκτέλεσης του έργου όσο και μετά απ’ αυτή, για χρονικό διάστημα τουλάχιστον </w:t>
      </w:r>
      <w:r>
        <w:rPr>
          <w:b/>
        </w:rPr>
        <w:t>δέκα (10) </w:t>
      </w:r>
      <w:r>
        <w:rPr/>
        <w:t>ετών μετά την τελευταία καταβολή της δημόσιας επιχορήγησης και πάντως όχι μικρότερο από το χρόνο παραγραφής της αξίωσης του Δημοσίου για την επιστροφή αχρεωστήτως καταβληθέντων ποσών. Η προαναφερθείσα υποχρέωση τήρησης των πρωτοτύπων δικαιολογητικών του έργου εξακολουθεί να ισχύει ακόμη και αν από φορολογικές διατάξεις της εθνικής νομοθεσίας προκύπτει ότι ο φορέας απέκτησε δικαίωμα καταστροφής των σχετικών στοιχείων μετά από φορολογικό έλεγχο. Μη τήρηση των στοιχείων, που θα έχει ως συνέπεια την αδυναμία ελέγχου των πράξεων από τα προβλεπόμενα εθνικά ή κοινοτικά όργανα ελέγχου, θα οδηγήσει σε ανάκληση των σχετικών αποφάσεων ένταξης και επιστροφή του συνόλου της δημόσιας επιχορήγησης.</w:t>
      </w:r>
    </w:p>
    <w:p>
      <w:pPr>
        <w:pStyle w:val="BodyText"/>
        <w:spacing w:line="276" w:lineRule="auto" w:before="121"/>
        <w:ind w:left="100" w:right="118"/>
        <w:jc w:val="both"/>
      </w:pPr>
      <w:r>
        <w:rPr/>
        <w:t>Τονίζεται ότι το σύνολο των παραστατικών δαπανών (π.χ. τιμολογίων) θα πρέπει να έχει εκδοθεί από την ημερομηνία έναρξης επιλεξιμότητας και μέχρι την ημερομηνία λήξης του έργου. Εξαίρεση αποτελούν τα</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100" w:right="123"/>
        <w:jc w:val="both"/>
      </w:pPr>
      <w:r>
        <w:rPr/>
        <w:t>παραστατικά δαπάνης απασχόλησης των ορκωτών λογιστών που τυχόν θα ελέγξουν το οικονομικό αντικείμενο του έργου, τα οποία θα είναι επιλέξιμα μέχρι και τρεις (3) μήνες από τη λήξη κάθε έργου.</w:t>
      </w:r>
    </w:p>
    <w:p>
      <w:pPr>
        <w:pStyle w:val="BodyText"/>
        <w:spacing w:line="276" w:lineRule="auto" w:before="118"/>
        <w:ind w:left="100" w:right="122"/>
        <w:jc w:val="both"/>
      </w:pPr>
      <w:r>
        <w:rPr/>
        <w:t>Προκειμένου μία δαπάνη να κριθεί επιλέξιμη θα πρέπει το αντίστοιχο παραστατικό να έχει εξοφληθεί μετά την ημερομηνία έναρξης επιλεξιμότητας δαπανών και πριν από την ημερομηνία υποβολής της τελικής έκθεσης επαλήθευσης από το όργανο επαλήθευσης.</w:t>
      </w:r>
    </w:p>
    <w:p>
      <w:pPr>
        <w:pStyle w:val="BodyText"/>
        <w:spacing w:line="276" w:lineRule="auto" w:before="118"/>
        <w:ind w:left="100" w:right="117"/>
        <w:jc w:val="both"/>
      </w:pPr>
      <w:r>
        <w:rPr/>
        <w:t>Η λογιστική τεχνική και οικονομική παρακολούθηση των έργων γίνεται από την Διεύθυνση Αναπτυξιακού Προγραμματισμού Περιφέρειας Θεσσαλίας.</w:t>
      </w:r>
    </w:p>
    <w:p>
      <w:pPr>
        <w:pStyle w:val="BodyText"/>
        <w:spacing w:line="276" w:lineRule="auto" w:before="120"/>
        <w:ind w:left="100" w:right="117"/>
        <w:jc w:val="both"/>
      </w:pPr>
      <w:r>
        <w:rPr/>
        <w:t>Εφόσον ο φορέας ασκεί επιλέξιμη και μη επιλέξιμη για τον Καν. 1407/2013 δραστηριότητα, με τη διακριτή λογιστική παρακολούθηση επιβεβαιώνεται η μη σταυροειδής ενίσχυση των μη  επιλέξιμων δραστηριοτήτων.</w:t>
      </w:r>
    </w:p>
    <w:p>
      <w:pPr>
        <w:pStyle w:val="BodyText"/>
        <w:spacing w:before="8"/>
        <w:rPr>
          <w:sz w:val="19"/>
        </w:rPr>
      </w:pPr>
    </w:p>
    <w:p>
      <w:pPr>
        <w:pStyle w:val="Heading4"/>
        <w:numPr>
          <w:ilvl w:val="2"/>
          <w:numId w:val="32"/>
        </w:numPr>
        <w:tabs>
          <w:tab w:pos="1234" w:val="left" w:leader="none"/>
        </w:tabs>
        <w:spacing w:line="240" w:lineRule="auto" w:before="1" w:after="0"/>
        <w:ind w:left="1233" w:right="0" w:hanging="1081"/>
        <w:jc w:val="both"/>
      </w:pPr>
      <w:bookmarkStart w:name="_TOC_250019" w:id="37"/>
      <w:r>
        <w:rPr/>
        <w:t>Παρακολούθηση πράξεων – Επαληθεύσεις –</w:t>
      </w:r>
      <w:r>
        <w:rPr>
          <w:spacing w:val="-10"/>
        </w:rPr>
        <w:t> </w:t>
      </w:r>
      <w:bookmarkEnd w:id="37"/>
      <w:r>
        <w:rPr/>
        <w:t>Πιστοποιήσεις</w:t>
      </w:r>
    </w:p>
    <w:p>
      <w:pPr>
        <w:pStyle w:val="BodyText"/>
        <w:spacing w:line="276" w:lineRule="auto" w:before="120"/>
        <w:ind w:left="100" w:right="116"/>
        <w:jc w:val="both"/>
      </w:pPr>
      <w:r>
        <w:rPr/>
        <w:t>Η παρακολούθηση των έργων θα γίνεται από την Διεύθυνση Αναπτυξιακού Προγραμματισμού Περιφέρειας Θεσσαλίας. Η Διεύθυνση Αναπτυξιακού Προγραμματισμού Περιφέρειας Θεσσαλίας καθώς και άλλα εξουσιοδοτημένα όργανα ελέγχου παρακολουθεί την εξέλιξη των έργων, τη χρηματοοικονομική πρόοδό τους, τους ποσοτικοποιημένους δείκτες, τα ορόσημα και τους στόχους και λαμβάνει τα κατάλληλα μέτρα  για την ομαλή χρηματορροή προς τα έργα, και όταν απαιτείται, εισηγείται διορθωτικές</w:t>
      </w:r>
      <w:r>
        <w:rPr>
          <w:spacing w:val="-17"/>
        </w:rPr>
        <w:t> </w:t>
      </w:r>
      <w:r>
        <w:rPr/>
        <w:t>ενέργειες.</w:t>
      </w:r>
    </w:p>
    <w:p>
      <w:pPr>
        <w:pStyle w:val="BodyText"/>
        <w:spacing w:line="276" w:lineRule="auto" w:before="118"/>
        <w:ind w:left="100" w:right="115"/>
        <w:jc w:val="both"/>
      </w:pPr>
      <w:r>
        <w:rPr/>
        <w:t>Εναλλακτικά ο δικαιούχος, όσον αφορά το οικονομικό αντικείμενο, δύναται να αναθέτει την πιστοποίηση των δαπανών σε ορκωτούς λογιστές / ελεγκτές, εγγεγραμμένους στο Μητρώο Ελεγκτών της Ε.Λ.Τ.Ε. Το έργο του ορκωτού λογιστή περιλαμβάνει, μεταξύ άλλων, την υποβολή έκθεσης ελέγχου που αφορά τον έλεγχο της νομιμότητας και της κανονικότητας διενέργειας και εξόφλησης των δαπανών και της ορθής λογιστικής καταχώρησής της, την πραγματοποίηση των δαπανών εντός της επιλέξιμης περιόδου, την ύπαρξη επαρκών δικαιολογητικών για τον συσχετισμό αυτών με το συγκεκριμένο έργο, καθώς και τη συμμόρφωση με της όρους της απόφασης χρηματοδότησης. Οι ορκωτοί λογιστές / ελεγκτές επιλέγονται από τον δικαιούχο και η δαπάνη για την απασχόλησή τους είναι επιλέξιμη στην οικεία δράση μέχρι και τρεις (3) μήνες από τη λήξη κάθε έργου. Η Διεύθυνση Αναπτυξιακού Προγραμματισμού Περιφέρειας Θεσσαλίας εκδίδει ειδικότερες οδηγίες για το περιεχόμενο και της διαδικασίες υποβολής της έκθεσης ελέγχου.</w:t>
      </w:r>
    </w:p>
    <w:p>
      <w:pPr>
        <w:pStyle w:val="BodyText"/>
        <w:spacing w:line="276" w:lineRule="auto" w:before="120"/>
        <w:ind w:left="100" w:right="113"/>
        <w:jc w:val="both"/>
      </w:pPr>
      <w:r>
        <w:rPr/>
        <w:t>Η παρακολούθηση και ο έλεγχος της υλοποίησης των έργων πραγματοποιείται σύμφωνα με τα προβλεπόμενα από τους μηχανισμούς ελέγχου και παρακολούθησης του ΕΣΠΑ. Η ΕΥΔ ΕΠ ΠΘ καθώς και άλλα εξουσιοδοτημένα όργανα της Ελλάδας και της ΕΕ διατηρούν το δικαίωμα να ελέγχουν, όποτε κρίνεται απαραίτητο, την πορεία υλοποίησης του φυσικού και οικονομικού αντικειμένου του έργου με επισκέψεις στο χώρο εκτέλεσής του και στην έδρα του δικαιούχου και/ ή με επαλήθευση των στοιχείων που υποβάλλονται από τους δικαιούχους.</w:t>
      </w:r>
    </w:p>
    <w:p>
      <w:pPr>
        <w:pStyle w:val="BodyText"/>
        <w:spacing w:line="276" w:lineRule="auto" w:before="120"/>
        <w:ind w:left="100" w:right="114"/>
        <w:jc w:val="both"/>
      </w:pPr>
      <w:r>
        <w:rPr/>
        <w:t>Το σύνολο των ενεργειών επαλήθευσης πιστοποίησης (αίτημα επαλήθευσης, επαλήθευση έργων κ.λπ.) γίνεται μέσω του Πληροφοριακού Συστήματος Κρατικών Ενισχύσεων (ΠΣΚΕ).</w:t>
      </w:r>
    </w:p>
    <w:p>
      <w:pPr>
        <w:pStyle w:val="BodyText"/>
        <w:spacing w:line="276" w:lineRule="auto" w:before="118"/>
        <w:ind w:left="100" w:right="117"/>
        <w:jc w:val="both"/>
      </w:pPr>
      <w:r>
        <w:rPr/>
        <w:t>Κάθε παράβαση των όρων της παρούσας Πρόσκλησης και της απόφασης ένταξης συνεπάγεται τη λήψη διορθωτικών μέτρων, τα οποία μπορεί να κλιμακωθούν από τη διατύπωση στον δικαιούχο απλών συστάσεων συμμόρφωσης εντός συγκεκριμένων προθεσμιών μέχρι και την ενεργοποίηση των διαδικασιών ανάκλησης της απόφασης ένταξης και έντοκης επιστροφής της τυχόν καταβληθείσας δημόσιας χρηματοδότησης κατά τις διατάξεις του Κώδικα Είσπραξης Δημοσίων Εσόδων (ΚΕΔΕ).</w:t>
      </w:r>
    </w:p>
    <w:p>
      <w:pPr>
        <w:pStyle w:val="ListParagraph"/>
        <w:numPr>
          <w:ilvl w:val="0"/>
          <w:numId w:val="41"/>
        </w:numPr>
        <w:tabs>
          <w:tab w:pos="461" w:val="left" w:leader="none"/>
        </w:tabs>
        <w:spacing w:line="240" w:lineRule="auto" w:before="120" w:after="0"/>
        <w:ind w:left="460" w:right="0" w:hanging="360"/>
        <w:jc w:val="both"/>
        <w:rPr>
          <w:sz w:val="22"/>
        </w:rPr>
      </w:pPr>
      <w:r>
        <w:rPr>
          <w:sz w:val="22"/>
          <w:u w:val="single"/>
        </w:rPr>
        <w:t>Αίτημα Επαλήθευσης -</w:t>
      </w:r>
      <w:r>
        <w:rPr>
          <w:spacing w:val="-6"/>
          <w:sz w:val="22"/>
          <w:u w:val="single"/>
        </w:rPr>
        <w:t> </w:t>
      </w:r>
      <w:r>
        <w:rPr>
          <w:sz w:val="22"/>
          <w:u w:val="single"/>
        </w:rPr>
        <w:t>Πιστοποίησης</w:t>
      </w:r>
    </w:p>
    <w:p>
      <w:pPr>
        <w:spacing w:after="0" w:line="240" w:lineRule="auto"/>
        <w:jc w:val="both"/>
        <w:rPr>
          <w:sz w:val="22"/>
        </w:rPr>
        <w:sectPr>
          <w:pgSz w:w="11910" w:h="16840"/>
          <w:pgMar w:header="748" w:footer="734" w:top="1420" w:bottom="920" w:left="980" w:right="960"/>
        </w:sectPr>
      </w:pPr>
    </w:p>
    <w:p>
      <w:pPr>
        <w:pStyle w:val="BodyText"/>
        <w:spacing w:before="7"/>
        <w:rPr>
          <w:sz w:val="17"/>
        </w:rPr>
      </w:pPr>
    </w:p>
    <w:p>
      <w:pPr>
        <w:pStyle w:val="BodyText"/>
        <w:spacing w:line="276" w:lineRule="auto" w:before="57"/>
        <w:ind w:left="100" w:right="115"/>
        <w:jc w:val="both"/>
      </w:pPr>
      <w:r>
        <w:rPr/>
        <w:t>Τα Αιτήματα Επαλήθευσης - Πιστοποίησης υποβάλλονται από το δικαιούχο ηλεκτρονικά στο ΠΣΚΕ καταχωρώντας τα σχετικά πεδία του σημείου «ΑΙΤΗΜΑ ΕΠΑΛΗΘΕΥΣΗΣ» του ΠΣΚΕ. Ο  δικαιούχος επισυνάπτει στο ΠΣΚΕ έντυπο αιτήματος επαλήθευσης, το οποίο παρέχεται από την Διεύθυνση Αναπτυξιακού Προγραμματισμού Περιφέρειας Θεσσαλίας στους ιστότοπους </w:t>
      </w:r>
      <w:hyperlink r:id="rId9">
        <w:r>
          <w:rPr>
            <w:color w:val="0462C1"/>
            <w:u w:val="single" w:color="0462C1"/>
          </w:rPr>
          <w:t>www.thessaly.gov.gr</w:t>
        </w:r>
      </w:hyperlink>
      <w:r>
        <w:rPr>
          <w:color w:val="0462C1"/>
          <w:u w:val="single" w:color="0462C1"/>
        </w:rPr>
        <w:t> </w:t>
      </w:r>
      <w:r>
        <w:rPr/>
        <w:t>και </w:t>
      </w:r>
      <w:hyperlink r:id="rId10">
        <w:r>
          <w:rPr>
            <w:color w:val="0462C1"/>
            <w:u w:val="single" w:color="0462C1"/>
          </w:rPr>
          <w:t>www</w:t>
        </w:r>
        <w:r>
          <w:rPr>
            <w:rFonts w:ascii="Arial" w:hAnsi="Arial"/>
            <w:color w:val="006620"/>
            <w:sz w:val="21"/>
            <w:u w:val="single" w:color="0462C1"/>
          </w:rPr>
          <w:t>.</w:t>
        </w:r>
        <w:r>
          <w:rPr>
            <w:color w:val="0462C1"/>
            <w:u w:val="single" w:color="0462C1"/>
          </w:rPr>
          <w:t>thessalia</w:t>
        </w:r>
        <w:r>
          <w:rPr>
            <w:rFonts w:ascii="Arial" w:hAnsi="Arial"/>
            <w:color w:val="006620"/>
            <w:sz w:val="21"/>
          </w:rPr>
          <w:t>-</w:t>
        </w:r>
        <w:r>
          <w:rPr>
            <w:color w:val="0462C1"/>
            <w:u w:val="single" w:color="0462C1"/>
          </w:rPr>
          <w:t>espa.gr/</w:t>
        </w:r>
        <w:r>
          <w:rPr/>
          <w:t>,</w:t>
        </w:r>
      </w:hyperlink>
      <w:r>
        <w:rPr/>
        <w:t> το οποίο ο δικαιούχος αναπαράγει και συμπληρώνει κατάλληλα και το επισυνάπτει στο ΠΣΚΕ σε .pdf μορφή. Ο δικαιούχος υποχρεούται να υποβάλει σε φυσική μορφή τα απαιτούμενα δικαιολογητικά και παραστατικά όπως αυτά καθορίζονται στο «ΠΑΡΑΡΤΗΜΑ ΙΙΙ : ΠΡΟΫΠΟΘΕΣΕΙΣ ΕΠΙΛΕΞΙΜΟΤΗΤΑΣ    ΔΑΠΑΝΩΝ    –    ΑΠΑΡΑΙΤΗΤΑ    ΠΑΡΑΣΤΑΤΙΚΑ    ΓΙΑ    ΤΗΝ    ΥΛΟΠΟΙΗΣΗ    ΦΥΣΙΚΟΥ    ΚΑΙ</w:t>
      </w:r>
    </w:p>
    <w:p>
      <w:pPr>
        <w:pStyle w:val="BodyText"/>
        <w:spacing w:line="276" w:lineRule="auto"/>
        <w:ind w:left="100" w:right="122"/>
        <w:jc w:val="both"/>
      </w:pPr>
      <w:r>
        <w:rPr/>
        <w:t>ΟΙΚΟΝΟΜΙΚΟΥ ΑΝΤΙΚΕΙΜΕΝΟΥ» της παρούσας. Ο τρόπος υποβολής των δικαιολογητικών σε φυσική μορφή είναι ίδιος με τον περιγραφόμενο στο κεφάλαιο 9 της παρούσας «ΔΙΚΑΙΟΛΟΓΗΤΙΚΑ ΚΑΙ ΣΤΟΙΧΕΙΑ ΓΙΑ ΤΗΝ ΑΞΙΟΛΟΓΗΣΗ ΤΗΣ ΑΙΤΗΣΗΣ ΧΡΗΜΑΤΟΔΟΤΗΣΗΣ».</w:t>
      </w:r>
    </w:p>
    <w:p>
      <w:pPr>
        <w:spacing w:line="276" w:lineRule="auto" w:before="120"/>
        <w:ind w:left="100" w:right="113" w:firstLine="0"/>
        <w:jc w:val="both"/>
        <w:rPr>
          <w:sz w:val="22"/>
        </w:rPr>
      </w:pPr>
      <w:r>
        <w:rPr>
          <w:b/>
          <w:sz w:val="22"/>
        </w:rPr>
        <w:t>Αίτημα Ενδιάμεσης Επαλήθευσης - Πιστοποίησης δαπανών </w:t>
      </w:r>
      <w:r>
        <w:rPr>
          <w:sz w:val="22"/>
        </w:rPr>
        <w:t>είναι δυνατόν να υποβληθεί </w:t>
      </w:r>
      <w:r>
        <w:rPr>
          <w:b/>
          <w:sz w:val="22"/>
        </w:rPr>
        <w:t>μία (1) φορά </w:t>
      </w:r>
      <w:r>
        <w:rPr>
          <w:sz w:val="22"/>
        </w:rPr>
        <w:t>και μετά την εκτέλεση </w:t>
      </w:r>
      <w:r>
        <w:rPr>
          <w:b/>
          <w:sz w:val="22"/>
        </w:rPr>
        <w:t>τουλάχιστον του 50% </w:t>
      </w:r>
      <w:r>
        <w:rPr>
          <w:sz w:val="22"/>
        </w:rPr>
        <w:t>του επιχορηγούμενου φυσικού και οικονομικού αντικειμένου (υποβληθείσες δαπάνες).</w:t>
      </w:r>
    </w:p>
    <w:p>
      <w:pPr>
        <w:pStyle w:val="Heading4"/>
        <w:spacing w:line="273" w:lineRule="auto" w:before="120"/>
        <w:ind w:right="116"/>
        <w:rPr>
          <w:b w:val="0"/>
        </w:rPr>
      </w:pPr>
      <w:r>
        <w:rPr>
          <w:b w:val="0"/>
        </w:rPr>
        <w:t>Το </w:t>
      </w:r>
      <w:r>
        <w:rPr/>
        <w:t>Αίτημα Τελικής Επαλήθευσης - Πιστοποίησης </w:t>
      </w:r>
      <w:r>
        <w:rPr>
          <w:b w:val="0"/>
        </w:rPr>
        <w:t>πρέπει να υποβληθεί </w:t>
      </w:r>
      <w:r>
        <w:rPr/>
        <w:t>το αργότερο, εντός εξήντα (60) ημερολογιακών ημερών μετά την τυπική ημερομηνία λήξης του</w:t>
      </w:r>
      <w:r>
        <w:rPr>
          <w:b w:val="0"/>
        </w:rPr>
        <w:t>.</w:t>
      </w:r>
    </w:p>
    <w:p>
      <w:pPr>
        <w:pStyle w:val="BodyText"/>
      </w:pPr>
    </w:p>
    <w:p>
      <w:pPr>
        <w:pStyle w:val="BodyText"/>
        <w:spacing w:before="3"/>
        <w:rPr>
          <w:sz w:val="23"/>
        </w:rPr>
      </w:pPr>
    </w:p>
    <w:p>
      <w:pPr>
        <w:pStyle w:val="ListParagraph"/>
        <w:numPr>
          <w:ilvl w:val="0"/>
          <w:numId w:val="41"/>
        </w:numPr>
        <w:tabs>
          <w:tab w:pos="461" w:val="left" w:leader="none"/>
        </w:tabs>
        <w:spacing w:line="240" w:lineRule="auto" w:before="0" w:after="0"/>
        <w:ind w:left="460" w:right="0" w:hanging="360"/>
        <w:jc w:val="both"/>
        <w:rPr>
          <w:sz w:val="22"/>
        </w:rPr>
      </w:pPr>
      <w:r>
        <w:rPr>
          <w:sz w:val="22"/>
          <w:u w:val="single"/>
        </w:rPr>
        <w:t>Επαλήθευση</w:t>
      </w:r>
      <w:r>
        <w:rPr>
          <w:spacing w:val="-1"/>
          <w:sz w:val="22"/>
          <w:u w:val="single"/>
        </w:rPr>
        <w:t> </w:t>
      </w:r>
      <w:r>
        <w:rPr>
          <w:sz w:val="22"/>
          <w:u w:val="single"/>
        </w:rPr>
        <w:t>έργων</w:t>
      </w:r>
    </w:p>
    <w:p>
      <w:pPr>
        <w:pStyle w:val="BodyText"/>
        <w:spacing w:line="276" w:lineRule="auto" w:before="158"/>
        <w:ind w:left="100" w:right="114"/>
        <w:jc w:val="both"/>
      </w:pPr>
      <w:r>
        <w:rPr/>
        <w:t>Η παρακολούθηση των έργων των δικαιούχων γίνεται μέσω διοικητικής και επιτόπιας επαλήθευσης του Φυσικού και Οικονομικού Αντικειμένου (ΦΟΑ) από ορισμένο με απόφαση του Περιφερειάρχη Θεσσαλίας για τον σκοπό αυτό όργανο ελέγχου κατόπιν Αιτήματος Επαλήθευσης - Πιστοποίησης του δικαιούχου, σύμφωνα με τα προβλεπόμενα στο Σύστημα Διαχείρισης και Ελέγχου (ΣΔΕ).</w:t>
      </w:r>
    </w:p>
    <w:p>
      <w:pPr>
        <w:pStyle w:val="BodyText"/>
        <w:spacing w:line="276" w:lineRule="auto" w:before="120"/>
        <w:ind w:left="100" w:right="118"/>
        <w:jc w:val="both"/>
      </w:pPr>
      <w:r>
        <w:rPr/>
        <w:t>Η επαλήθευση αφορά στην επιβεβαίωση της επιλεξιμότητας των πραγματοποιηθεισών δαπανών για την υλοποίηση της επένδυσης, στην πιστοποίησή τους καθώς και στο εύλογο του κόστους αυτών και στην καταβολή της αναλογούσας επιχορήγησης.</w:t>
      </w:r>
    </w:p>
    <w:p>
      <w:pPr>
        <w:pStyle w:val="BodyText"/>
        <w:spacing w:before="120"/>
        <w:ind w:left="100"/>
        <w:jc w:val="both"/>
      </w:pPr>
      <w:r>
        <w:rPr/>
        <w:t>Κατά την επαλήθευση - πιστοποίηση:</w:t>
      </w:r>
    </w:p>
    <w:p>
      <w:pPr>
        <w:pStyle w:val="ListParagraph"/>
        <w:numPr>
          <w:ilvl w:val="0"/>
          <w:numId w:val="40"/>
        </w:numPr>
        <w:tabs>
          <w:tab w:pos="461" w:val="left" w:leader="none"/>
        </w:tabs>
        <w:spacing w:line="276" w:lineRule="auto" w:before="161" w:after="0"/>
        <w:ind w:left="460" w:right="114" w:hanging="360"/>
        <w:jc w:val="both"/>
        <w:rPr>
          <w:sz w:val="22"/>
        </w:rPr>
      </w:pPr>
      <w:r>
        <w:rPr>
          <w:sz w:val="22"/>
        </w:rPr>
        <w:t>γίνεται έλεγχος της επιλεξιμότητας, της ορθότητας, της σκοπιμότητας, της εγκυρότητας και της νομιμότητας της επένδυσης καθώς και των συγκεκριμένων πραγματοποιηθεισών δαπανών ως προς τις εγκεκριμένες</w:t>
      </w:r>
    </w:p>
    <w:p>
      <w:pPr>
        <w:pStyle w:val="ListParagraph"/>
        <w:numPr>
          <w:ilvl w:val="0"/>
          <w:numId w:val="40"/>
        </w:numPr>
        <w:tabs>
          <w:tab w:pos="461" w:val="left" w:leader="none"/>
        </w:tabs>
        <w:spacing w:line="273" w:lineRule="auto" w:before="121" w:after="0"/>
        <w:ind w:left="460" w:right="121" w:hanging="360"/>
        <w:jc w:val="both"/>
        <w:rPr>
          <w:sz w:val="22"/>
        </w:rPr>
      </w:pPr>
      <w:r>
        <w:rPr>
          <w:sz w:val="22"/>
        </w:rPr>
        <w:t>διαπιστώνεται η ορθή κατανομή των δαπανών στις αντίστοιχες Κατηγορίες Δαπανών και ανά ποσοτικό στοιχείο</w:t>
      </w:r>
    </w:p>
    <w:p>
      <w:pPr>
        <w:pStyle w:val="ListParagraph"/>
        <w:numPr>
          <w:ilvl w:val="0"/>
          <w:numId w:val="40"/>
        </w:numPr>
        <w:tabs>
          <w:tab w:pos="461" w:val="left" w:leader="none"/>
        </w:tabs>
        <w:spacing w:line="240" w:lineRule="auto" w:before="123" w:after="0"/>
        <w:ind w:left="460" w:right="0" w:hanging="360"/>
        <w:jc w:val="both"/>
        <w:rPr>
          <w:sz w:val="22"/>
        </w:rPr>
      </w:pPr>
      <w:r>
        <w:rPr>
          <w:sz w:val="22"/>
        </w:rPr>
        <w:t>επιβεβαιώνεται το εύλογο του</w:t>
      </w:r>
      <w:r>
        <w:rPr>
          <w:spacing w:val="-10"/>
          <w:sz w:val="22"/>
        </w:rPr>
        <w:t> </w:t>
      </w:r>
      <w:r>
        <w:rPr>
          <w:sz w:val="22"/>
        </w:rPr>
        <w:t>κόστους</w:t>
      </w:r>
    </w:p>
    <w:p>
      <w:pPr>
        <w:pStyle w:val="ListParagraph"/>
        <w:numPr>
          <w:ilvl w:val="0"/>
          <w:numId w:val="40"/>
        </w:numPr>
        <w:tabs>
          <w:tab w:pos="461" w:val="left" w:leader="none"/>
        </w:tabs>
        <w:spacing w:line="276" w:lineRule="auto" w:before="161" w:after="0"/>
        <w:ind w:left="460" w:right="115" w:hanging="360"/>
        <w:jc w:val="both"/>
        <w:rPr>
          <w:sz w:val="22"/>
        </w:rPr>
      </w:pPr>
      <w:r>
        <w:rPr>
          <w:sz w:val="22"/>
        </w:rPr>
        <w:t>γίνεται έλεγχος έκδοσης των πρωτότυπων παραστατικών και εξόφλησης των δαπανών, των πρωτότυπων λοιπών δικαιολογητικών, τα οποία μονογράφονται και σφραγίζονται με ειδική σφραγίδα, που φέρει τον τίτλο του Προγράμματος. Ελέγχονται επίσης και αντίστοιχα τηρούμενα στοιχεία από τις λογιστικές εγγραφές των πράξεων ανάλογα με την τηρούμενη κατηγορία λογιστικών βιβλίων για να επιβεβαιωθεί η ορθή εκτέλεση του οικονομικού αντικειμένου (π.χ. βιβλία εσόδων-εξόδων, καρτέλες προμηθευτών, ημερολόγια</w:t>
      </w:r>
      <w:r>
        <w:rPr>
          <w:spacing w:val="-6"/>
          <w:sz w:val="22"/>
        </w:rPr>
        <w:t> </w:t>
      </w:r>
      <w:r>
        <w:rPr>
          <w:sz w:val="22"/>
        </w:rPr>
        <w:t>κ.λπ.)</w:t>
      </w:r>
    </w:p>
    <w:p>
      <w:pPr>
        <w:pStyle w:val="ListParagraph"/>
        <w:numPr>
          <w:ilvl w:val="0"/>
          <w:numId w:val="40"/>
        </w:numPr>
        <w:tabs>
          <w:tab w:pos="461" w:val="left" w:leader="none"/>
        </w:tabs>
        <w:spacing w:line="240" w:lineRule="auto" w:before="121" w:after="0"/>
        <w:ind w:left="460" w:right="0" w:hanging="360"/>
        <w:jc w:val="both"/>
        <w:rPr>
          <w:sz w:val="22"/>
        </w:rPr>
      </w:pPr>
      <w:r>
        <w:rPr>
          <w:sz w:val="22"/>
        </w:rPr>
        <w:t>θα πρέπει, σε κάθε περίπτωση να τεκμηριώνεται και να αιτιολογείται αναλυτικά η όποια</w:t>
      </w:r>
      <w:r>
        <w:rPr>
          <w:spacing w:val="-19"/>
          <w:sz w:val="22"/>
        </w:rPr>
        <w:t> </w:t>
      </w:r>
      <w:r>
        <w:rPr>
          <w:sz w:val="22"/>
        </w:rPr>
        <w:t>περικοπή.</w:t>
      </w:r>
    </w:p>
    <w:p>
      <w:pPr>
        <w:spacing w:after="0" w:line="240" w:lineRule="auto"/>
        <w:jc w:val="both"/>
        <w:rPr>
          <w:sz w:val="22"/>
        </w:rPr>
        <w:sectPr>
          <w:pgSz w:w="11910" w:h="16840"/>
          <w:pgMar w:header="748" w:footer="734" w:top="1420" w:bottom="920" w:left="980" w:right="960"/>
        </w:sectPr>
      </w:pPr>
    </w:p>
    <w:p>
      <w:pPr>
        <w:pStyle w:val="BodyText"/>
        <w:spacing w:before="7"/>
        <w:rPr>
          <w:sz w:val="17"/>
        </w:rPr>
      </w:pPr>
    </w:p>
    <w:p>
      <w:pPr>
        <w:pStyle w:val="BodyText"/>
        <w:spacing w:line="276" w:lineRule="auto" w:before="57"/>
        <w:ind w:left="100" w:right="116"/>
        <w:jc w:val="both"/>
      </w:pPr>
      <w:r>
        <w:rPr/>
        <w:t>Τα δικαιολογητικά για τη διενέργεια της επαλήθευσης - πιστοποίησης του έργου (του φυσικού και του οικονομικού αντικειμένου) αναφέρονται αναλυτικά στο «ΠΑΡΑΡΤΗΜΑ ΙΙΙ :  ΠΡΟΫΠΟΘΕΣΕΙΣ ΕΠΙΛΕΞΙΜΟΤΗΤΑΣ    ΔΑΠΑΝΩΝ    –    ΑΠΑΡΑΙΤΗΤΑ    ΠΑΡΑΣΤΑΤΙΚΑ    ΓΙΑ    ΤΗΝ    ΥΛΟΠΟΙΗΣΗ    ΦΥΣΙΚΟΥ    ΚΑΙ</w:t>
      </w:r>
    </w:p>
    <w:p>
      <w:pPr>
        <w:pStyle w:val="BodyText"/>
        <w:ind w:left="100"/>
        <w:jc w:val="both"/>
      </w:pPr>
      <w:r>
        <w:rPr/>
        <w:t>ΟΙΚΟΝΟΜΙΚΟΥ ΑΝΤΙΚΕΙΜΕΝΟΥ» της παρούσας Πρόσκλησης.</w:t>
      </w:r>
    </w:p>
    <w:p>
      <w:pPr>
        <w:pStyle w:val="BodyText"/>
        <w:spacing w:line="276" w:lineRule="auto" w:before="161"/>
        <w:ind w:left="100" w:right="114"/>
        <w:jc w:val="both"/>
      </w:pPr>
      <w:r>
        <w:rPr/>
        <w:t>Μετά το πέρας του ελέγχου και κατόπιν κάλυψης από το δικαιούχο των τυχόν εκκρεμοτήτων και ελλείψεων που εντοπίστηκαν, ολοκληρώνεται η επαλήθευση -πιστοποίηση με τη σύνταξη της σχετικής έκθεσης επαλήθευσης- πιστοποίησης.</w:t>
      </w:r>
    </w:p>
    <w:p>
      <w:pPr>
        <w:pStyle w:val="BodyText"/>
        <w:spacing w:line="276" w:lineRule="auto" w:before="120"/>
        <w:ind w:left="100" w:right="115"/>
        <w:jc w:val="both"/>
      </w:pPr>
      <w:r>
        <w:rPr/>
        <w:t>Επισημαίνεται ότι τόσο η έγγραφη ή/και ηλεκτρονική γνωστοποίηση ελλείψεων που εντοπίστηκαν στο υποβληθέν Αίτημα επαλήθευσης - πιστοποίησης, από την οικείο όργανο επαλήθευσης όσο και η κάλυψη αυτών από το δικαιούχο, δεν μπορεί να υπερβαίνει τις τριάντα (30) ημερολογιακές ημέρες από την πρώτη (έγγραφη ή/και ηλεκτρονική) γνωστοποίηση των ελλείψεων.</w:t>
      </w:r>
    </w:p>
    <w:p>
      <w:pPr>
        <w:pStyle w:val="BodyText"/>
        <w:spacing w:before="120"/>
        <w:ind w:left="100"/>
        <w:jc w:val="both"/>
      </w:pPr>
      <w:r>
        <w:rPr/>
        <w:t>Η επαλήθευση - πιστοποίηση διακρίνεται σε διοικητική και επιτόπια.</w:t>
      </w:r>
    </w:p>
    <w:p>
      <w:pPr>
        <w:pStyle w:val="BodyText"/>
        <w:spacing w:line="276" w:lineRule="auto" w:before="158"/>
        <w:ind w:left="100" w:right="114"/>
        <w:jc w:val="both"/>
      </w:pPr>
      <w:r>
        <w:rPr/>
        <w:t>Η επαλήθευση στις περιπτώσεις υποβολής Αιτημάτων Ενδιάμεσης Επαλήθευσης μπορεί να είναι είτε διοικητική είτε επιτόπια.</w:t>
      </w:r>
    </w:p>
    <w:p>
      <w:pPr>
        <w:pStyle w:val="BodyText"/>
        <w:spacing w:line="276" w:lineRule="auto" w:before="120"/>
        <w:ind w:left="100" w:right="113"/>
        <w:jc w:val="both"/>
      </w:pPr>
      <w:r>
        <w:rPr/>
        <w:t>Η επιτόπια επαλήθευση διενεργείται υποχρεωτικά στην ολοκλήρωση του έργου, μπορεί να διενεργείται  στις περιπτώσεις υποβολής Αιτημάτων Ενδιάμεσης Επαλήθευσης – Πιστοποίησης, και περιλαμβάνει έλεγχο του οικονομικού και του φυσικού αντικειμένου του</w:t>
      </w:r>
      <w:r>
        <w:rPr>
          <w:spacing w:val="-14"/>
        </w:rPr>
        <w:t> </w:t>
      </w:r>
      <w:r>
        <w:rPr/>
        <w:t>έργου.</w:t>
      </w:r>
    </w:p>
    <w:p>
      <w:pPr>
        <w:pStyle w:val="BodyText"/>
        <w:spacing w:line="276" w:lineRule="auto" w:before="120"/>
        <w:ind w:left="100" w:right="114"/>
        <w:jc w:val="both"/>
      </w:pPr>
      <w:r>
        <w:rPr/>
        <w:t>Η Διεύθυνση Αναπτυξιακού Προγραμματισμού Περιφέρειας Θεσσαλίας, προκειμένου η επιχείρηση να είναι κατάλληλα προετοιμασμένη κατά την ημερομηνία της επιτόπιας επαλήθευσης, αποστέλλει σχετικό έγγραφο ειδοποίησης πριν την ακριβή ημερομηνία της επαλήθευσης και κατόπιν συνεννόησης με την επιχείρηση.</w:t>
      </w:r>
    </w:p>
    <w:p>
      <w:pPr>
        <w:pStyle w:val="BodyText"/>
        <w:spacing w:line="276" w:lineRule="auto" w:before="118"/>
        <w:ind w:left="100" w:right="119"/>
        <w:jc w:val="both"/>
      </w:pPr>
      <w:r>
        <w:rPr/>
        <w:t>Η επιχείρηση από την πλευρά της θα πρέπει να διευκολύνει τα στελέχη επαλήθευσης και να τηρεί τις οδηγίες που αυτά θα της υποδεικνύουν καθώς και τις ημερομηνίες αποστολής των εκκρεμοτήτων που διαπιστώθηκαν κατά την επί τόπου επαλήθευση.</w:t>
      </w:r>
    </w:p>
    <w:p>
      <w:pPr>
        <w:pStyle w:val="BodyText"/>
        <w:spacing w:line="276" w:lineRule="auto" w:before="118"/>
        <w:ind w:left="100" w:right="116"/>
        <w:jc w:val="both"/>
      </w:pPr>
      <w:r>
        <w:rPr/>
        <w:t>Η παρουσία του Υπευθύνου Έργου εκ μέρους του δικαιούχου καθ' όλη τη διάρκεια της επιτόπιας επαλήθευσης – πιστοποίησης είναι υποχρεωτική και αποτελεί κατά βάση προϋπόθεση για την ομαλή διεξαγωγή της επαλήθευσης.</w:t>
      </w:r>
    </w:p>
    <w:p>
      <w:pPr>
        <w:pStyle w:val="BodyText"/>
        <w:spacing w:line="276" w:lineRule="auto" w:before="118"/>
        <w:ind w:left="100" w:right="114"/>
        <w:jc w:val="both"/>
      </w:pPr>
      <w:r>
        <w:rPr/>
        <w:t>Στα όργανα ελέγχου των επιτόπιων επαληθεύσεων δύναται να συμμετέχουν και στελέχη εκτός της Διεύθυνσης Αναπτυξιακού Προγραμματισμού Περιφέρειας Θεσσαλίας, τα οποία διαθέτουν τα ανάλογα προσόντα και υποχρεωτικώς θα λάβουν σχετική εκπαίδευση και οδηγίες από την Υπηρεσία. Τα μέλη του οργάνου επαλήθευσης – πιστοποίησης δαπανών μπορεί να προέρχονται από στελέχη της Περιφέρειας, της ΕΥΔ ΕΠ ΠΘ, της Κεντρικής Υπηρεσίας της ΜΟΔ, ειδικούς εμπειρογνώμονες ή/και από σχετικό Μητρώο. Κατά τον ορισμό των μελών των οργάνων επαλήθευσης διασφαλίζεται η μη συμμετοχή τους στην αξιολόγηση  του ελεγχόμενου έργου. Σημειώνεται ότι ο συντονισμός του εκάστοτε οργάνου ελέγχου αποτελεί αρμοδιότητα της Διεύθυνσης Αναπτυξιακού Προγραμματισμού Περιφέρειας Θεσσαλίας και φέρει την ευθύνη για τυχόν πράξεις ή παραλείψεις</w:t>
      </w:r>
      <w:r>
        <w:rPr>
          <w:spacing w:val="-8"/>
        </w:rPr>
        <w:t> </w:t>
      </w:r>
      <w:r>
        <w:rPr/>
        <w:t>αυτών.</w:t>
      </w:r>
    </w:p>
    <w:p>
      <w:pPr>
        <w:pStyle w:val="BodyText"/>
        <w:spacing w:line="276" w:lineRule="auto" w:before="120"/>
        <w:ind w:left="100" w:right="113"/>
        <w:jc w:val="both"/>
      </w:pPr>
      <w:r>
        <w:rPr/>
        <w:t>Στην περίπτωση που δεν υποβληθεί εμπρόθεσμα Αίτημα Επαλήθευσης – Πιστοποίησης, η Διεύθυνση Αναπτυξιακού Προγραμματισμού Περιφέρειας Θεσσαλίας υποχρεούται στη διενέργεια αυτεπάγγελτης επιτόπιας επαλήθευσης εντός έξι (6) μηνών από τη λήξη της προθεσμίας υποβολής του σχετικού αιτήματος, εφόσον έχει προηγηθεί εκταμίευση επιχορήγησης.</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100" w:right="119"/>
        <w:jc w:val="both"/>
      </w:pPr>
      <w:r>
        <w:rPr/>
        <w:t>Οι έλεγχοι μπορεί να πραγματοποιούνται, είτε με επισκέψεις στο χώρο εκτέλεσης του έργου και στην έδρα του φορέα, είτε από τα δηλωθέντα της ετήσιας έκθεσης προόδου, την τελική έκθεση και τα φωτοαντίγραφα των παραστατικών των φορέων. Για τη σύνταξη της τελικής έκθεσης προόδου, απαραίτητη είναι η επιτόπια επίσκεψη από το αρμόδιο όργανο ελέγχου.</w:t>
      </w:r>
    </w:p>
    <w:p>
      <w:pPr>
        <w:pStyle w:val="BodyText"/>
      </w:pPr>
    </w:p>
    <w:p>
      <w:pPr>
        <w:pStyle w:val="BodyText"/>
        <w:spacing w:before="10"/>
      </w:pPr>
    </w:p>
    <w:p>
      <w:pPr>
        <w:pStyle w:val="ListParagraph"/>
        <w:numPr>
          <w:ilvl w:val="0"/>
          <w:numId w:val="41"/>
        </w:numPr>
        <w:tabs>
          <w:tab w:pos="461" w:val="left" w:leader="none"/>
        </w:tabs>
        <w:spacing w:line="240" w:lineRule="auto" w:before="1" w:after="0"/>
        <w:ind w:left="460" w:right="0" w:hanging="360"/>
        <w:jc w:val="both"/>
        <w:rPr>
          <w:sz w:val="22"/>
        </w:rPr>
      </w:pPr>
      <w:r>
        <w:rPr>
          <w:sz w:val="22"/>
          <w:u w:val="single"/>
        </w:rPr>
        <w:t>Παραλαβή αποτελεσμάτων επαλήθευσης – αντιρρήσεις</w:t>
      </w:r>
      <w:r>
        <w:rPr>
          <w:spacing w:val="-11"/>
          <w:sz w:val="22"/>
          <w:u w:val="single"/>
        </w:rPr>
        <w:t> </w:t>
      </w:r>
      <w:r>
        <w:rPr>
          <w:sz w:val="22"/>
          <w:u w:val="single"/>
        </w:rPr>
        <w:t>δικαιούχου</w:t>
      </w:r>
    </w:p>
    <w:p>
      <w:pPr>
        <w:pStyle w:val="BodyText"/>
        <w:spacing w:line="276" w:lineRule="auto" w:before="161"/>
        <w:ind w:left="100" w:right="121"/>
        <w:jc w:val="both"/>
      </w:pPr>
      <w:r>
        <w:rPr/>
        <w:t>Η συνταχθείσα από το όργανο διενέργειας της επαλήθευσης Έκθεση Επαλήθευσης, υποβάλλεται για έγκριση (αποδοχή των αποτελεσμάτων) από ιεραρχικά ανώτερο και διαφορετικό όργανο. Σε περίπτωση λάθους σε πεδία της Έκθεσης Επαλήθευσης, παρέχεται η δυνατότητα να εκτελεστούν οι όποιες διορθώσεις σε αυτή, από το αρμόδιο όργανο με την αντίστοιχη τεκμηρίωση.</w:t>
      </w:r>
    </w:p>
    <w:p>
      <w:pPr>
        <w:pStyle w:val="BodyText"/>
        <w:spacing w:before="120"/>
        <w:ind w:left="100"/>
        <w:jc w:val="both"/>
      </w:pPr>
      <w:r>
        <w:rPr/>
        <w:t>Με την οριστικοποίηση της έκθεσης πιστοποίησης :</w:t>
      </w:r>
    </w:p>
    <w:p>
      <w:pPr>
        <w:pStyle w:val="ListParagraph"/>
        <w:numPr>
          <w:ilvl w:val="0"/>
          <w:numId w:val="40"/>
        </w:numPr>
        <w:tabs>
          <w:tab w:pos="460" w:val="left" w:leader="none"/>
          <w:tab w:pos="461" w:val="left" w:leader="none"/>
        </w:tabs>
        <w:spacing w:line="273" w:lineRule="auto" w:before="161" w:after="0"/>
        <w:ind w:left="460" w:right="121" w:hanging="360"/>
        <w:jc w:val="left"/>
        <w:rPr>
          <w:sz w:val="22"/>
        </w:rPr>
      </w:pPr>
      <w:r>
        <w:rPr>
          <w:sz w:val="22"/>
        </w:rPr>
        <w:t>ο δικαιούχος ενημερώνεται γραπτώς για τα αποτελέσματα της πιστοποίησης με την αποστολή της σχετικής</w:t>
      </w:r>
      <w:r>
        <w:rPr>
          <w:spacing w:val="-1"/>
          <w:sz w:val="22"/>
        </w:rPr>
        <w:t> </w:t>
      </w:r>
      <w:r>
        <w:rPr>
          <w:sz w:val="22"/>
        </w:rPr>
        <w:t>έκθεσης,</w:t>
      </w:r>
    </w:p>
    <w:p>
      <w:pPr>
        <w:pStyle w:val="ListParagraph"/>
        <w:numPr>
          <w:ilvl w:val="0"/>
          <w:numId w:val="40"/>
        </w:numPr>
        <w:tabs>
          <w:tab w:pos="461" w:val="left" w:leader="none"/>
        </w:tabs>
        <w:spacing w:line="240" w:lineRule="auto" w:before="123" w:after="0"/>
        <w:ind w:left="460" w:right="0" w:hanging="360"/>
        <w:jc w:val="both"/>
        <w:rPr>
          <w:sz w:val="22"/>
        </w:rPr>
      </w:pPr>
      <w:r>
        <w:rPr>
          <w:sz w:val="22"/>
        </w:rPr>
        <w:t>ο δικαιούχος αποκτά δικαίωμα λήψης δημόσιας</w:t>
      </w:r>
      <w:r>
        <w:rPr>
          <w:spacing w:val="-12"/>
          <w:sz w:val="22"/>
        </w:rPr>
        <w:t> </w:t>
      </w:r>
      <w:r>
        <w:rPr>
          <w:sz w:val="22"/>
        </w:rPr>
        <w:t>επιχορήγησης.</w:t>
      </w:r>
    </w:p>
    <w:p>
      <w:pPr>
        <w:pStyle w:val="BodyText"/>
        <w:spacing w:line="276" w:lineRule="auto" w:before="158"/>
        <w:ind w:left="100" w:right="115"/>
        <w:jc w:val="both"/>
      </w:pPr>
      <w:r>
        <w:rPr/>
        <w:t>Με την κοινοποίηση των αποτελεσμάτων επαλήθευσης/πιστοποίησης, παρέχεται το δικαίωμα στους Δικαιούχους να ασκήσουν αντιρρήσεις. Ο τρόπος καθώς και η αποκλειστική προθεσμία εντός της οποίας μπορεί να ασκηθεί το δικαίωμα αυτό, το όργανο εξέτασης καθώς και η χρονική προθεσμία εντός της οποίας πρέπει να εκδίδεται θετική ή απορριπτική απόφαση προσδιορίζονται στην Α.Π. 126829 / EΥΘΥ 1217/21-12- 2105 ΚΥΑ (ΦΕΚ Β 2784) με θέμα «ΣΥΣΤΗΜΑ ΔΗΜΟΣΙΟΝΟΜΙΚΩΝ ΔΙΟΡΘΩΣΕΩΝ ΚΑΙ ΔΙΑΔΙΚΑΣΙΕΣ ΑΝΑΚΤΗΣΗΣ ΑΧΡΕΩΣΤΗΤΩΣ Ή ΠΑΡΑΝΟΜΩΣ ΚΑΤΑΒΛΗΘΕΝΤΩΝ ΠΟΣΩΝ ΑΠΟ ΠΟΡΟΥΣ ΤΟΥ ΚΡΑΤΙΚΟΥ ΠΡΟΫΠΟΛΟΓΙΣΜΟΥ ΓΙΑ ΤΗΝ  ΥΛΟΠΟΙΗΣΗ ΠΡΟΓΡΑΜΜΑΤΩΝ ΣΥΓΧΡΗΜΑΤΟΔΟΤΟΥΜΕΝΩΝ ΣΤΟ  ΠΛΑΙΣΙΟ  ΤΟΥ  ΕΣΠΑ    2014-2020,</w:t>
      </w:r>
    </w:p>
    <w:p>
      <w:pPr>
        <w:pStyle w:val="BodyText"/>
        <w:ind w:left="100"/>
        <w:jc w:val="both"/>
      </w:pPr>
      <w:r>
        <w:rPr/>
        <w:t>ΣΥΜΦΩΝΑ ΜΕ ΤΟ ΑΡ. 22 ΤΟΥ Ν. 4314/2014» όπως τροποποιείται και ισχύει κάθε φορά.</w:t>
      </w:r>
    </w:p>
    <w:p>
      <w:pPr>
        <w:pStyle w:val="BodyText"/>
        <w:spacing w:line="276" w:lineRule="auto" w:before="161"/>
        <w:ind w:left="100" w:right="116"/>
        <w:jc w:val="both"/>
      </w:pPr>
      <w:r>
        <w:rPr/>
        <w:t>Μετά την ολοκλήρωση της διαδικασίας υποβολής και εξέτασης αντιρρήσεων, επικαιροποιείται ή συμπληρώνεται αν απαιτείται, η απόφαση έγκρισης των αποτελεσμάτων επαλήθευσης/πιστοποίησης. Τα αποτελέσματα εξέτασης των αντιρρήσεων αποστέλλονται στους Δικαιούχους με ευθύνη της Διεύθυνσης Αναπτυξιακού Προγραμματισμού Περιφέρειας Θεσσαλίας.</w:t>
      </w:r>
    </w:p>
    <w:p>
      <w:pPr>
        <w:pStyle w:val="BodyText"/>
        <w:spacing w:line="273" w:lineRule="auto" w:before="120"/>
        <w:ind w:left="100" w:right="122"/>
        <w:jc w:val="both"/>
      </w:pPr>
      <w:r>
        <w:rPr/>
        <w:t>Το Αίτημα Επαλήθευσης, η Έκθεση Επαλήθευσης, η Πιστοποίησή της και όλο το υλικό της υποβληθείσας αντίρρησης, τηρούνται στο Φάκελο της Πράξης.</w:t>
      </w:r>
    </w:p>
    <w:p>
      <w:pPr>
        <w:pStyle w:val="BodyText"/>
      </w:pPr>
    </w:p>
    <w:p>
      <w:pPr>
        <w:pStyle w:val="BodyText"/>
      </w:pPr>
    </w:p>
    <w:p>
      <w:pPr>
        <w:pStyle w:val="Heading4"/>
        <w:numPr>
          <w:ilvl w:val="1"/>
          <w:numId w:val="32"/>
        </w:numPr>
        <w:tabs>
          <w:tab w:pos="821" w:val="left" w:leader="none"/>
        </w:tabs>
        <w:spacing w:line="240" w:lineRule="auto" w:before="136" w:after="0"/>
        <w:ind w:left="820" w:right="0" w:hanging="720"/>
        <w:jc w:val="both"/>
      </w:pPr>
      <w:bookmarkStart w:name="_TOC_250018" w:id="38"/>
      <w:r>
        <w:rPr/>
        <w:t>ΚΑΤΑΒΟΛΗ ΕΝΙΣΧΥΣΗΣ – ΑΠΑΙΤΟΥΜΕΝΑ</w:t>
      </w:r>
      <w:r>
        <w:rPr>
          <w:spacing w:val="-16"/>
        </w:rPr>
        <w:t> </w:t>
      </w:r>
      <w:bookmarkEnd w:id="38"/>
      <w:r>
        <w:rPr/>
        <w:t>ΔΙΚΑΙΟΛΟΓΗΤΙΚΑ</w:t>
      </w:r>
    </w:p>
    <w:p>
      <w:pPr>
        <w:pStyle w:val="BodyText"/>
        <w:spacing w:line="273" w:lineRule="auto" w:before="120"/>
        <w:ind w:left="100" w:right="115"/>
        <w:jc w:val="both"/>
      </w:pPr>
      <w:r>
        <w:rPr/>
        <w:t>Η Δημόσια Δαπάνη (Εθνική επιχορήγηση) κάθε εγκεκριμένου έργου ανέρχεται, κατά μέγιστο, στο ποσό το οποίο περιγράφεται στην εγκριτική απόφαση του επενδυτικού σχεδίου.</w:t>
      </w:r>
    </w:p>
    <w:p>
      <w:pPr>
        <w:pStyle w:val="BodyText"/>
        <w:spacing w:line="276" w:lineRule="auto" w:before="123"/>
        <w:ind w:left="100" w:right="114"/>
        <w:jc w:val="both"/>
      </w:pPr>
      <w:r>
        <w:rPr/>
        <w:t>Η καταβολή της ενίσχυσης γίνεται σε στάδια (δόσεις) κατά τη διάρκεια του έργου. Κάθε δόση αντιστοιχεί σε συγκεκριμένο ποσοστό της συνολικής εγκεκριμένης ενίσχυσης. Η τελευταία δόση (αποπληρωμή) καταβάλλεται μετά τη λήξη και οριστική παραλαβή του έργου και το ύψος της δεν είναι προκαθορισμένο, αλλά εξαρτάται από τις συνολικές πιστοποιημένες δαπάνες του κάθε δικαιούχου για το σύνολο του έργου.</w:t>
      </w:r>
    </w:p>
    <w:p>
      <w:pPr>
        <w:pStyle w:val="BodyText"/>
        <w:spacing w:line="273" w:lineRule="auto" w:before="121"/>
        <w:ind w:left="100" w:right="116"/>
        <w:jc w:val="both"/>
      </w:pPr>
      <w:r>
        <w:rPr/>
        <w:t>Η καταβολή της κάθε δόσης της ενίσχυσης από την Διεύθυνση Αναπτυξιακού Προγραμματισμού Περιφέρειας  Θεσσαλίας  γίνεται  μέσω  της  Οικονομικής  Υπηρεσίας  όπως  θα  οριστεί  με  Απόφαση     της</w:t>
      </w:r>
    </w:p>
    <w:p>
      <w:pPr>
        <w:spacing w:after="0" w:line="273"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100" w:right="120"/>
        <w:jc w:val="both"/>
      </w:pPr>
      <w:r>
        <w:rPr/>
        <w:t>Περιφέρειας Θεσσαλίας, με την κατάθεση του αντιστοίχου ποσού στον τραπεζικό λογαριασμό, που ο δικαιούχος έχει δηλώσει στον ΕΦ και θα πραγματοποιείται ανάλογα με τη ροή χρηματοδότησης του Προγράμματος Δημοσίων Επενδύσεων (ΠΔΕ).</w:t>
      </w:r>
    </w:p>
    <w:p>
      <w:pPr>
        <w:spacing w:line="276" w:lineRule="auto" w:before="120"/>
        <w:ind w:left="100" w:right="115" w:firstLine="0"/>
        <w:jc w:val="both"/>
        <w:rPr>
          <w:sz w:val="22"/>
        </w:rPr>
      </w:pPr>
      <w:r>
        <w:rPr>
          <w:sz w:val="22"/>
        </w:rPr>
        <w:t>Τα απαραίτητα δικαιολογητικά για την καταβολή κάθε ποσού επιχορήγησης για όλες τις περιπτώσεις καταβολής, αποτυπώνονται στο </w:t>
      </w:r>
      <w:r>
        <w:rPr>
          <w:b/>
          <w:sz w:val="22"/>
        </w:rPr>
        <w:t>Παράρτημα ΧΙ «ΑΠΑΙΤΟΥΜΕΝΑ ΔΙΚΑΙΟΛΟΓΗΤΙΚΑ ΓΙΑ ΤΗΝ ΚΑΤΑΒΟΛΗ ΤΗΣ ΕΠΙΧΟΡΗΓΗΣΗΣ»</w:t>
      </w:r>
      <w:r>
        <w:rPr>
          <w:sz w:val="22"/>
        </w:rPr>
        <w:t>, της παρούσας πρόσκλησης.</w:t>
      </w:r>
    </w:p>
    <w:p>
      <w:pPr>
        <w:pStyle w:val="BodyText"/>
        <w:spacing w:line="276" w:lineRule="auto" w:before="120"/>
        <w:ind w:left="100" w:right="116"/>
        <w:jc w:val="both"/>
      </w:pPr>
      <w:r>
        <w:rPr/>
        <w:t>Το σύνολο των ενεργειών για τις καταβολές ενίσχυσης (αίτημα προκαταβολής, έγκριση χορήγησης προκαταβολής, ενδιάμεση καταβολή, αποπληρωμή, εκταμιεύσεις) διενεργούνται μέσω του ΠΣΚΕ με την συμπλήρωση των αντίστοιχων πεδίων του.</w:t>
      </w:r>
    </w:p>
    <w:p>
      <w:pPr>
        <w:pStyle w:val="BodyText"/>
        <w:spacing w:line="276" w:lineRule="auto" w:before="119"/>
        <w:ind w:left="100" w:right="114"/>
        <w:jc w:val="both"/>
      </w:pPr>
      <w:r>
        <w:rPr/>
        <w:t>Η δημόσια χρηματοδότηση καταβάλλεται απευθείας στην επιχείρηση και δεν επιτρέπεται η εκχώρησή της σε τρίτους. Κατ' εξαίρεση είναι δυνατή η εκχώρηση της δημόσιας χρηματοδότησης (</w:t>
      </w:r>
      <w:r>
        <w:rPr>
          <w:u w:val="single"/>
        </w:rPr>
        <w:t>εκτός της προκαταβολής</w:t>
      </w:r>
      <w:r>
        <w:rPr/>
        <w:t>) σε τράπεζα για την παροχή βραχυπρόθεσμου δανείου που θα αντιστοιχεί σε μέρος ή στο σύνολο της δημόσιας χρηματοδότησης που χρησιμοποιείται για την υλοποίηση της επένδυσης. Σε αυτές τις περιπτώσεις η καταβολή της δημόσιας χρηματοδότησης γίνεται απευθείας στην Τράπεζα με την οποία έχει υπογραφεί η σύμβαση εκχώρησης, για το ισόποσο τμήμα του εκταμιευθέντος βραχυπρόθεσμου αυτού δανείου. Στις περιπτώσεις εκχώρησης, ο επενδυτής είναι υποχρεωμένος να προσκομίσει τη σύμβαση εκχώρησης και βεβαιώσεις εκταμιεύσεων από το Πιστωτικό Ίδρυμα στον αρμόδιο φορέα διαχείρισης και παρακολούθησης της Δράσης.</w:t>
      </w:r>
    </w:p>
    <w:p>
      <w:pPr>
        <w:pStyle w:val="BodyText"/>
        <w:spacing w:line="276" w:lineRule="auto" w:before="118"/>
        <w:ind w:left="100" w:right="115"/>
        <w:jc w:val="both"/>
      </w:pPr>
      <w:r>
        <w:rPr/>
        <w:t>Η δυνατότητα της εκχώρησης της δημόσιας χρηματοδότησης σε τράπεζα, δεν μπορεί να εφαρμοστεί όταν ο δικαιούχος προβεί σε δήλωση προσχώρησης για χρήση του Καταπιστευτικού Λογαριασμού (ESCROW ACCOUNT ) όπως αυτός περιγράφεται στην Παράγραφο 11.3.3.</w:t>
      </w:r>
    </w:p>
    <w:p>
      <w:pPr>
        <w:pStyle w:val="BodyText"/>
      </w:pPr>
    </w:p>
    <w:p>
      <w:pPr>
        <w:pStyle w:val="BodyText"/>
        <w:spacing w:before="8"/>
        <w:rPr>
          <w:sz w:val="32"/>
        </w:rPr>
      </w:pPr>
    </w:p>
    <w:p>
      <w:pPr>
        <w:pStyle w:val="Heading4"/>
        <w:numPr>
          <w:ilvl w:val="2"/>
          <w:numId w:val="32"/>
        </w:numPr>
        <w:tabs>
          <w:tab w:pos="1234" w:val="left" w:leader="none"/>
        </w:tabs>
        <w:spacing w:line="240" w:lineRule="auto" w:before="0" w:after="0"/>
        <w:ind w:left="1233" w:right="0" w:hanging="1081"/>
        <w:jc w:val="both"/>
      </w:pPr>
      <w:bookmarkStart w:name="_TOC_250017" w:id="39"/>
      <w:bookmarkEnd w:id="39"/>
      <w:r>
        <w:rPr/>
        <w:t>Προκαταβολή</w:t>
      </w:r>
    </w:p>
    <w:p>
      <w:pPr>
        <w:pStyle w:val="BodyText"/>
        <w:spacing w:line="276" w:lineRule="auto" w:before="120"/>
        <w:ind w:left="100" w:right="114"/>
        <w:jc w:val="both"/>
      </w:pPr>
      <w:r>
        <w:rPr/>
        <w:t>Μετά την υπογραφή της απόφασης ένταξης είναι δυνατή η χορήγηση προκαταβολής </w:t>
      </w:r>
      <w:r>
        <w:rPr>
          <w:b/>
        </w:rPr>
        <w:t>μέχρι το 40% </w:t>
      </w:r>
      <w:r>
        <w:rPr/>
        <w:t>της δημόσιας χρηματοδότησης, εφόσον ο δικαιούχος προσκομίσει ισόποση εγγυητική επιστολή προκαταβολής από αναγνωρισμένο προς τούτο πιστωτικό ίδρυμα, η οποία εκδίδεται υπέρ της Διεύθυνσης Αναπτυξιακού Προγραμματισμού Περιφέρειας Θεσσαλίας με διάρκεια ισχύος είτε αορίστου χρόνου είτε ορισμένου  χρόνου με λήξη μετά την καταληκτική ημερομηνία ολοκλήρωσης της επένδυσης. Στη δεύτερη περίπτωση και εφόσον συμβεί κατά τη διάρκεια υλοποίησης της επένδυσης η εγγυητική επιστολή ορισμένου χρόνου  να λήγει πριν την ολοκλήρωση της επένδυσης, ο δικαιούχος υποχρεούται, άμεσα να την αντικαταστήσει με άλλη ώστε να ικανοποιείται εκ νέου η ανωτέρω απαίτηση. Αποτελεί ευθύνη της Διεύθυνσης Αναπτυξιακού Προγραμματισμού Περιφέρειας Θεσσαλίας να παρακολουθεί και να εξασφαλίζει ότι η κατά τα ανωτέρω προσκομισθείσα από δικαιούχο εγγυητική επιστολή είναι έγκυρη και παραμένει σε ισχύ καθ’ όλη τη διάρκεια υλοποίησης της επένδυσής</w:t>
      </w:r>
      <w:r>
        <w:rPr>
          <w:spacing w:val="-5"/>
        </w:rPr>
        <w:t> </w:t>
      </w:r>
      <w:r>
        <w:rPr/>
        <w:t>του.</w:t>
      </w:r>
    </w:p>
    <w:p>
      <w:pPr>
        <w:pStyle w:val="BodyText"/>
        <w:spacing w:line="276" w:lineRule="auto" w:before="118"/>
        <w:ind w:left="100" w:right="113"/>
        <w:jc w:val="both"/>
      </w:pPr>
      <w:r>
        <w:rPr/>
        <w:t>Η δυνατότητα λήψης προκαταβολής μέχρι του 40% της δημόσιας χρηματοδότησης, με την προσκόμιση ισόποσης εγγυητικής επιστολής, δύναται να πραγματοποιηθεί με σειριακά αιτήματα τα οποία δε θα υπερβαίνουν το προαναφερθέν ποσοστό και δε θα υποβληθούν μεταγενέστερα του πρώτου αιτήματος επαλήθευσης.</w:t>
      </w:r>
    </w:p>
    <w:p>
      <w:pPr>
        <w:pStyle w:val="BodyText"/>
        <w:spacing w:line="276" w:lineRule="auto" w:before="118"/>
        <w:ind w:left="100" w:right="119"/>
        <w:jc w:val="both"/>
      </w:pPr>
      <w:r>
        <w:rPr/>
        <w:t>Η προκαταβολή συμψηφίζεται με την ενδιάμεση καταβολή ή με την αποπληρωμή του έργου σε περίπτωση που δεν υπάρχει ενδιάμεση καταβολή.</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100" w:right="122"/>
        <w:jc w:val="both"/>
      </w:pPr>
      <w:r>
        <w:rPr/>
        <w:t>Η εγγυητική επιστολή προκαταβολής δύναται, έπειτα από αίτημα του δικαιούχου, να απομειώνεται σταδιακά με βάση ισόποσο συμψηφισμό της με αναλογούσα σε πραγματοποιηθείσες και πιστοποιηθείσες δαπάνες του έργου δημόσια χρηματοδότηση και επιστρέφεται στο δικαιούχο μετά τον πλήρη συμψηφισμό της ως ανωτέρω.</w:t>
      </w:r>
    </w:p>
    <w:p>
      <w:pPr>
        <w:pStyle w:val="BodyText"/>
        <w:spacing w:line="276" w:lineRule="auto" w:before="120"/>
        <w:ind w:left="100" w:right="118"/>
        <w:jc w:val="both"/>
      </w:pPr>
      <w:r>
        <w:rPr/>
        <w:t>Τα Αιτήματα Προκαταβολής υποβάλλονται από το δικαιούχο ηλεκτρονικά στο ΠΣΚΕ καταχωρώντας τα σχετικά πεδία της εφαρμογής «ΑΙΤΗΜΑ ΠΡΟΚΑΤΑΒΟΛΗΣ» του ΠΣΚΕ. Ο δικαιούχος υποχρεούται να υποβάλλει σε φυσική μορφή τα απαιτούμενα δικαιολογητικά και παραστατικά όπως αυτά καθορίζονται στο Παράρτημα  ΧΙ  «ΑΠΑΙΤΟΥΜΕΝΑ  ΔΙΚΑΙΟΛΟΓΗΤΙΚΑ  ΓΙΑ  ΤΗΝ  ΚΑΤΑΒΟΛΗ  ΤΗΣ  ΕΠΙΧΟΡΗΓΗΣΗΣ».  Ο    τρόπος</w:t>
      </w:r>
    </w:p>
    <w:p>
      <w:pPr>
        <w:pStyle w:val="BodyText"/>
        <w:spacing w:line="273" w:lineRule="auto"/>
        <w:ind w:left="100" w:right="119"/>
        <w:jc w:val="both"/>
      </w:pPr>
      <w:r>
        <w:rPr/>
        <w:t>υποβολής των δικαιολογητικών σε φυσική μορφή είναι ίδιος με τον περιγραφόμενο στο κεφάλαιο 9 της παρούσας «ΔΙΚΑΙΟΛΟΓΗΤΙΚΑ ΚΑΙ ΣΤΟΙΧΕΙΑ ΓΙΑ ΤΗΝ ΑΞΙΟΛΟΓΗΣΗ ΤΗΣ ΑΙΤΗΣΗΣ ΧΡΗΜΑΤΟΔΟΤΗΣΗΣ».</w:t>
      </w:r>
    </w:p>
    <w:p>
      <w:pPr>
        <w:pStyle w:val="BodyText"/>
        <w:spacing w:line="276" w:lineRule="auto" w:before="124"/>
        <w:ind w:left="100" w:right="113"/>
        <w:jc w:val="both"/>
      </w:pPr>
      <w:r>
        <w:rPr/>
        <w:t>Σε κάθε περίπτωση, και σύμφωνα με τα οριζόμενα στη σχετική διαδικασία (ΔΙΙ_7_ΚΕ) του ΣΔΕ, οι παραπάνω προκαταβολές υπόκεινται στην υποχρέωση εντός τριετίας και σε κάθε περίπτωση μέχρι 31/12/2023 θα πρέπει να καλυφθούν από τις δαπάνες, που καταβάλλονται από το δικαιούχο στο πλαίσιο της υλοποίησης του έργου και δικαιολογούνται με εξοφλημένα τιμολόγια ή λογιστικά έγγραφα ισοδύναμης αποδεικτικής αξίας .</w:t>
      </w:r>
    </w:p>
    <w:p>
      <w:pPr>
        <w:pStyle w:val="BodyText"/>
        <w:spacing w:before="6"/>
        <w:rPr>
          <w:sz w:val="19"/>
        </w:rPr>
      </w:pPr>
    </w:p>
    <w:p>
      <w:pPr>
        <w:pStyle w:val="Heading4"/>
        <w:numPr>
          <w:ilvl w:val="2"/>
          <w:numId w:val="32"/>
        </w:numPr>
        <w:tabs>
          <w:tab w:pos="1234" w:val="left" w:leader="none"/>
        </w:tabs>
        <w:spacing w:line="240" w:lineRule="auto" w:before="0" w:after="0"/>
        <w:ind w:left="1233" w:right="0" w:hanging="1081"/>
        <w:jc w:val="both"/>
      </w:pPr>
      <w:bookmarkStart w:name="_TOC_250016" w:id="40"/>
      <w:r>
        <w:rPr/>
        <w:t>Ενδιάμεση</w:t>
      </w:r>
      <w:r>
        <w:rPr>
          <w:spacing w:val="-1"/>
        </w:rPr>
        <w:t> </w:t>
      </w:r>
      <w:bookmarkEnd w:id="40"/>
      <w:r>
        <w:rPr/>
        <w:t>καταβολή</w:t>
      </w:r>
    </w:p>
    <w:p>
      <w:pPr>
        <w:pStyle w:val="BodyText"/>
        <w:spacing w:line="276" w:lineRule="auto" w:before="120"/>
        <w:ind w:left="100" w:right="114"/>
        <w:jc w:val="both"/>
      </w:pPr>
      <w:r>
        <w:rPr/>
        <w:t>Ενδιάμεση καταβολή δύναται να καταβληθεί έπειτα από υποβολή σχετικού Αιτήματος Επαλήθευσης – Πιστοποίησης από πλευράς δικαιούχου και πιστοποίηση φυσικού και οικονομικού αντικειμένου, όπου και προσδιορίζεται το ύψος των επιλέξιμων δαπανών του έργου μέχρι τη στιγμή της υποβολής του Αιτήματος, και η αναλογούσα δημόσια χρηματοδότηση.</w:t>
      </w:r>
    </w:p>
    <w:p>
      <w:pPr>
        <w:pStyle w:val="BodyText"/>
        <w:spacing w:line="276" w:lineRule="auto" w:before="120"/>
        <w:ind w:left="100" w:right="119"/>
        <w:jc w:val="both"/>
      </w:pPr>
      <w:r>
        <w:rPr/>
        <w:t>Η ενδιάμεση καταβολή ανέρχεται στο </w:t>
      </w:r>
      <w:r>
        <w:rPr>
          <w:b/>
        </w:rPr>
        <w:t>50% </w:t>
      </w:r>
      <w:r>
        <w:rPr/>
        <w:t>της εγκεκριμένης δημόσιας χρηματοδότησης. Καταβάλλεται από την ΔΙΑΠ Περιφέρειας Θεσσαλίας στο δικαιούχο της ενίσχυσης, εφόσον μετά από έλεγχο που διενεργήσει η ΔΙΑΠ ΠΘ, πιστοποιήσει την πραγματοποίηση του οικονομικού αντικειμένου σε ποσοστό τουλάχιστον πενήντα τοις εκατό (50%) επί του εγκεκριμένου συνολικού επιχορηγούμενου προϋπολογισμού της επένδυσης και το ανάλογο φυσικό αντικείμενο.</w:t>
      </w:r>
    </w:p>
    <w:p>
      <w:pPr>
        <w:pStyle w:val="BodyText"/>
        <w:spacing w:line="276" w:lineRule="auto" w:before="118"/>
        <w:ind w:left="100" w:right="117"/>
        <w:jc w:val="both"/>
      </w:pPr>
      <w:r>
        <w:rPr/>
        <w:t>Ο δικαιούχος υποχρεούται να υποβάλλει σε φυσική μορφή τα απαιτούμενα δικαιολογητικά και παραστατικά όπως αυτά καθορίζονται στο Παράρτημα </w:t>
      </w:r>
      <w:r>
        <w:rPr>
          <w:b/>
        </w:rPr>
        <w:t>ΧI </w:t>
      </w:r>
      <w:r>
        <w:rPr/>
        <w:t>«ΑΠΑΙΤΟΥΜΕΝΑ ΔΙΚΑΙΟΛΟΓΗΤΙΚΑ ΓΙΑ ΤΗΝ ΚΑΤΑΒΟΛΗ ΤΗΣ ΕΠΙΧΟΡΗΓΗΣΗΣ». Ο τρόπος υποβολής των δικαιολογητικών σε φυσική μορφή είναι ίδιος με τον περιγραφόμενο στο κεφάλαιο 9 της παρούσας «ΔΙΚΑΙΟΛΟΓΗΤΙΚΑ ΚΑΙ ΣΤΟΙΧΕΙΑ ΓΙΑ ΤΗΝ ΑΞΙΟΛΟΓΗΣΗ ΤΗΣ ΑΙΤΗΣΗΣ ΧΡΗΜΑΤΟΔΟΤΗΣΗΣ».</w:t>
      </w:r>
    </w:p>
    <w:p>
      <w:pPr>
        <w:pStyle w:val="BodyText"/>
        <w:spacing w:before="8"/>
        <w:rPr>
          <w:sz w:val="19"/>
        </w:rPr>
      </w:pPr>
    </w:p>
    <w:p>
      <w:pPr>
        <w:pStyle w:val="Heading4"/>
        <w:numPr>
          <w:ilvl w:val="2"/>
          <w:numId w:val="32"/>
        </w:numPr>
        <w:tabs>
          <w:tab w:pos="1234" w:val="left" w:leader="none"/>
        </w:tabs>
        <w:spacing w:line="240" w:lineRule="auto" w:before="1" w:after="0"/>
        <w:ind w:left="1233" w:right="0" w:hanging="1081"/>
        <w:jc w:val="both"/>
      </w:pPr>
      <w:bookmarkStart w:name="_TOC_250015" w:id="41"/>
      <w:bookmarkEnd w:id="41"/>
      <w:r>
        <w:rPr/>
        <w:t>Αποπληρωμή</w:t>
      </w:r>
    </w:p>
    <w:p>
      <w:pPr>
        <w:pStyle w:val="BodyText"/>
        <w:spacing w:line="273" w:lineRule="auto" w:before="120"/>
        <w:ind w:left="100" w:right="120"/>
        <w:jc w:val="both"/>
      </w:pPr>
      <w:r>
        <w:rPr/>
        <w:t>Η αποπληρωμή καταβάλλεται μετά την επιτόπια επαλήθευση της ολοκλήρωσης του έργου, την οριστική παραλαβή του και την Βεβαίωση Ολοκλήρωσης της Πράξης.</w:t>
      </w:r>
    </w:p>
    <w:p>
      <w:pPr>
        <w:pStyle w:val="BodyText"/>
        <w:spacing w:line="276" w:lineRule="auto" w:before="123"/>
        <w:ind w:left="100" w:right="124"/>
        <w:jc w:val="both"/>
      </w:pPr>
      <w:r>
        <w:rPr/>
        <w:t>Στο στάδιο αυτό οριστικοποιείται το τελικό επιλέξιμο προς χρηματοδότηση κόστος του έργου, καθώς και η αναλογούσα αυτού δημόσια χρηματοδότηση σε συνδυασμό με την ικανοποίηση ή όχι των απαιτήσεων της απόφασης ένταξης.</w:t>
      </w:r>
    </w:p>
    <w:p>
      <w:pPr>
        <w:pStyle w:val="BodyText"/>
        <w:spacing w:line="276" w:lineRule="auto" w:before="120"/>
        <w:ind w:left="100" w:right="112"/>
        <w:jc w:val="both"/>
      </w:pPr>
      <w:r>
        <w:rPr/>
        <w:t>Η Διεύθυνση Αναπτυξιακού Προγραμματισμού Περιφέρειας Θεσσαλίας διασφαλίζει ότι ο Δικαιούχος λαμβάνει πλήρως το συνολικό ποσό της οφειλόμενης ενίσχυσης το αργότερο σε ενενήντα μέρες μετά την ημερομηνία υποβολής του Αιτήματος από τον Δικαιούχο. Προς τούτο, μπορεί να καταρτίσει ενδιάμεσες ενδεικτικές  προθεσμίες.  Η  προθεσμία  πληρωμής  των  90  ημερών  δύναται  να  διακοπεί  από  τη      ΔΙΑΠ</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100" w:right="120"/>
        <w:jc w:val="both"/>
      </w:pPr>
      <w:r>
        <w:rPr/>
        <w:t>Περιφέρειας Θεσσαλίας σε δεόντως αιτιολογημένες περιπτώσεις σύμφωνα με το άρθρο 132 παρ. 2 του Καν.1303/2013.</w:t>
      </w:r>
    </w:p>
    <w:p>
      <w:pPr>
        <w:pStyle w:val="BodyText"/>
        <w:spacing w:line="276" w:lineRule="auto" w:before="118"/>
        <w:ind w:left="100" w:right="116"/>
        <w:jc w:val="both"/>
      </w:pPr>
      <w:r>
        <w:rPr/>
        <w:t>Ο δικαιούχος υποχρεούται να υποβάλει σε φυσική μορφή τα απαιτούμενα δικαιολογητικά και παραστατικά όπως αυτά καθορίζονται στο Παράρτημα VIII «ΑΠΑΙΤΟΥΜΕΝΑ ΔΙΚΑΙΟΛΟΓΗΤΙΚΑ ΓΙΑ ΤΗΝ ΚΑΤΑΒΟΛΗ ΤΗΣ ΕΠΙΧΟΡΗΓΗΣΗΣ». Ο τρόπος υποβολής των δικαιολογητικών σε φυσική μορφή είναι ίδιος με τον περιγραφόμενο στο κεφάλαιο 9 της παρούσας «ΔΙΚΑΙΟΛΟΓΗΤΙΚΑ ΚΑΙ ΣΤΟΙΧΕΙΑ ΓΙΑ ΤΗΝ ΑΞΙΟΛΟΓΗΣΗ ΤΗΣ ΑΙΤΗΣΗΣ ΧΡΗΜΑΤΟΔΟΤΗΣΗΣ».</w:t>
      </w:r>
    </w:p>
    <w:p>
      <w:pPr>
        <w:pStyle w:val="BodyText"/>
        <w:spacing w:line="276" w:lineRule="auto" w:before="120"/>
        <w:ind w:left="100" w:right="114"/>
        <w:jc w:val="both"/>
      </w:pPr>
      <w:r>
        <w:rPr/>
        <w:t>Εάν κατά την ολοκλήρωση του έργου διαπιστωθεί ότι η συνολική ενίσχυση/δημόσια χρηματοδότηση που έχει ήδη καταβληθεί από την ΔΙΑΠ, σε κάποιο δικαιούχο είναι μεγαλύτερη από αυτή που δικαιούται βάσει των συνολικών πιστοποιημένων δαπανών του, όπως αυτές προκύπτουν από τη διαδικασία επαλήθευσης, τότε ο δικαιούχος επιστρέφει εντόκως τη διαφορά σύμφωνα με τις εκάστοτε ισχύουσες διατάξεις περί ανάκτησης αχρεωστήτως καταβληθέντων ποσών και είσπραξης δημοσίων εσόδων για την περίπτωση έργων εθνικής και κοινοτικής χρηματοδότησης [ΚΥΑ υπ’ αριθμ. 126829/EΥΘΥ 1217/ 21.12.2015 (Β 2784)].</w:t>
      </w:r>
    </w:p>
    <w:p>
      <w:pPr>
        <w:pStyle w:val="BodyText"/>
        <w:spacing w:line="276" w:lineRule="auto" w:before="120"/>
        <w:ind w:left="100" w:right="118"/>
        <w:jc w:val="both"/>
      </w:pPr>
      <w:r>
        <w:rPr/>
        <w:t>Επιπλέον αυτών, δύναται να δοθούν περαιτέρω οδηγίες από τη ΔΙΑΠ και την Ειδική Υπηρεσία Διαχείρισης Ε.Π. Περιφέρειας Θεσσαλίας (ΕΥΔ), οι οποίες θα εξειδικεύουν θέματα που προκύπτουν κατά την υλοποίηση των επιχειρηματικών σχεδίων και τη χρήση του ανοικτού καταπιστευτικού λογαριασμού (escrow account).</w:t>
      </w:r>
    </w:p>
    <w:p>
      <w:pPr>
        <w:pStyle w:val="BodyText"/>
        <w:spacing w:before="120"/>
        <w:ind w:left="100"/>
        <w:jc w:val="both"/>
      </w:pPr>
      <w:r>
        <w:rPr>
          <w:u w:val="single"/>
        </w:rPr>
        <w:t>Χρήση του ανοιχτού καταπιστευτικού λογαριασμού </w:t>
      </w:r>
      <w:r>
        <w:rPr/>
        <w:t>(escrow account) :</w:t>
      </w:r>
    </w:p>
    <w:p>
      <w:pPr>
        <w:pStyle w:val="BodyText"/>
        <w:spacing w:line="276" w:lineRule="auto" w:before="161"/>
        <w:ind w:left="100" w:right="113"/>
        <w:jc w:val="both"/>
      </w:pPr>
      <w:r>
        <w:rPr/>
        <w:t>Μετά την υπογραφή της Απόφασης Ένταξης, ο δικαιούχος δύναται να κάνει χρήση του ειδικού τραπεζικού λογαριασμού με τη μορφή «Ανοιχτού Καταπιστευτικού Λογαριασμού», εφεξής Escrow Account, προκειμένου να καταβληθεί η αναλογούσα επιχορήγηση σε ήδη υλοποιηθείσες, τιμολογηθείσες και πιστοποιημένες σε ενδιάμεση επαλήθευση – πιστοποίηση από την ΔΙΑΠ δαπάνες, απευθείας στους παρόχους/προμηθευτές του δικαιούχου. Το θεσμικό πλαίσιο λειτουργίας του </w:t>
      </w:r>
      <w:r>
        <w:rPr>
          <w:spacing w:val="2"/>
        </w:rPr>
        <w:t>εν </w:t>
      </w:r>
      <w:r>
        <w:rPr/>
        <w:t>λόγω λογαριασμού καθορίζεται σύμφωνα με την με Α.Π. 62550/10.6.2016 Υπουργική Απόφαση με θέμα «Σύσταση Ανοιχτού Καταπιστευτικού (Δεσμευμένου) Λογαριασμού (Escrow Account)» (ΦΕΚ΄ Β 1738) και θα εξειδικευτεί περαιτέρω μέσω υπογραφής Σύμβασης μεταξύ του Υπουργείου Οικονομίας και Ανάπτυξης, της  Περιφέρειας Θεσσαλίας / ΕΥΔ, του Ταμείου Παρακαταθηκών και Δανείων και της</w:t>
      </w:r>
      <w:r>
        <w:rPr>
          <w:spacing w:val="-12"/>
        </w:rPr>
        <w:t> </w:t>
      </w:r>
      <w:r>
        <w:rPr/>
        <w:t>ΔΙΑΠ.</w:t>
      </w:r>
    </w:p>
    <w:p>
      <w:pPr>
        <w:pStyle w:val="BodyText"/>
        <w:spacing w:line="276" w:lineRule="auto" w:before="120"/>
        <w:ind w:left="100" w:right="117"/>
        <w:jc w:val="both"/>
      </w:pPr>
      <w:r>
        <w:rPr/>
        <w:t>Το κόστος χρήσης Escrow Account, συμπεριλαμβανομένων όλων των τυχόν εξόδων  ηλεκτρονικής μεταφοράς ποσών σε λογαριασμούς των παρόχων του δικαιούχου, θα καταβάλλεται από το Δικαιούχο μέσω πιστωτικών ιδρυμάτων, με χρήση μοναδικού προσωποποιημένου κωδικού ηλεκτρονικής πληρωμής που θα παρέχεται ηλεκτρονικά από το ΠΣΚΕ στον δικαιούχο όταν, μετά από σχετική αίτησή του, προσχωρήσει ηλεκτρονικά στον Escrow Account. Το ποσό αυτό καταβάλλεται εφάπαξ πριν την υποβολή  από το δικαιούχο της πρώτης Αίτησης Ενδιάμεσης Επαλήθευσης Δαπανών, στην οποία περιλαμβάνονται δαπάνες που θα εξοφληθούν μέσω Escrow Account. Με το ποσό αυτό εξαντλείται κάθε οικονομική υποχρέωση του δικαιούχου. Σημειώνονται τα εξής</w:t>
      </w:r>
      <w:r>
        <w:rPr>
          <w:spacing w:val="-13"/>
        </w:rPr>
        <w:t> </w:t>
      </w:r>
      <w:r>
        <w:rPr/>
        <w:t>:</w:t>
      </w:r>
    </w:p>
    <w:p>
      <w:pPr>
        <w:pStyle w:val="ListParagraph"/>
        <w:numPr>
          <w:ilvl w:val="0"/>
          <w:numId w:val="42"/>
        </w:numPr>
        <w:tabs>
          <w:tab w:pos="426" w:val="left" w:leader="none"/>
        </w:tabs>
        <w:spacing w:line="276" w:lineRule="auto" w:before="118" w:after="0"/>
        <w:ind w:left="100" w:right="120" w:firstLine="0"/>
        <w:jc w:val="both"/>
        <w:rPr>
          <w:sz w:val="22"/>
        </w:rPr>
      </w:pPr>
      <w:r>
        <w:rPr>
          <w:sz w:val="22"/>
        </w:rPr>
        <w:t>Ο δικαιούχος δεν υποχρεούται στη χρήση Escrow Account ωστόσο εφόσον επιλέξει να τον χρησιμοποιήσει, υποβάλλει ηλεκτρονικά μέσω ΠΣΚΕ, πριν από την Αίτηση Ενδιάμεσης Επαλήθευσης, αλλά και σε έντυπη μορφή την τυποποιημένη δήλωση προσχώρησης, με την οποία δηλώνει τη βούλησή του να κάνει χρήση Escrow Account. Η δήλωση αυτή δεν δεσμεύει το δικαιούχο ως προς τις δαπάνες που στη συνέχεια θα επιλέξει να υλοποιηθούν μέσω Escrow</w:t>
      </w:r>
      <w:r>
        <w:rPr>
          <w:spacing w:val="-11"/>
          <w:sz w:val="22"/>
        </w:rPr>
        <w:t> </w:t>
      </w:r>
      <w:r>
        <w:rPr>
          <w:sz w:val="22"/>
        </w:rPr>
        <w:t>Account.</w:t>
      </w:r>
    </w:p>
    <w:p>
      <w:pPr>
        <w:pStyle w:val="ListParagraph"/>
        <w:numPr>
          <w:ilvl w:val="0"/>
          <w:numId w:val="42"/>
        </w:numPr>
        <w:tabs>
          <w:tab w:pos="357" w:val="left" w:leader="none"/>
        </w:tabs>
        <w:spacing w:line="273" w:lineRule="auto" w:before="121" w:after="0"/>
        <w:ind w:left="100" w:right="118" w:firstLine="0"/>
        <w:jc w:val="both"/>
        <w:rPr>
          <w:sz w:val="22"/>
        </w:rPr>
      </w:pPr>
      <w:r>
        <w:rPr>
          <w:sz w:val="22"/>
        </w:rPr>
        <w:t>Ο δικαιούχος έχει δικαίωμα είσπραξης μέρους της επιχορήγησης (έως το 40%) μέσω προκαταβολής, παράλληλα</w:t>
      </w:r>
      <w:r>
        <w:rPr>
          <w:spacing w:val="16"/>
          <w:sz w:val="22"/>
        </w:rPr>
        <w:t> </w:t>
      </w:r>
      <w:r>
        <w:rPr>
          <w:sz w:val="22"/>
        </w:rPr>
        <w:t>με</w:t>
      </w:r>
      <w:r>
        <w:rPr>
          <w:spacing w:val="17"/>
          <w:sz w:val="22"/>
        </w:rPr>
        <w:t> </w:t>
      </w:r>
      <w:r>
        <w:rPr>
          <w:sz w:val="22"/>
        </w:rPr>
        <w:t>τη</w:t>
      </w:r>
      <w:r>
        <w:rPr>
          <w:spacing w:val="16"/>
          <w:sz w:val="22"/>
        </w:rPr>
        <w:t> </w:t>
      </w:r>
      <w:r>
        <w:rPr>
          <w:sz w:val="22"/>
        </w:rPr>
        <w:t>χρήση</w:t>
      </w:r>
      <w:r>
        <w:rPr>
          <w:spacing w:val="16"/>
          <w:sz w:val="22"/>
        </w:rPr>
        <w:t> </w:t>
      </w:r>
      <w:r>
        <w:rPr>
          <w:sz w:val="22"/>
        </w:rPr>
        <w:t>του</w:t>
      </w:r>
      <w:r>
        <w:rPr>
          <w:spacing w:val="17"/>
          <w:sz w:val="22"/>
        </w:rPr>
        <w:t> </w:t>
      </w:r>
      <w:r>
        <w:rPr>
          <w:sz w:val="22"/>
        </w:rPr>
        <w:t>Escrow</w:t>
      </w:r>
      <w:r>
        <w:rPr>
          <w:spacing w:val="17"/>
          <w:sz w:val="22"/>
        </w:rPr>
        <w:t> </w:t>
      </w:r>
      <w:r>
        <w:rPr>
          <w:sz w:val="22"/>
        </w:rPr>
        <w:t>Account.</w:t>
      </w:r>
      <w:r>
        <w:rPr>
          <w:spacing w:val="17"/>
          <w:sz w:val="22"/>
        </w:rPr>
        <w:t> </w:t>
      </w:r>
      <w:r>
        <w:rPr>
          <w:sz w:val="22"/>
        </w:rPr>
        <w:t>Ο</w:t>
      </w:r>
      <w:r>
        <w:rPr>
          <w:spacing w:val="17"/>
          <w:sz w:val="22"/>
        </w:rPr>
        <w:t> </w:t>
      </w:r>
      <w:r>
        <w:rPr>
          <w:sz w:val="22"/>
        </w:rPr>
        <w:t>δικαιούχος</w:t>
      </w:r>
      <w:r>
        <w:rPr>
          <w:spacing w:val="17"/>
          <w:sz w:val="22"/>
        </w:rPr>
        <w:t> </w:t>
      </w:r>
      <w:r>
        <w:rPr>
          <w:sz w:val="22"/>
        </w:rPr>
        <w:t>δύναται</w:t>
      </w:r>
      <w:r>
        <w:rPr>
          <w:spacing w:val="16"/>
          <w:sz w:val="22"/>
        </w:rPr>
        <w:t> </w:t>
      </w:r>
      <w:r>
        <w:rPr>
          <w:sz w:val="22"/>
        </w:rPr>
        <w:t>να</w:t>
      </w:r>
      <w:r>
        <w:rPr>
          <w:spacing w:val="16"/>
          <w:sz w:val="22"/>
        </w:rPr>
        <w:t> </w:t>
      </w:r>
      <w:r>
        <w:rPr>
          <w:sz w:val="22"/>
        </w:rPr>
        <w:t>κάνει</w:t>
      </w:r>
      <w:r>
        <w:rPr>
          <w:spacing w:val="16"/>
          <w:sz w:val="22"/>
        </w:rPr>
        <w:t> </w:t>
      </w:r>
      <w:r>
        <w:rPr>
          <w:sz w:val="22"/>
        </w:rPr>
        <w:t>χρήση</w:t>
      </w:r>
      <w:r>
        <w:rPr>
          <w:spacing w:val="16"/>
          <w:sz w:val="22"/>
        </w:rPr>
        <w:t> </w:t>
      </w:r>
      <w:r>
        <w:rPr>
          <w:sz w:val="22"/>
        </w:rPr>
        <w:t>Escrow</w:t>
      </w:r>
      <w:r>
        <w:rPr>
          <w:spacing w:val="17"/>
          <w:sz w:val="22"/>
        </w:rPr>
        <w:t> </w:t>
      </w:r>
      <w:r>
        <w:rPr>
          <w:sz w:val="22"/>
        </w:rPr>
        <w:t>Account</w:t>
      </w:r>
      <w:r>
        <w:rPr>
          <w:spacing w:val="17"/>
          <w:sz w:val="22"/>
        </w:rPr>
        <w:t> </w:t>
      </w:r>
      <w:r>
        <w:rPr>
          <w:sz w:val="22"/>
        </w:rPr>
        <w:t>μόνο</w:t>
      </w:r>
    </w:p>
    <w:p>
      <w:pPr>
        <w:spacing w:after="0" w:line="273" w:lineRule="auto"/>
        <w:jc w:val="both"/>
        <w:rPr>
          <w:sz w:val="22"/>
        </w:rPr>
        <w:sectPr>
          <w:pgSz w:w="11910" w:h="16840"/>
          <w:pgMar w:header="748" w:footer="734" w:top="1420" w:bottom="920" w:left="980" w:right="960"/>
        </w:sectPr>
      </w:pPr>
    </w:p>
    <w:p>
      <w:pPr>
        <w:pStyle w:val="BodyText"/>
        <w:spacing w:before="7"/>
        <w:rPr>
          <w:sz w:val="17"/>
        </w:rPr>
      </w:pPr>
    </w:p>
    <w:p>
      <w:pPr>
        <w:pStyle w:val="BodyText"/>
        <w:spacing w:line="276" w:lineRule="auto" w:before="57"/>
        <w:ind w:left="100" w:right="122"/>
        <w:jc w:val="both"/>
      </w:pPr>
      <w:r>
        <w:rPr/>
        <w:t>για υλοποιηθείσες δαπάνες που υποβάλλονται προς πιστοποίηση σε Αίτηση Ενδιάμεσης Επαλήθευσης Δαπανών. Δεν επιτρέπεται η χρήση Escrow Account για την εξόφληση δαπανών που περιλαμβάνονται σε Αίτηση Τελικής Επαλήθευσης Δαπανών.</w:t>
      </w:r>
    </w:p>
    <w:p>
      <w:pPr>
        <w:pStyle w:val="ListParagraph"/>
        <w:numPr>
          <w:ilvl w:val="0"/>
          <w:numId w:val="42"/>
        </w:numPr>
        <w:tabs>
          <w:tab w:pos="374" w:val="left" w:leader="none"/>
        </w:tabs>
        <w:spacing w:line="276" w:lineRule="auto" w:before="120" w:after="0"/>
        <w:ind w:left="100" w:right="120" w:firstLine="0"/>
        <w:jc w:val="both"/>
        <w:rPr>
          <w:sz w:val="22"/>
        </w:rPr>
      </w:pPr>
      <w:r>
        <w:rPr>
          <w:sz w:val="22"/>
        </w:rPr>
        <w:t>Ο δικαιούχος ενεργοποιεί τη δυνατότητα χρήσης Escrow Account εφόσον συμπεριλάβει σε Αίτηση Ενδιάμεσης Επαλήθευσης Δαπανών εγκεκριμένες, διακριτές και υλοποιηθείσες δαπάνες, για τις οποίες αιτείται η αναλογούσα επιχορήγηση να καταβληθεί απευθείας στους παρόχους/προμηθευτές</w:t>
      </w:r>
      <w:r>
        <w:rPr>
          <w:spacing w:val="-21"/>
          <w:sz w:val="22"/>
        </w:rPr>
        <w:t> </w:t>
      </w:r>
      <w:r>
        <w:rPr>
          <w:sz w:val="22"/>
        </w:rPr>
        <w:t>του.</w:t>
      </w:r>
    </w:p>
    <w:p>
      <w:pPr>
        <w:pStyle w:val="ListParagraph"/>
        <w:numPr>
          <w:ilvl w:val="0"/>
          <w:numId w:val="42"/>
        </w:numPr>
        <w:tabs>
          <w:tab w:pos="338" w:val="left" w:leader="none"/>
        </w:tabs>
        <w:spacing w:line="276" w:lineRule="auto" w:before="120" w:after="0"/>
        <w:ind w:left="100" w:right="123" w:firstLine="0"/>
        <w:jc w:val="both"/>
        <w:rPr>
          <w:sz w:val="22"/>
        </w:rPr>
      </w:pPr>
      <w:r>
        <w:rPr>
          <w:sz w:val="22"/>
        </w:rPr>
        <w:t>Ο δικαιούχος οφείλει να έχει ήδη καταβάλει στον πάροχο/προμηθευτή το τυχόν μη εγκεκριμένο μέρος και μη επιχορηγούμενο μέρος ή μη επιλέξιμο τμήμα (π.χ. ΦΠΑ) κάθε τιμολογίου, καθώς και τυχόν όρους πριν την έναρξη της διαδικασίας εξόφλησης της δαπάνης με χρήση Escrow</w:t>
      </w:r>
      <w:r>
        <w:rPr>
          <w:spacing w:val="-24"/>
          <w:sz w:val="22"/>
        </w:rPr>
        <w:t> </w:t>
      </w:r>
      <w:r>
        <w:rPr>
          <w:sz w:val="22"/>
        </w:rPr>
        <w:t>Account.</w:t>
      </w:r>
    </w:p>
    <w:p>
      <w:pPr>
        <w:pStyle w:val="ListParagraph"/>
        <w:numPr>
          <w:ilvl w:val="0"/>
          <w:numId w:val="42"/>
        </w:numPr>
        <w:tabs>
          <w:tab w:pos="390" w:val="left" w:leader="none"/>
        </w:tabs>
        <w:spacing w:line="276" w:lineRule="auto" w:before="119" w:after="0"/>
        <w:ind w:left="100" w:right="115" w:firstLine="0"/>
        <w:jc w:val="both"/>
        <w:rPr>
          <w:sz w:val="22"/>
        </w:rPr>
      </w:pPr>
      <w:r>
        <w:rPr>
          <w:sz w:val="22"/>
        </w:rPr>
        <w:t>Ο δικαιούχος επιτρέπεται να συμπεριλάβει στην ίδια Αίτηση Ενδιάμεσης Επαλήθευσης Δαπανών εγκεκριμένες, διακριτές και υλοποιηθείσες δαπάνες που εξοφλήθηκαν εξ ολοκλήρου από τον ίδιο και δαπάνες για τις οποίες αιτείται η πλήρης εξόφλησή τους να γίνει με χρήση Escrow Account. Ωστόσο κάθε διακριτή εγκεκριμένη και υλοποιηθείσα δαπάνη επιτρέπεται να ανήκει είτε στην μία είτε στην άλλη κατηγορία.</w:t>
      </w:r>
    </w:p>
    <w:p>
      <w:pPr>
        <w:pStyle w:val="ListParagraph"/>
        <w:numPr>
          <w:ilvl w:val="0"/>
          <w:numId w:val="42"/>
        </w:numPr>
        <w:tabs>
          <w:tab w:pos="319" w:val="left" w:leader="none"/>
        </w:tabs>
        <w:spacing w:line="240" w:lineRule="auto" w:before="120" w:after="0"/>
        <w:ind w:left="318" w:right="0" w:hanging="218"/>
        <w:jc w:val="both"/>
        <w:rPr>
          <w:sz w:val="22"/>
        </w:rPr>
      </w:pPr>
      <w:r>
        <w:rPr>
          <w:sz w:val="22"/>
        </w:rPr>
        <w:t>Δεν επιτρέπεται η χρήση Escrow Account για τμήμα επιχορηγούμενου κόστους ανά παραστατικό</w:t>
      </w:r>
      <w:r>
        <w:rPr>
          <w:spacing w:val="-23"/>
          <w:sz w:val="22"/>
        </w:rPr>
        <w:t> </w:t>
      </w:r>
      <w:r>
        <w:rPr>
          <w:sz w:val="22"/>
        </w:rPr>
        <w:t>αγοράς.</w:t>
      </w:r>
    </w:p>
    <w:p>
      <w:pPr>
        <w:pStyle w:val="ListParagraph"/>
        <w:numPr>
          <w:ilvl w:val="0"/>
          <w:numId w:val="42"/>
        </w:numPr>
        <w:tabs>
          <w:tab w:pos="364" w:val="left" w:leader="none"/>
        </w:tabs>
        <w:spacing w:line="276" w:lineRule="auto" w:before="158" w:after="0"/>
        <w:ind w:left="100" w:right="116" w:firstLine="0"/>
        <w:jc w:val="both"/>
        <w:rPr>
          <w:sz w:val="22"/>
        </w:rPr>
      </w:pPr>
      <w:r>
        <w:rPr>
          <w:sz w:val="22"/>
        </w:rPr>
        <w:t>Δαπάνη που υποβάλλεται προς πιστοποίηση από το δικαιούχο σε Αίτηση Ενδιάμεσης Επαλήθευσης Δαπανών, η οποία ωστόσο δεν πιστοποιείται συνολικά για διάφορους λόγους από την ΔΙΑΠ, δεν μπορεί να εξοφληθεί με χρήση ESCROW</w:t>
      </w:r>
      <w:r>
        <w:rPr>
          <w:spacing w:val="-9"/>
          <w:sz w:val="22"/>
        </w:rPr>
        <w:t> </w:t>
      </w:r>
      <w:r>
        <w:rPr>
          <w:sz w:val="22"/>
        </w:rPr>
        <w:t>ACCOUNT.</w:t>
      </w:r>
    </w:p>
    <w:p>
      <w:pPr>
        <w:pStyle w:val="ListParagraph"/>
        <w:numPr>
          <w:ilvl w:val="0"/>
          <w:numId w:val="42"/>
        </w:numPr>
        <w:tabs>
          <w:tab w:pos="364" w:val="left" w:leader="none"/>
        </w:tabs>
        <w:spacing w:line="276" w:lineRule="auto" w:before="118" w:after="0"/>
        <w:ind w:left="100" w:right="114" w:firstLine="0"/>
        <w:jc w:val="both"/>
        <w:rPr>
          <w:sz w:val="22"/>
        </w:rPr>
      </w:pPr>
      <w:r>
        <w:rPr>
          <w:sz w:val="22"/>
        </w:rPr>
        <w:t>Δαπάνη που υποβάλλεται προς πιστοποίηση από το δικαιούχο σε Αίτηση Ενδιάμεσης Επαλήθευσης Δαπανών και, στη συνέχεια, πιστοποιείται σε διαφορετικό επιλέξιμο ύψος από την ΔΙΑΠ, μπορεί να εξοφληθεί με χρήση Escrow Account μέχρι του πιστοποιημένου επιλέξιμου ύψους και εφόσον ο δικαιούχος προχωρήσει στην εξόφληση του ποσού διαφοράς πριν την έναρξη της διαδικασίας εξόφλησης της δαπάνης με χρήση Escrow</w:t>
      </w:r>
      <w:r>
        <w:rPr>
          <w:spacing w:val="-4"/>
          <w:sz w:val="22"/>
        </w:rPr>
        <w:t> </w:t>
      </w:r>
      <w:r>
        <w:rPr>
          <w:sz w:val="22"/>
        </w:rPr>
        <w:t>Account.</w:t>
      </w:r>
    </w:p>
    <w:p>
      <w:pPr>
        <w:pStyle w:val="ListParagraph"/>
        <w:numPr>
          <w:ilvl w:val="0"/>
          <w:numId w:val="42"/>
        </w:numPr>
        <w:tabs>
          <w:tab w:pos="350" w:val="left" w:leader="none"/>
        </w:tabs>
        <w:spacing w:line="276" w:lineRule="auto" w:before="120" w:after="0"/>
        <w:ind w:left="100" w:right="116" w:firstLine="0"/>
        <w:jc w:val="both"/>
        <w:rPr>
          <w:sz w:val="22"/>
        </w:rPr>
      </w:pPr>
      <w:r>
        <w:rPr>
          <w:sz w:val="22"/>
        </w:rPr>
        <w:t>Ο δικαιούχος οφείλει να ακολουθεί τις οδηγίες της ΕΥΔ ΕΠ ΠΘ και της ΔΙΑΠ, ως προς την εφαρμογή Escrow Account στην υλοποίηση και εξόφληση δαπανών του επιχειρηματικού του σχεδίου, πάντοτε σύμφωνα με το εγκεκριμένο θεσμικό πλαίσιο και την παρούσα Πρόσκληση, και οφείλει να προσκομίζει έγκαιρα κάθε έγγραφο και στοιχείο που</w:t>
      </w:r>
      <w:r>
        <w:rPr>
          <w:spacing w:val="-8"/>
          <w:sz w:val="22"/>
        </w:rPr>
        <w:t> </w:t>
      </w:r>
      <w:r>
        <w:rPr>
          <w:sz w:val="22"/>
        </w:rPr>
        <w:t>απαιτείται.</w:t>
      </w:r>
    </w:p>
    <w:p>
      <w:pPr>
        <w:pStyle w:val="ListParagraph"/>
        <w:numPr>
          <w:ilvl w:val="0"/>
          <w:numId w:val="42"/>
        </w:numPr>
        <w:tabs>
          <w:tab w:pos="510" w:val="left" w:leader="none"/>
        </w:tabs>
        <w:spacing w:line="276" w:lineRule="auto" w:before="118" w:after="0"/>
        <w:ind w:left="100" w:right="114" w:firstLine="0"/>
        <w:jc w:val="both"/>
        <w:rPr>
          <w:sz w:val="22"/>
        </w:rPr>
      </w:pPr>
      <w:r>
        <w:rPr>
          <w:sz w:val="22"/>
        </w:rPr>
        <w:t>Ο δικαιούχος οφείλει να προσκομίζει στην ΔΙΑΠ κατά το στάδιο της τελικής επαλήθευσης τα αποδεικτικά στοιχεία και έγγραφα, που αφορούν στις δαπάνες, που έχουν πληρωθεί απευθείας στον πάροχο/προμηθευτή με τη χρήση Escrow Account, καθώς με αυτά αποδεικνύεται η οριστική και πλήρης υλοποίηση και εξόφληση της δαπάνης αυτής από τον</w:t>
      </w:r>
      <w:r>
        <w:rPr>
          <w:spacing w:val="-15"/>
          <w:sz w:val="22"/>
        </w:rPr>
        <w:t> </w:t>
      </w:r>
      <w:r>
        <w:rPr>
          <w:sz w:val="22"/>
        </w:rPr>
        <w:t>Δικαιούχο.</w:t>
      </w:r>
    </w:p>
    <w:p>
      <w:pPr>
        <w:pStyle w:val="ListParagraph"/>
        <w:numPr>
          <w:ilvl w:val="0"/>
          <w:numId w:val="42"/>
        </w:numPr>
        <w:tabs>
          <w:tab w:pos="441" w:val="left" w:leader="none"/>
        </w:tabs>
        <w:spacing w:line="276" w:lineRule="auto" w:before="118" w:after="0"/>
        <w:ind w:left="100" w:right="118" w:firstLine="0"/>
        <w:jc w:val="both"/>
        <w:rPr>
          <w:sz w:val="22"/>
        </w:rPr>
      </w:pPr>
      <w:r>
        <w:rPr>
          <w:sz w:val="22"/>
        </w:rPr>
        <w:t>Δαπάνες για τις οποίες δεν ικανοποιείται το σύνολο των ανωτέρω απαιτήσεων και προϋποθέσεων που έχουν εφαρμογή, δεν θεωρούνται οριστικά πιστοποιημένες και δύναται να ξεκινήσει γι’ αυτές διαδικασία ανάκτησης της αναλογούσας</w:t>
      </w:r>
      <w:r>
        <w:rPr>
          <w:spacing w:val="-7"/>
          <w:sz w:val="22"/>
        </w:rPr>
        <w:t> </w:t>
      </w:r>
      <w:r>
        <w:rPr>
          <w:sz w:val="22"/>
        </w:rPr>
        <w:t>επιχορήγησης.</w:t>
      </w:r>
    </w:p>
    <w:p>
      <w:pPr>
        <w:pStyle w:val="ListParagraph"/>
        <w:numPr>
          <w:ilvl w:val="0"/>
          <w:numId w:val="42"/>
        </w:numPr>
        <w:tabs>
          <w:tab w:pos="436" w:val="left" w:leader="none"/>
        </w:tabs>
        <w:spacing w:line="276" w:lineRule="auto" w:before="118" w:after="0"/>
        <w:ind w:left="100" w:right="117" w:firstLine="0"/>
        <w:jc w:val="both"/>
        <w:rPr>
          <w:sz w:val="22"/>
        </w:rPr>
      </w:pPr>
      <w:r>
        <w:rPr>
          <w:sz w:val="22"/>
        </w:rPr>
        <w:t>Ο Escrow Account </w:t>
      </w:r>
      <w:r>
        <w:rPr>
          <w:b/>
          <w:sz w:val="22"/>
        </w:rPr>
        <w:t>δε </w:t>
      </w:r>
      <w:r>
        <w:rPr>
          <w:sz w:val="22"/>
        </w:rPr>
        <w:t>δύναται να χρησιμοποιηθεί για δαπάνες μισθολογικού κόστους και ασφαλιστικών εισφορών. Σημειώνεται επίσης ότι δε μπορεί να γίνει χρήση του Escrow Account για την κάλυψη αποσβέσεων υφιστάμενου εξοπλισμού (μη ταμειακή</w:t>
      </w:r>
      <w:r>
        <w:rPr>
          <w:spacing w:val="-14"/>
          <w:sz w:val="22"/>
        </w:rPr>
        <w:t> </w:t>
      </w:r>
      <w:r>
        <w:rPr>
          <w:sz w:val="22"/>
        </w:rPr>
        <w:t>δαπάνη).</w:t>
      </w:r>
    </w:p>
    <w:p>
      <w:pPr>
        <w:spacing w:after="0" w:line="276" w:lineRule="auto"/>
        <w:jc w:val="both"/>
        <w:rPr>
          <w:sz w:val="22"/>
        </w:rPr>
        <w:sectPr>
          <w:footerReference w:type="default" r:id="rId31"/>
          <w:pgSz w:w="11910" w:h="16840"/>
          <w:pgMar w:footer="734" w:header="748" w:top="1420" w:bottom="920" w:left="980" w:right="960"/>
        </w:sectPr>
      </w:pPr>
    </w:p>
    <w:p>
      <w:pPr>
        <w:pStyle w:val="BodyText"/>
        <w:spacing w:before="7"/>
        <w:rPr>
          <w:sz w:val="17"/>
        </w:rPr>
      </w:pPr>
    </w:p>
    <w:p>
      <w:pPr>
        <w:pStyle w:val="BodyText"/>
        <w:spacing w:line="276" w:lineRule="auto" w:before="57"/>
        <w:ind w:left="100" w:right="113"/>
        <w:jc w:val="both"/>
      </w:pPr>
      <w:r>
        <w:rPr/>
        <w:t>Αναφέρεται ότι η εισαγωγή των Καταπιστευτικών λογαριασμών στην υλοποίηση Δράσεων Κρατικών Ενισχύσεων γίνεται για πρώτη φορά στην τρέχουσα προγραμματική περίοδο ΕΣΠΑ 2014 – 2020.  Σε  συνέχεια αυτού, το Υπουργείο Οικονομίας και Ανάπτυξης και η ΕΥΔ ΕΠ ΠΘ / ΔΙΑΠ θα προχωρήσουν στην έκδοση έγγραφων οδηγιών, εφόσον αυτό απαιτηθεί στο χρονικό διάστημα υλοποίησης των εγκεκριμένων επιχειρηματικών σχεδίων στο πλαίσιο της</w:t>
      </w:r>
      <w:r>
        <w:rPr>
          <w:spacing w:val="-6"/>
        </w:rPr>
        <w:t> </w:t>
      </w:r>
      <w:r>
        <w:rPr/>
        <w:t>παρούσης.</w:t>
      </w:r>
    </w:p>
    <w:p>
      <w:pPr>
        <w:pStyle w:val="BodyText"/>
      </w:pPr>
    </w:p>
    <w:p>
      <w:pPr>
        <w:pStyle w:val="BodyText"/>
        <w:spacing w:before="11"/>
        <w:rPr>
          <w:sz w:val="32"/>
        </w:rPr>
      </w:pPr>
    </w:p>
    <w:p>
      <w:pPr>
        <w:pStyle w:val="Heading2"/>
        <w:numPr>
          <w:ilvl w:val="0"/>
          <w:numId w:val="43"/>
        </w:numPr>
        <w:tabs>
          <w:tab w:pos="667" w:val="left" w:leader="none"/>
        </w:tabs>
        <w:spacing w:line="240" w:lineRule="auto" w:before="0" w:after="0"/>
        <w:ind w:left="666" w:right="0" w:hanging="566"/>
        <w:jc w:val="both"/>
      </w:pPr>
      <w:bookmarkStart w:name="_TOC_250014" w:id="42"/>
      <w:bookmarkEnd w:id="42"/>
      <w:r>
        <w:rPr/>
        <w:t>ΤΡΟΠΟΠΟΙΗΣΕΙΣ</w:t>
      </w:r>
    </w:p>
    <w:p>
      <w:pPr>
        <w:pStyle w:val="BodyText"/>
        <w:spacing w:before="5"/>
        <w:rPr>
          <w:b/>
          <w:sz w:val="19"/>
        </w:rPr>
      </w:pPr>
    </w:p>
    <w:p>
      <w:pPr>
        <w:pStyle w:val="Heading4"/>
        <w:numPr>
          <w:ilvl w:val="1"/>
          <w:numId w:val="43"/>
        </w:numPr>
        <w:tabs>
          <w:tab w:pos="821" w:val="left" w:leader="none"/>
        </w:tabs>
        <w:spacing w:line="240" w:lineRule="auto" w:before="0" w:after="0"/>
        <w:ind w:left="820" w:right="0" w:hanging="720"/>
        <w:jc w:val="both"/>
      </w:pPr>
      <w:bookmarkStart w:name="_TOC_250013" w:id="43"/>
      <w:r>
        <w:rPr/>
        <w:t>ΔΙΑΔΙΚΑΣΙΑ</w:t>
      </w:r>
      <w:r>
        <w:rPr>
          <w:spacing w:val="-7"/>
        </w:rPr>
        <w:t> </w:t>
      </w:r>
      <w:bookmarkEnd w:id="43"/>
      <w:r>
        <w:rPr/>
        <w:t>ΤΡΟΠΟΠΟΙΗΣΗΣ</w:t>
      </w:r>
    </w:p>
    <w:p>
      <w:pPr>
        <w:pStyle w:val="BodyText"/>
        <w:spacing w:line="276" w:lineRule="auto" w:before="121"/>
        <w:ind w:left="100" w:right="115"/>
        <w:jc w:val="both"/>
      </w:pPr>
      <w:r>
        <w:rPr/>
        <w:t>Αιτήματα τροποποίησης υποβάλλονται από τους δικαιούχους ηλεκτρονικά στο Πληροφοριακό Σύστημα Κρατικών Ενισχύσεων (ΠΣΚΕ), καταχωρώντας τα σχετικά πεδία της εφαρμογής «ΑΙΤΗΜΑ ΤΡΟΠΟΠΟΙΗΣΗΣ» του ΠΣΚΕ. Ο δικαιούχος επισυνάπτει στο ΠΣΚΕ έντυπο αιτήματος τροποποίησης, το οποίο παρέχεται από την ΔΙΑΠ στους ιστότοπους </w:t>
      </w:r>
      <w:hyperlink r:id="rId9">
        <w:r>
          <w:rPr>
            <w:color w:val="0462C1"/>
            <w:u w:val="single" w:color="0462C1"/>
          </w:rPr>
          <w:t>www.thessaly.gov.gr</w:t>
        </w:r>
      </w:hyperlink>
      <w:r>
        <w:rPr>
          <w:color w:val="0462C1"/>
          <w:u w:val="single" w:color="0462C1"/>
        </w:rPr>
        <w:t> </w:t>
      </w:r>
      <w:r>
        <w:rPr/>
        <w:t>και </w:t>
      </w:r>
      <w:hyperlink r:id="rId10">
        <w:r>
          <w:rPr>
            <w:color w:val="0462C1"/>
            <w:u w:val="single" w:color="0462C1"/>
          </w:rPr>
          <w:t>www.thessalia-espa.gr</w:t>
        </w:r>
        <w:r>
          <w:rPr/>
          <w:t>,</w:t>
        </w:r>
      </w:hyperlink>
      <w:r>
        <w:rPr/>
        <w:t> το οποίο ο δικαιούχος αναπαράγει/κατεβάζει, το συμπληρώνει κατάλληλα και το επισυνάπτει στο ΠΣΚΕ σε .pdf</w:t>
      </w:r>
      <w:r>
        <w:rPr>
          <w:spacing w:val="-18"/>
        </w:rPr>
        <w:t> </w:t>
      </w:r>
      <w:r>
        <w:rPr/>
        <w:t>μορφή.</w:t>
      </w:r>
    </w:p>
    <w:p>
      <w:pPr>
        <w:pStyle w:val="BodyText"/>
        <w:spacing w:line="276" w:lineRule="auto" w:before="120"/>
        <w:ind w:left="100" w:right="114"/>
        <w:jc w:val="both"/>
      </w:pPr>
      <w:r>
        <w:rPr/>
        <w:t>Ο δικαιούχος υποχρεούται να υποβάλει σε φυσική μορφή τα απαιτούμενα δικαιολογητικά και παραστατικά προκειμένου να τεκμηριώσει το αίτημα του. Ο τρόπος υποβολής των δικαιολογητικών σε φυσική μορφή είναι ίδιος με τον περιγραφόμενο στο κεφάλαιο 9 της παρούσας «ΔΙΚΑΙΟΛΟΓΗΤΙΚΑ ΚΑΙ ΣΤΟΙΧΕΙΑ ΓΙΑ ΤΗΝ ΑΞΙΟΛΟΓΗΣΗ ΤΗΣ ΑΙΤΗΣΗΣ ΧΡΗΜΑΤΟΔΟΤΗΣΗΣ».</w:t>
      </w:r>
    </w:p>
    <w:p>
      <w:pPr>
        <w:pStyle w:val="BodyText"/>
        <w:spacing w:line="276" w:lineRule="auto" w:before="118"/>
        <w:ind w:left="100" w:right="116"/>
        <w:jc w:val="both"/>
      </w:pPr>
      <w:r>
        <w:rPr/>
        <w:t>Αλλαγή των επιμέρους στοιχείων της Απόφασης χρηματοδότησης είναι δυνατή, μετά από υποβολή τεκμηριωμένου αιτήματος από τον δικαιούχο, εφόσον δεν αλλοιώνεται η φύση και οι στόχοι του επενδυτικού σχεδίου και εξακολουθούν να τηρούνται οι όροι και προϋποθέσεις της προκήρυξης.</w:t>
      </w:r>
    </w:p>
    <w:p>
      <w:pPr>
        <w:pStyle w:val="BodyText"/>
        <w:spacing w:line="276" w:lineRule="auto" w:before="118"/>
        <w:ind w:left="100" w:right="113"/>
        <w:jc w:val="both"/>
      </w:pPr>
      <w:r>
        <w:rPr/>
        <w:t>Τα αιτήματα τροποποίησης, εκτός αυτών που υποβάλλονται για λόγους ανωτέρας βίας, μπορούν να κατατίθενται μετά το πρώτο εξάμηνο από την ημερομηνία έναρξης υλοποίησης του επενδυτικού σχεδίου. Κάθε δικαιούχος μπορεί να υποβάλει μέχρι δύο αιτήματα τροποποίησης στην διάρκεια υλοποίησης του έργου.</w:t>
      </w:r>
    </w:p>
    <w:p>
      <w:pPr>
        <w:pStyle w:val="BodyText"/>
        <w:spacing w:line="276" w:lineRule="auto" w:before="120"/>
        <w:ind w:left="100" w:right="119"/>
        <w:jc w:val="both"/>
      </w:pPr>
      <w:r>
        <w:rPr/>
        <w:t>Η έγκριση της τροποποίησης αποτελεί απαιτούμενο για την υλοποίηση και πληρωμή ενεργειών που προβλέπονται στο αίτημα τροποποίησης.</w:t>
      </w:r>
    </w:p>
    <w:p>
      <w:pPr>
        <w:pStyle w:val="BodyText"/>
        <w:spacing w:line="276" w:lineRule="auto" w:before="118"/>
        <w:ind w:left="100" w:right="117"/>
        <w:jc w:val="both"/>
      </w:pPr>
      <w:r>
        <w:rPr/>
        <w:t>Σε περίπτωση που οι προτεινόμενες αλλαγές του επενδυτικού σχεδίου επηρεάζουν την αρχική αξιολόγηση και τη βαθμολόγηση των κριτηρίων επιλογής, η Διεύθυνση Αναπτυξιακού Προγραμματισμού Περιφέρειας Θεσσαλίας επαναξιολογεί το επενδυτικό σχέδιο και εισηγείται στον Περιφερειάρχη Θεσσαλίας την έκδοση εγκριτικής ή απορριπτικής απόφασης.</w:t>
      </w:r>
    </w:p>
    <w:p>
      <w:pPr>
        <w:pStyle w:val="BodyText"/>
        <w:spacing w:line="276" w:lineRule="auto" w:before="120"/>
        <w:ind w:left="100" w:right="115"/>
        <w:jc w:val="both"/>
      </w:pPr>
      <w:r>
        <w:rPr/>
        <w:t>Σε περίπτωση που οι προτεινόμενες αλλαγές του επενδυτικού σχεδίου δεν επηρεάζουν την αρχική αξιολόγηση η Διεύθυνση Αναπτυξιακού Προγραμματισμού Περιφέρειας Θεσσαλίας εξετάζει το αίτημα και εισηγείται στον Περιφερειάρχη Θεσσαλίας την έκδοση εγκριτικής ή απορριπτικής απόφασης.</w:t>
      </w:r>
    </w:p>
    <w:p>
      <w:pPr>
        <w:pStyle w:val="BodyText"/>
        <w:spacing w:line="276" w:lineRule="auto" w:before="118"/>
        <w:ind w:left="100" w:right="114"/>
        <w:jc w:val="both"/>
      </w:pPr>
      <w:r>
        <w:rPr/>
        <w:t>Όλες οι τροποποιήσεις των στοιχείων της εγκριτικής απόφασης (με την εξαίρεση αυτών που περιλαμβάνονται στην παράγραφο «12.3 ΤΡΟΠΟΠΟΙΗΣΕΙΣ ΗΣΣΟΝΟΣ ΣΗΜΑΣΙΑΣ») εξετάζονται από την Διεύθυνση Αναπτυξιακού Προγραμματισμού Περιφέρειας Θεσσαλίας, μέσω των διαδικασιών του Πληροφοριακού Συστήματος Κρατικών Ενισχύσεων (ΠΣΚΕ). Στην παράγραφο «12.2. ΤΡΟΠΟΠΟΙΗΣΕΙΣ ΣΤΟΙΧΕΙΩΝ ΕΓΚΡΙΤΙΚΗΣ ΑΠΟΦΑΣΗΣ» περιλαμβάνονται χαρακτηριστικές περιπτώσεις τροποποιήσεων στοιχείων της εγκριτικής απόφασης που εξετάζονται από την ΔΙΑΠ ΠΘ.</w:t>
      </w:r>
    </w:p>
    <w:p>
      <w:pPr>
        <w:spacing w:after="0" w:line="276" w:lineRule="auto"/>
        <w:jc w:val="both"/>
        <w:sectPr>
          <w:footerReference w:type="default" r:id="rId32"/>
          <w:pgSz w:w="11910" w:h="16840"/>
          <w:pgMar w:footer="734" w:header="748" w:top="1420" w:bottom="920" w:left="980" w:right="960"/>
          <w:pgNumType w:start="61"/>
        </w:sectPr>
      </w:pPr>
    </w:p>
    <w:p>
      <w:pPr>
        <w:pStyle w:val="BodyText"/>
        <w:spacing w:before="7"/>
        <w:rPr>
          <w:sz w:val="17"/>
        </w:rPr>
      </w:pPr>
    </w:p>
    <w:p>
      <w:pPr>
        <w:pStyle w:val="BodyText"/>
        <w:spacing w:line="276" w:lineRule="auto" w:before="57"/>
        <w:ind w:left="100" w:right="118"/>
        <w:jc w:val="both"/>
      </w:pPr>
      <w:r>
        <w:rPr/>
        <w:t>Τροποποίηση επιμέρους στοιχείων της Απόφασης ένταξης είναι δυνατή εφόσον τηρούνται αθροιστικά οι ακόλουθες προϋποθέσεις:</w:t>
      </w:r>
    </w:p>
    <w:p>
      <w:pPr>
        <w:pStyle w:val="ListParagraph"/>
        <w:numPr>
          <w:ilvl w:val="0"/>
          <w:numId w:val="44"/>
        </w:numPr>
        <w:tabs>
          <w:tab w:pos="821" w:val="left" w:leader="none"/>
        </w:tabs>
        <w:spacing w:line="276" w:lineRule="auto" w:before="118" w:after="0"/>
        <w:ind w:left="820" w:right="119" w:hanging="360"/>
        <w:jc w:val="both"/>
        <w:rPr>
          <w:sz w:val="22"/>
        </w:rPr>
      </w:pPr>
      <w:r>
        <w:rPr>
          <w:sz w:val="22"/>
        </w:rPr>
        <w:t>παρέχεται επαρκής τεκμηρίωση για την αναγκαιότητα των προτεινόμενων μεταβολών των στοιχείων του έργου ως προς την ομαλή υλοποίηση του φυσικού αντικειμένου του έργου και την επίτευξη των στόχων</w:t>
      </w:r>
      <w:r>
        <w:rPr>
          <w:spacing w:val="-3"/>
          <w:sz w:val="22"/>
        </w:rPr>
        <w:t> </w:t>
      </w:r>
      <w:r>
        <w:rPr>
          <w:sz w:val="22"/>
        </w:rPr>
        <w:t>του,</w:t>
      </w:r>
    </w:p>
    <w:p>
      <w:pPr>
        <w:pStyle w:val="ListParagraph"/>
        <w:numPr>
          <w:ilvl w:val="0"/>
          <w:numId w:val="44"/>
        </w:numPr>
        <w:tabs>
          <w:tab w:pos="820" w:val="left" w:leader="none"/>
          <w:tab w:pos="821" w:val="left" w:leader="none"/>
        </w:tabs>
        <w:spacing w:line="240" w:lineRule="auto" w:before="118" w:after="0"/>
        <w:ind w:left="820" w:right="0" w:hanging="360"/>
        <w:jc w:val="left"/>
        <w:rPr>
          <w:sz w:val="22"/>
        </w:rPr>
      </w:pPr>
      <w:r>
        <w:rPr>
          <w:sz w:val="22"/>
        </w:rPr>
        <w:t>δεν αλλοιώνονται η φύση και οι στόχοι του</w:t>
      </w:r>
      <w:r>
        <w:rPr>
          <w:spacing w:val="-12"/>
          <w:sz w:val="22"/>
        </w:rPr>
        <w:t> </w:t>
      </w:r>
      <w:r>
        <w:rPr>
          <w:sz w:val="22"/>
        </w:rPr>
        <w:t>έργου,</w:t>
      </w:r>
    </w:p>
    <w:p>
      <w:pPr>
        <w:pStyle w:val="ListParagraph"/>
        <w:numPr>
          <w:ilvl w:val="0"/>
          <w:numId w:val="44"/>
        </w:numPr>
        <w:tabs>
          <w:tab w:pos="821" w:val="left" w:leader="none"/>
        </w:tabs>
        <w:spacing w:line="273" w:lineRule="auto" w:before="161" w:after="0"/>
        <w:ind w:left="820" w:right="120" w:hanging="360"/>
        <w:jc w:val="both"/>
        <w:rPr>
          <w:sz w:val="22"/>
        </w:rPr>
      </w:pPr>
      <w:r>
        <w:rPr>
          <w:sz w:val="22"/>
        </w:rPr>
        <w:t>δεν μεταβάλλονται στοιχεία με τρόπο που να ακυρώνονται η επιλεξιμότητα ή/ και η θετική αξιολόγηση της Αίτησης Χρηματοδότησης, βάσει των κριτηρίων της παρούσας</w:t>
      </w:r>
      <w:r>
        <w:rPr>
          <w:spacing w:val="-19"/>
          <w:sz w:val="22"/>
        </w:rPr>
        <w:t> </w:t>
      </w:r>
      <w:r>
        <w:rPr>
          <w:sz w:val="22"/>
        </w:rPr>
        <w:t>Πρόσκλησης,</w:t>
      </w:r>
    </w:p>
    <w:p>
      <w:pPr>
        <w:pStyle w:val="ListParagraph"/>
        <w:numPr>
          <w:ilvl w:val="0"/>
          <w:numId w:val="44"/>
        </w:numPr>
        <w:tabs>
          <w:tab w:pos="820" w:val="left" w:leader="none"/>
          <w:tab w:pos="821" w:val="left" w:leader="none"/>
        </w:tabs>
        <w:spacing w:line="240" w:lineRule="auto" w:before="124" w:after="0"/>
        <w:ind w:left="820" w:right="0" w:hanging="360"/>
        <w:jc w:val="left"/>
        <w:rPr>
          <w:sz w:val="22"/>
        </w:rPr>
      </w:pPr>
      <w:r>
        <w:rPr>
          <w:sz w:val="22"/>
        </w:rPr>
        <w:t>δεν αυξάνεται το ποσό της εγκεκριμένης δημόσιας χρηματοδότησης του</w:t>
      </w:r>
      <w:r>
        <w:rPr>
          <w:spacing w:val="-17"/>
          <w:sz w:val="22"/>
        </w:rPr>
        <w:t> </w:t>
      </w:r>
      <w:r>
        <w:rPr>
          <w:sz w:val="22"/>
        </w:rPr>
        <w:t>έργου.</w:t>
      </w:r>
    </w:p>
    <w:p>
      <w:pPr>
        <w:pStyle w:val="Heading4"/>
        <w:spacing w:line="276" w:lineRule="auto" w:before="161"/>
        <w:ind w:right="115"/>
      </w:pPr>
      <w:r>
        <w:rPr>
          <w:u w:val="single"/>
        </w:rPr>
        <w:t>ΠΡΟΣΟΧΗ: Σε κάθε περίπτωση και προκειμένου για οποιαδήποτε τροποποίηση της πράξης πρέπει να πληρούνται οι όροι και οι προϋποθέσεις που διασφαλίζουν την επιλεξιμότητα και θετική αξιολόγησή  της, βάσει των κριτηρίων της παρούσας Πρόσκλησης/</w:t>
      </w:r>
      <w:r>
        <w:rPr>
          <w:spacing w:val="-10"/>
          <w:u w:val="single"/>
        </w:rPr>
        <w:t> </w:t>
      </w:r>
      <w:r>
        <w:rPr>
          <w:u w:val="single"/>
        </w:rPr>
        <w:t>Προκήρυξης.</w:t>
      </w:r>
    </w:p>
    <w:p>
      <w:pPr>
        <w:pStyle w:val="BodyText"/>
        <w:rPr>
          <w:b/>
          <w:sz w:val="20"/>
        </w:rPr>
      </w:pPr>
    </w:p>
    <w:p>
      <w:pPr>
        <w:pStyle w:val="BodyText"/>
        <w:spacing w:line="276" w:lineRule="auto" w:before="184"/>
        <w:ind w:left="100" w:right="115"/>
        <w:jc w:val="both"/>
      </w:pPr>
      <w:r>
        <w:rPr/>
        <w:t>Σε περίπτωση τροποποιήσεων ήσσονος σημασίας, όπως αυτές ορίζονται στην παράγραφο «12.3 ΤΡΟΠΟΠΟΙΗΣΕΙΣ ΗΣΣΟΝΟΣ ΣΗΜΑΣΙΑΣ» ο δικαιούχος δύναται να μην υποβάλει αίτημα τροποποίησης. Η επιχείρηση δύναται να πραγματοποιεί τις προαναφερθείσες αλλαγές σε όλη την διάρκεια του έργου μέχρι την λήξη αυτού με ενημέρωση της Διεύθυνσης Αναπτυξιακού Προγραμματισμού Περιφέρειας Θεσσαλίας και με την επιφύλαξη της επαλήθευσής τους.</w:t>
      </w:r>
    </w:p>
    <w:p>
      <w:pPr>
        <w:pStyle w:val="BodyText"/>
      </w:pPr>
    </w:p>
    <w:p>
      <w:pPr>
        <w:pStyle w:val="BodyText"/>
        <w:spacing w:before="11"/>
        <w:rPr>
          <w:sz w:val="32"/>
        </w:rPr>
      </w:pPr>
    </w:p>
    <w:p>
      <w:pPr>
        <w:pStyle w:val="Heading4"/>
        <w:numPr>
          <w:ilvl w:val="1"/>
          <w:numId w:val="43"/>
        </w:numPr>
        <w:tabs>
          <w:tab w:pos="821" w:val="left" w:leader="none"/>
        </w:tabs>
        <w:spacing w:line="240" w:lineRule="auto" w:before="0" w:after="0"/>
        <w:ind w:left="820" w:right="0" w:hanging="720"/>
        <w:jc w:val="both"/>
      </w:pPr>
      <w:bookmarkStart w:name="_TOC_250012" w:id="44"/>
      <w:r>
        <w:rPr/>
        <w:t>ΤΡΟΠΟΠΟΙΗΣΕΙΣ ΣΤΟΙΧΕΙΩΝ ΕΓΚΡΙΤΙΚΗΣ</w:t>
      </w:r>
      <w:r>
        <w:rPr>
          <w:spacing w:val="-13"/>
        </w:rPr>
        <w:t> </w:t>
      </w:r>
      <w:bookmarkEnd w:id="44"/>
      <w:r>
        <w:rPr/>
        <w:t>ΑΠΟΦΑΣΗΣ</w:t>
      </w:r>
    </w:p>
    <w:p>
      <w:pPr>
        <w:pStyle w:val="BodyText"/>
        <w:spacing w:line="276" w:lineRule="auto" w:before="118"/>
        <w:ind w:left="100" w:right="114"/>
        <w:jc w:val="both"/>
      </w:pPr>
      <w:r>
        <w:rPr/>
        <w:t>Ως τροποποιήσεις στοιχείων της εγκριτικής απόφασης, που εξετάζονται από τη ΔΙΑΠ Περιφέρειας Θεσσαλίας θεωρούνται – ενδεικτικά και όχι εξαντλητικά - οι παρακάτω:</w:t>
      </w:r>
    </w:p>
    <w:p>
      <w:pPr>
        <w:pStyle w:val="ListParagraph"/>
        <w:numPr>
          <w:ilvl w:val="0"/>
          <w:numId w:val="29"/>
        </w:numPr>
        <w:tabs>
          <w:tab w:pos="309" w:val="left" w:leader="none"/>
        </w:tabs>
        <w:spacing w:line="273" w:lineRule="auto" w:before="120" w:after="0"/>
        <w:ind w:left="100" w:right="117" w:firstLine="0"/>
        <w:jc w:val="both"/>
        <w:rPr>
          <w:sz w:val="22"/>
        </w:rPr>
      </w:pPr>
      <w:r>
        <w:rPr>
          <w:sz w:val="22"/>
        </w:rPr>
        <w:t>Τροποποίηση στοιχείων των δαπανών και των παραδοτέων, που δεν επηρεάζουν τη φύση και τους στόχους του επενδυτικού σχεδίου και τους όρους και προϋποθέσεις της</w:t>
      </w:r>
      <w:r>
        <w:rPr>
          <w:spacing w:val="-14"/>
          <w:sz w:val="22"/>
        </w:rPr>
        <w:t> </w:t>
      </w:r>
      <w:r>
        <w:rPr>
          <w:sz w:val="22"/>
        </w:rPr>
        <w:t>προκήρυξης,</w:t>
      </w:r>
    </w:p>
    <w:p>
      <w:pPr>
        <w:pStyle w:val="ListParagraph"/>
        <w:numPr>
          <w:ilvl w:val="0"/>
          <w:numId w:val="29"/>
        </w:numPr>
        <w:tabs>
          <w:tab w:pos="352" w:val="left" w:leader="none"/>
        </w:tabs>
        <w:spacing w:line="276" w:lineRule="auto" w:before="123" w:after="0"/>
        <w:ind w:left="100" w:right="121" w:firstLine="0"/>
        <w:jc w:val="both"/>
        <w:rPr>
          <w:sz w:val="22"/>
        </w:rPr>
      </w:pPr>
      <w:r>
        <w:rPr>
          <w:sz w:val="22"/>
        </w:rPr>
        <w:t>Τροποποίηση προϋπολογισμού με αυξομείωση ανά κατηγορία δαπάνης ως 30% του συνολικού προϋπολογισμού,</w:t>
      </w:r>
    </w:p>
    <w:p>
      <w:pPr>
        <w:pStyle w:val="ListParagraph"/>
        <w:numPr>
          <w:ilvl w:val="0"/>
          <w:numId w:val="29"/>
        </w:numPr>
        <w:tabs>
          <w:tab w:pos="278" w:val="left" w:leader="none"/>
        </w:tabs>
        <w:spacing w:line="273" w:lineRule="auto" w:before="121" w:after="0"/>
        <w:ind w:left="100" w:right="119" w:firstLine="0"/>
        <w:jc w:val="both"/>
        <w:rPr>
          <w:sz w:val="22"/>
        </w:rPr>
      </w:pPr>
      <w:r>
        <w:rPr>
          <w:sz w:val="22"/>
        </w:rPr>
        <w:t>Προσθήκη νέας κατηγορίας δαπανών, μη προβλεπόμενη κατά την υποβολή της πρότασης, μέχρι 5% του συνολικού προϋπολογισμού του επενδυτικού</w:t>
      </w:r>
      <w:r>
        <w:rPr>
          <w:spacing w:val="-15"/>
          <w:sz w:val="22"/>
        </w:rPr>
        <w:t> </w:t>
      </w:r>
      <w:r>
        <w:rPr>
          <w:sz w:val="22"/>
        </w:rPr>
        <w:t>σχεδίου,</w:t>
      </w:r>
    </w:p>
    <w:p>
      <w:pPr>
        <w:pStyle w:val="ListParagraph"/>
        <w:numPr>
          <w:ilvl w:val="0"/>
          <w:numId w:val="29"/>
        </w:numPr>
        <w:tabs>
          <w:tab w:pos="261" w:val="left" w:leader="none"/>
        </w:tabs>
        <w:spacing w:line="240" w:lineRule="auto" w:before="123" w:after="0"/>
        <w:ind w:left="260" w:right="0" w:hanging="160"/>
        <w:jc w:val="both"/>
        <w:rPr>
          <w:sz w:val="22"/>
        </w:rPr>
      </w:pPr>
      <w:r>
        <w:rPr>
          <w:sz w:val="22"/>
        </w:rPr>
        <w:t>Παράταση ολοκλήρωσης του επενδυτικού</w:t>
      </w:r>
      <w:r>
        <w:rPr>
          <w:spacing w:val="-8"/>
          <w:sz w:val="22"/>
        </w:rPr>
        <w:t> </w:t>
      </w:r>
      <w:r>
        <w:rPr>
          <w:sz w:val="22"/>
        </w:rPr>
        <w:t>σχεδίου,</w:t>
      </w:r>
    </w:p>
    <w:p>
      <w:pPr>
        <w:pStyle w:val="ListParagraph"/>
        <w:numPr>
          <w:ilvl w:val="0"/>
          <w:numId w:val="29"/>
        </w:numPr>
        <w:tabs>
          <w:tab w:pos="261" w:val="left" w:leader="none"/>
        </w:tabs>
        <w:spacing w:line="240" w:lineRule="auto" w:before="161" w:after="0"/>
        <w:ind w:left="260" w:right="0" w:hanging="160"/>
        <w:jc w:val="both"/>
        <w:rPr>
          <w:sz w:val="22"/>
        </w:rPr>
      </w:pPr>
      <w:r>
        <w:rPr>
          <w:sz w:val="22"/>
        </w:rPr>
        <w:t>Μεταβολή εταιρικής / μετοχικής σύνθεσης σε ποσοστό</w:t>
      </w:r>
      <w:r>
        <w:rPr>
          <w:spacing w:val="-20"/>
          <w:sz w:val="22"/>
        </w:rPr>
        <w:t> </w:t>
      </w:r>
      <w:r>
        <w:rPr>
          <w:sz w:val="22"/>
        </w:rPr>
        <w:t>&gt;25%.</w:t>
      </w:r>
    </w:p>
    <w:p>
      <w:pPr>
        <w:pStyle w:val="BodyText"/>
        <w:spacing w:line="276" w:lineRule="auto" w:before="158"/>
        <w:ind w:left="100" w:right="118"/>
        <w:jc w:val="both"/>
      </w:pPr>
      <w:r>
        <w:rPr>
          <w:u w:val="single"/>
        </w:rPr>
        <w:t>Επισήμανση</w:t>
      </w:r>
      <w:r>
        <w:rPr/>
        <w:t>: Σε κάθε περίπτωση για την τροποποίηση της πράξης πρέπει να πληρούνται όροι και προϋποθέσεις που διασφαλίζουν την επιλεξιμότητα και θετική αξιολόγηση της, βάσει των κριτηρίων της παρούσας Πρόσκλησης/ Προκήρυξης.</w:t>
      </w:r>
    </w:p>
    <w:p>
      <w:pPr>
        <w:pStyle w:val="BodyText"/>
        <w:spacing w:line="276" w:lineRule="auto" w:before="118"/>
        <w:ind w:left="100" w:right="113"/>
        <w:jc w:val="both"/>
      </w:pPr>
      <w:r>
        <w:rPr/>
        <w:t>Τα σχετικά αιτήματα θα πρέπει να συνοδεύονται από αναλυτική αιτιολόγηση σε σχέση με τις ανάγκες του φυσικού αντικειμένου του έργου που δημιουργούν την ανάγκη για την εκάστοτε τροποποίηση. Τα αιτήματα τροποποιήσεων δεν θα εξετάζονται έως ότου υποβληθούν όλα τα απαραίτητα συνοδευτικά στοιχεία και δικαιολογητικά που προβλέπονται από την παρούσα Ενότητα ή την Απόφαση χρηματοδότησης. Εφόσον</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100" w:right="113"/>
        <w:jc w:val="both"/>
      </w:pPr>
      <w:r>
        <w:rPr/>
        <w:t>υποβληθούν όλα τα απαραίτητα στοιχεία, η ΔΙΑΠ θα επεξεργάζεται τα αιτήματα τροποποιήσεων και θα αποστέλλει ηλεκτρονικά τις σχετικές απαντητικές επιστολές ή/και τροποποιητικές αποφάσεις, όπου απαιτείται.</w:t>
      </w:r>
    </w:p>
    <w:p>
      <w:pPr>
        <w:pStyle w:val="BodyText"/>
      </w:pPr>
    </w:p>
    <w:p>
      <w:pPr>
        <w:pStyle w:val="BodyText"/>
        <w:spacing w:before="11"/>
        <w:rPr>
          <w:sz w:val="32"/>
        </w:rPr>
      </w:pPr>
    </w:p>
    <w:p>
      <w:pPr>
        <w:pStyle w:val="Heading4"/>
        <w:numPr>
          <w:ilvl w:val="1"/>
          <w:numId w:val="43"/>
        </w:numPr>
        <w:tabs>
          <w:tab w:pos="821" w:val="left" w:leader="none"/>
        </w:tabs>
        <w:spacing w:line="240" w:lineRule="auto" w:before="0" w:after="0"/>
        <w:ind w:left="820" w:right="0" w:hanging="720"/>
        <w:jc w:val="both"/>
      </w:pPr>
      <w:bookmarkStart w:name="_TOC_250011" w:id="45"/>
      <w:r>
        <w:rPr/>
        <w:t>ΤΡΟΠΟΠΟΙΗΣΕΙΣ ΗΣΣΟΝΟΣ</w:t>
      </w:r>
      <w:r>
        <w:rPr>
          <w:spacing w:val="-8"/>
        </w:rPr>
        <w:t> </w:t>
      </w:r>
      <w:bookmarkEnd w:id="45"/>
      <w:r>
        <w:rPr/>
        <w:t>ΣΗΜΑΣΙΑΣ</w:t>
      </w:r>
    </w:p>
    <w:p>
      <w:pPr>
        <w:pStyle w:val="BodyText"/>
        <w:spacing w:line="273" w:lineRule="auto" w:before="120"/>
        <w:ind w:left="100" w:right="123"/>
        <w:jc w:val="both"/>
      </w:pPr>
      <w:r>
        <w:rPr/>
        <w:t>Κατά τη διάρκεια υλοποίησης του επενδυτικού σχεδίου, επιτρέπονται τροποποιήσεις ήσσονος σημασίας ως ακολούθως:</w:t>
      </w:r>
    </w:p>
    <w:p>
      <w:pPr>
        <w:pStyle w:val="ListParagraph"/>
        <w:numPr>
          <w:ilvl w:val="0"/>
          <w:numId w:val="19"/>
        </w:numPr>
        <w:tabs>
          <w:tab w:pos="459" w:val="left" w:leader="none"/>
        </w:tabs>
        <w:spacing w:line="240" w:lineRule="auto" w:before="123" w:after="0"/>
        <w:ind w:left="458" w:right="0" w:hanging="358"/>
        <w:jc w:val="both"/>
        <w:rPr>
          <w:rFonts w:ascii="Symbol" w:hAnsi="Symbol"/>
          <w:sz w:val="22"/>
        </w:rPr>
      </w:pPr>
      <w:r>
        <w:rPr>
          <w:sz w:val="22"/>
        </w:rPr>
        <w:t>Αλλαγή υπεύθυνου</w:t>
      </w:r>
      <w:r>
        <w:rPr>
          <w:spacing w:val="-2"/>
          <w:sz w:val="22"/>
        </w:rPr>
        <w:t> </w:t>
      </w:r>
      <w:r>
        <w:rPr>
          <w:sz w:val="22"/>
        </w:rPr>
        <w:t>έργου.</w:t>
      </w:r>
    </w:p>
    <w:p>
      <w:pPr>
        <w:pStyle w:val="ListParagraph"/>
        <w:numPr>
          <w:ilvl w:val="0"/>
          <w:numId w:val="19"/>
        </w:numPr>
        <w:tabs>
          <w:tab w:pos="459" w:val="left" w:leader="none"/>
        </w:tabs>
        <w:spacing w:line="240" w:lineRule="auto" w:before="162" w:after="0"/>
        <w:ind w:left="458" w:right="0" w:hanging="358"/>
        <w:jc w:val="both"/>
        <w:rPr>
          <w:rFonts w:ascii="Symbol" w:hAnsi="Symbol"/>
          <w:sz w:val="22"/>
        </w:rPr>
      </w:pPr>
      <w:r>
        <w:rPr>
          <w:sz w:val="22"/>
        </w:rPr>
        <w:t>Αλλαγή νομίμου</w:t>
      </w:r>
      <w:r>
        <w:rPr>
          <w:spacing w:val="-5"/>
          <w:sz w:val="22"/>
        </w:rPr>
        <w:t> </w:t>
      </w:r>
      <w:r>
        <w:rPr>
          <w:sz w:val="22"/>
        </w:rPr>
        <w:t>εκπροσώπου.</w:t>
      </w:r>
    </w:p>
    <w:p>
      <w:pPr>
        <w:pStyle w:val="ListParagraph"/>
        <w:numPr>
          <w:ilvl w:val="0"/>
          <w:numId w:val="19"/>
        </w:numPr>
        <w:tabs>
          <w:tab w:pos="459" w:val="left" w:leader="none"/>
        </w:tabs>
        <w:spacing w:line="240" w:lineRule="auto" w:before="159" w:after="0"/>
        <w:ind w:left="458" w:right="0" w:hanging="358"/>
        <w:jc w:val="both"/>
        <w:rPr>
          <w:rFonts w:ascii="Symbol" w:hAnsi="Symbol"/>
          <w:sz w:val="22"/>
        </w:rPr>
      </w:pPr>
      <w:r>
        <w:rPr>
          <w:sz w:val="22"/>
        </w:rPr>
        <w:t>Μεταβολή επωνυμίας ή/και νομικής μορφής της</w:t>
      </w:r>
      <w:r>
        <w:rPr>
          <w:spacing w:val="-15"/>
          <w:sz w:val="22"/>
        </w:rPr>
        <w:t> </w:t>
      </w:r>
      <w:r>
        <w:rPr>
          <w:sz w:val="22"/>
        </w:rPr>
        <w:t>επιχείρησης.</w:t>
      </w:r>
    </w:p>
    <w:p>
      <w:pPr>
        <w:pStyle w:val="ListParagraph"/>
        <w:numPr>
          <w:ilvl w:val="0"/>
          <w:numId w:val="19"/>
        </w:numPr>
        <w:tabs>
          <w:tab w:pos="459" w:val="left" w:leader="none"/>
        </w:tabs>
        <w:spacing w:line="240" w:lineRule="auto" w:before="161" w:after="0"/>
        <w:ind w:left="458" w:right="0" w:hanging="358"/>
        <w:jc w:val="both"/>
        <w:rPr>
          <w:rFonts w:ascii="Symbol" w:hAnsi="Symbol"/>
          <w:sz w:val="22"/>
        </w:rPr>
      </w:pPr>
      <w:r>
        <w:rPr>
          <w:sz w:val="22"/>
        </w:rPr>
        <w:t>Μεταβολή εταιρικής / μετοχικής σύνθεσης σε ποσοστό έως</w:t>
      </w:r>
      <w:r>
        <w:rPr>
          <w:spacing w:val="-18"/>
          <w:sz w:val="22"/>
        </w:rPr>
        <w:t> </w:t>
      </w:r>
      <w:r>
        <w:rPr>
          <w:sz w:val="22"/>
        </w:rPr>
        <w:t>25%</w:t>
      </w:r>
    </w:p>
    <w:p>
      <w:pPr>
        <w:pStyle w:val="ListParagraph"/>
        <w:numPr>
          <w:ilvl w:val="0"/>
          <w:numId w:val="19"/>
        </w:numPr>
        <w:tabs>
          <w:tab w:pos="458" w:val="left" w:leader="none"/>
          <w:tab w:pos="459" w:val="left" w:leader="none"/>
        </w:tabs>
        <w:spacing w:line="276" w:lineRule="auto" w:before="159" w:after="0"/>
        <w:ind w:left="458" w:right="121" w:hanging="358"/>
        <w:jc w:val="left"/>
        <w:rPr>
          <w:rFonts w:ascii="Symbol" w:hAnsi="Symbol"/>
          <w:sz w:val="22"/>
        </w:rPr>
      </w:pPr>
      <w:r>
        <w:rPr>
          <w:sz w:val="22"/>
        </w:rPr>
        <w:t>Αλλαγή χρηματοδοτικού σχήματος μόνο σε περίπτωση ενσωμάτωσης τραπεζικού δανεισμού (σε περίπτωση κατάργησης τραπεζικού δανεισμού δεν απαιτείται</w:t>
      </w:r>
      <w:r>
        <w:rPr>
          <w:spacing w:val="-18"/>
          <w:sz w:val="22"/>
        </w:rPr>
        <w:t> </w:t>
      </w:r>
      <w:r>
        <w:rPr>
          <w:sz w:val="22"/>
        </w:rPr>
        <w:t>τροποποίηση.).</w:t>
      </w:r>
    </w:p>
    <w:p>
      <w:pPr>
        <w:pStyle w:val="ListParagraph"/>
        <w:numPr>
          <w:ilvl w:val="0"/>
          <w:numId w:val="19"/>
        </w:numPr>
        <w:tabs>
          <w:tab w:pos="458" w:val="left" w:leader="none"/>
          <w:tab w:pos="459" w:val="left" w:leader="none"/>
        </w:tabs>
        <w:spacing w:line="273" w:lineRule="auto" w:before="121" w:after="0"/>
        <w:ind w:left="458" w:right="117" w:hanging="358"/>
        <w:jc w:val="left"/>
        <w:rPr>
          <w:rFonts w:ascii="Symbol" w:hAnsi="Symbol"/>
          <w:sz w:val="22"/>
        </w:rPr>
      </w:pPr>
      <w:r>
        <w:rPr>
          <w:sz w:val="22"/>
        </w:rPr>
        <w:t>Αλλαγή έδρας επιχείρησης ή/και τόπου εγκατάστασης, μόνο αν δεν επηρεάζει την επιλεξιμότητα του Σχεδίου και τις προϋποθέσεις των επιλέξιμων</w:t>
      </w:r>
      <w:r>
        <w:rPr>
          <w:spacing w:val="-8"/>
          <w:sz w:val="22"/>
        </w:rPr>
        <w:t> </w:t>
      </w:r>
      <w:r>
        <w:rPr>
          <w:sz w:val="22"/>
        </w:rPr>
        <w:t>δαπανών.</w:t>
      </w:r>
    </w:p>
    <w:p>
      <w:pPr>
        <w:pStyle w:val="ListParagraph"/>
        <w:numPr>
          <w:ilvl w:val="0"/>
          <w:numId w:val="19"/>
        </w:numPr>
        <w:tabs>
          <w:tab w:pos="459" w:val="left" w:leader="none"/>
        </w:tabs>
        <w:spacing w:line="240" w:lineRule="auto" w:before="123" w:after="0"/>
        <w:ind w:left="458" w:right="0" w:hanging="358"/>
        <w:jc w:val="both"/>
        <w:rPr>
          <w:rFonts w:ascii="Symbol" w:hAnsi="Symbol"/>
          <w:sz w:val="22"/>
        </w:rPr>
      </w:pPr>
      <w:r>
        <w:rPr>
          <w:sz w:val="22"/>
        </w:rPr>
        <w:t>Μετεγκατάσταση της ενισχυθείσας δραστηριότητας εφόσον γίνεται εντός της ίδιας</w:t>
      </w:r>
      <w:r>
        <w:rPr>
          <w:spacing w:val="-22"/>
          <w:sz w:val="22"/>
        </w:rPr>
        <w:t> </w:t>
      </w:r>
      <w:r>
        <w:rPr>
          <w:sz w:val="22"/>
        </w:rPr>
        <w:t>περιφέρειας.</w:t>
      </w:r>
    </w:p>
    <w:p>
      <w:pPr>
        <w:pStyle w:val="ListParagraph"/>
        <w:numPr>
          <w:ilvl w:val="0"/>
          <w:numId w:val="19"/>
        </w:numPr>
        <w:tabs>
          <w:tab w:pos="459" w:val="left" w:leader="none"/>
        </w:tabs>
        <w:spacing w:line="240" w:lineRule="auto" w:before="159" w:after="0"/>
        <w:ind w:left="458" w:right="0" w:hanging="358"/>
        <w:jc w:val="both"/>
        <w:rPr>
          <w:rFonts w:ascii="Symbol" w:hAnsi="Symbol"/>
          <w:sz w:val="22"/>
        </w:rPr>
      </w:pPr>
      <w:r>
        <w:rPr>
          <w:sz w:val="22"/>
        </w:rPr>
        <w:t>Αλλαγή</w:t>
      </w:r>
      <w:r>
        <w:rPr>
          <w:spacing w:val="-2"/>
          <w:sz w:val="22"/>
        </w:rPr>
        <w:t> </w:t>
      </w:r>
      <w:r>
        <w:rPr>
          <w:sz w:val="22"/>
        </w:rPr>
        <w:t>προμηθευτή.</w:t>
      </w:r>
    </w:p>
    <w:p>
      <w:pPr>
        <w:pStyle w:val="ListParagraph"/>
        <w:numPr>
          <w:ilvl w:val="0"/>
          <w:numId w:val="19"/>
        </w:numPr>
        <w:tabs>
          <w:tab w:pos="458" w:val="left" w:leader="none"/>
          <w:tab w:pos="459" w:val="left" w:leader="none"/>
        </w:tabs>
        <w:spacing w:line="273" w:lineRule="auto" w:before="161" w:after="0"/>
        <w:ind w:left="458" w:right="120" w:hanging="358"/>
        <w:jc w:val="left"/>
        <w:rPr>
          <w:rFonts w:ascii="Symbol" w:hAnsi="Symbol"/>
          <w:sz w:val="22"/>
        </w:rPr>
      </w:pPr>
      <w:r>
        <w:rPr>
          <w:sz w:val="22"/>
        </w:rPr>
        <w:t>Αλλαγή δαπάνης/δαπανών του επενδυτικού σχεδίου, με νέα/νέες δαπάνες εντός της ίδιας κατηγορίας δαπανών για τις οποίες νέες δαπάνες τεκμηριώνεται σωρευτικά</w:t>
      </w:r>
      <w:r>
        <w:rPr>
          <w:spacing w:val="-15"/>
          <w:sz w:val="22"/>
        </w:rPr>
        <w:t> </w:t>
      </w:r>
      <w:r>
        <w:rPr>
          <w:sz w:val="22"/>
        </w:rPr>
        <w:t>ότι:</w:t>
      </w:r>
    </w:p>
    <w:p>
      <w:pPr>
        <w:pStyle w:val="ListParagraph"/>
        <w:numPr>
          <w:ilvl w:val="0"/>
          <w:numId w:val="45"/>
        </w:numPr>
        <w:tabs>
          <w:tab w:pos="820" w:val="left" w:leader="none"/>
          <w:tab w:pos="821" w:val="left" w:leader="none"/>
        </w:tabs>
        <w:spacing w:line="240" w:lineRule="auto" w:before="123" w:after="0"/>
        <w:ind w:left="820" w:right="0" w:hanging="360"/>
        <w:jc w:val="left"/>
        <w:rPr>
          <w:sz w:val="22"/>
        </w:rPr>
      </w:pPr>
      <w:r>
        <w:rPr>
          <w:sz w:val="22"/>
        </w:rPr>
        <w:t>υπακούουν στους κανόνες επιλεξιμότητας δαπανών της</w:t>
      </w:r>
      <w:r>
        <w:rPr>
          <w:spacing w:val="-12"/>
          <w:sz w:val="22"/>
        </w:rPr>
        <w:t> </w:t>
      </w:r>
      <w:r>
        <w:rPr>
          <w:sz w:val="22"/>
        </w:rPr>
        <w:t>κατηγορίας</w:t>
      </w:r>
    </w:p>
    <w:p>
      <w:pPr>
        <w:pStyle w:val="ListParagraph"/>
        <w:numPr>
          <w:ilvl w:val="0"/>
          <w:numId w:val="45"/>
        </w:numPr>
        <w:tabs>
          <w:tab w:pos="820" w:val="left" w:leader="none"/>
          <w:tab w:pos="821" w:val="left" w:leader="none"/>
        </w:tabs>
        <w:spacing w:line="240" w:lineRule="auto" w:before="161" w:after="0"/>
        <w:ind w:left="820" w:right="0" w:hanging="360"/>
        <w:jc w:val="left"/>
        <w:rPr>
          <w:sz w:val="22"/>
        </w:rPr>
      </w:pPr>
      <w:r>
        <w:rPr>
          <w:sz w:val="22"/>
        </w:rPr>
        <w:t>εξυπηρετούν καλύτερα τις ανάγκες της</w:t>
      </w:r>
      <w:r>
        <w:rPr>
          <w:spacing w:val="-6"/>
          <w:sz w:val="22"/>
        </w:rPr>
        <w:t> </w:t>
      </w:r>
      <w:r>
        <w:rPr>
          <w:sz w:val="22"/>
        </w:rPr>
        <w:t>επένδυσης</w:t>
      </w:r>
    </w:p>
    <w:p>
      <w:pPr>
        <w:pStyle w:val="BodyText"/>
        <w:spacing w:line="276" w:lineRule="auto" w:before="158"/>
        <w:ind w:left="100" w:right="122"/>
        <w:jc w:val="both"/>
      </w:pPr>
      <w:r>
        <w:rPr/>
        <w:t>Διευκρινίζεται ότι τέτοιες αλλαγές δαπανών μπορούν να ενσωματώνονται στο αίτημα επαλήθευσης / πιστοποίησης και να εξετάζονται απευθείας με αυτό χωρίς να απαιτείται η υποβολή σχετικού αιτήματος τροποποίησης.</w:t>
      </w:r>
    </w:p>
    <w:p>
      <w:pPr>
        <w:pStyle w:val="BodyText"/>
        <w:spacing w:line="276" w:lineRule="auto" w:before="119"/>
        <w:ind w:left="100" w:right="120"/>
        <w:jc w:val="both"/>
      </w:pPr>
      <w:r>
        <w:rPr>
          <w:u w:val="single"/>
        </w:rPr>
        <w:t>Σε κάθε περίπτωση οι δικαιούχοι των ενισχύσεων φέρουν την ευθύνη οι ως άνω τροποποιήσεις ήσσονος σημασίας να μην οδηγούν σε απόκλιση από τους όρους και τα κριτήρια της παρούσας πρόσκλησης και της απόφασης χρηματοδότησης της επενδυτικής πρότασης.</w:t>
      </w:r>
    </w:p>
    <w:p>
      <w:pPr>
        <w:pStyle w:val="BodyText"/>
        <w:rPr>
          <w:sz w:val="20"/>
        </w:rPr>
      </w:pPr>
    </w:p>
    <w:p>
      <w:pPr>
        <w:pStyle w:val="BodyText"/>
        <w:rPr>
          <w:sz w:val="20"/>
        </w:rPr>
      </w:pPr>
    </w:p>
    <w:p>
      <w:pPr>
        <w:pStyle w:val="Heading4"/>
        <w:numPr>
          <w:ilvl w:val="1"/>
          <w:numId w:val="43"/>
        </w:numPr>
        <w:tabs>
          <w:tab w:pos="820" w:val="left" w:leader="none"/>
          <w:tab w:pos="821" w:val="left" w:leader="none"/>
        </w:tabs>
        <w:spacing w:line="240" w:lineRule="auto" w:before="179" w:after="0"/>
        <w:ind w:left="820" w:right="0" w:hanging="720"/>
        <w:jc w:val="left"/>
      </w:pPr>
      <w:bookmarkStart w:name="_TOC_250010" w:id="46"/>
      <w:r>
        <w:rPr/>
        <w:t>ΠΕΡΙΟΡΙΣΜΟΙ</w:t>
      </w:r>
      <w:r>
        <w:rPr>
          <w:spacing w:val="-4"/>
        </w:rPr>
        <w:t> </w:t>
      </w:r>
      <w:bookmarkEnd w:id="46"/>
      <w:r>
        <w:rPr/>
        <w:t>ΤΡΟΠΟΠΟΙΗΣΕΩΝ</w:t>
      </w:r>
    </w:p>
    <w:p>
      <w:pPr>
        <w:pStyle w:val="BodyText"/>
        <w:spacing w:before="120"/>
        <w:ind w:left="100"/>
      </w:pPr>
      <w:r>
        <w:rPr/>
        <w:t>Δεν επιτρέπονται οι παρακάτω τροποποιήσεις:</w:t>
      </w:r>
    </w:p>
    <w:p>
      <w:pPr>
        <w:pStyle w:val="ListParagraph"/>
        <w:numPr>
          <w:ilvl w:val="0"/>
          <w:numId w:val="19"/>
        </w:numPr>
        <w:tabs>
          <w:tab w:pos="666" w:val="left" w:leader="none"/>
          <w:tab w:pos="667" w:val="left" w:leader="none"/>
        </w:tabs>
        <w:spacing w:line="240" w:lineRule="auto" w:before="161" w:after="0"/>
        <w:ind w:left="666" w:right="0" w:hanging="566"/>
        <w:jc w:val="left"/>
        <w:rPr>
          <w:rFonts w:ascii="Symbol" w:hAnsi="Symbol"/>
          <w:sz w:val="22"/>
        </w:rPr>
      </w:pPr>
      <w:r>
        <w:rPr>
          <w:sz w:val="22"/>
        </w:rPr>
        <w:t>Τροποποίηση της ημερομηνίας έναρξης του έργου και της ημερομηνίας επιλεξιμότητας</w:t>
      </w:r>
      <w:r>
        <w:rPr>
          <w:spacing w:val="-17"/>
          <w:sz w:val="22"/>
        </w:rPr>
        <w:t> </w:t>
      </w:r>
      <w:r>
        <w:rPr>
          <w:sz w:val="22"/>
        </w:rPr>
        <w:t>δαπανών.</w:t>
      </w:r>
    </w:p>
    <w:p>
      <w:pPr>
        <w:pStyle w:val="ListParagraph"/>
        <w:numPr>
          <w:ilvl w:val="0"/>
          <w:numId w:val="19"/>
        </w:numPr>
        <w:tabs>
          <w:tab w:pos="666" w:val="left" w:leader="none"/>
          <w:tab w:pos="667" w:val="left" w:leader="none"/>
        </w:tabs>
        <w:spacing w:line="240" w:lineRule="auto" w:before="159" w:after="0"/>
        <w:ind w:left="666" w:right="0" w:hanging="566"/>
        <w:jc w:val="left"/>
        <w:rPr>
          <w:rFonts w:ascii="Symbol" w:hAnsi="Symbol"/>
          <w:sz w:val="22"/>
        </w:rPr>
      </w:pPr>
      <w:r>
        <w:rPr>
          <w:sz w:val="22"/>
        </w:rPr>
        <w:t>Αύξηση της ενίσχυσης (δημόσιας</w:t>
      </w:r>
      <w:r>
        <w:rPr>
          <w:spacing w:val="-6"/>
          <w:sz w:val="22"/>
        </w:rPr>
        <w:t> </w:t>
      </w:r>
      <w:r>
        <w:rPr>
          <w:sz w:val="22"/>
        </w:rPr>
        <w:t>δαπάνης).</w:t>
      </w:r>
    </w:p>
    <w:p>
      <w:pPr>
        <w:pStyle w:val="ListParagraph"/>
        <w:numPr>
          <w:ilvl w:val="0"/>
          <w:numId w:val="19"/>
        </w:numPr>
        <w:tabs>
          <w:tab w:pos="666" w:val="left" w:leader="none"/>
          <w:tab w:pos="667" w:val="left" w:leader="none"/>
        </w:tabs>
        <w:spacing w:line="273" w:lineRule="auto" w:before="161" w:after="0"/>
        <w:ind w:left="666" w:right="118" w:hanging="566"/>
        <w:jc w:val="left"/>
        <w:rPr>
          <w:rFonts w:ascii="Symbol" w:hAnsi="Symbol"/>
          <w:sz w:val="22"/>
        </w:rPr>
      </w:pPr>
      <w:r>
        <w:rPr>
          <w:sz w:val="22"/>
        </w:rPr>
        <w:t>Τροποποίηση στοιχείων του φυσικού αντικειμένου του επενδυτικού σχεδίου, η οποία επηρεάζει τη φύση και τους στόχους του επενδυτικού στοιχείου και τους όρους και προϋποθέσεις της</w:t>
      </w:r>
      <w:r>
        <w:rPr>
          <w:spacing w:val="-25"/>
          <w:sz w:val="22"/>
        </w:rPr>
        <w:t> </w:t>
      </w:r>
      <w:r>
        <w:rPr>
          <w:sz w:val="22"/>
        </w:rPr>
        <w:t>προκήρυξης.</w:t>
      </w:r>
    </w:p>
    <w:p>
      <w:pPr>
        <w:spacing w:after="0" w:line="273" w:lineRule="auto"/>
        <w:jc w:val="left"/>
        <w:rPr>
          <w:rFonts w:ascii="Symbol" w:hAnsi="Symbol"/>
          <w:sz w:val="22"/>
        </w:rPr>
        <w:sectPr>
          <w:pgSz w:w="11910" w:h="16840"/>
          <w:pgMar w:header="748" w:footer="734" w:top="1420" w:bottom="920" w:left="980" w:right="960"/>
        </w:sectPr>
      </w:pPr>
    </w:p>
    <w:p>
      <w:pPr>
        <w:pStyle w:val="BodyText"/>
        <w:rPr>
          <w:sz w:val="14"/>
        </w:rPr>
      </w:pPr>
    </w:p>
    <w:p>
      <w:pPr>
        <w:pStyle w:val="ListParagraph"/>
        <w:numPr>
          <w:ilvl w:val="0"/>
          <w:numId w:val="19"/>
        </w:numPr>
        <w:tabs>
          <w:tab w:pos="666" w:val="left" w:leader="none"/>
          <w:tab w:pos="667" w:val="left" w:leader="none"/>
        </w:tabs>
        <w:spacing w:line="276" w:lineRule="auto" w:before="101" w:after="0"/>
        <w:ind w:left="666" w:right="120" w:hanging="566"/>
        <w:jc w:val="left"/>
        <w:rPr>
          <w:rFonts w:ascii="Symbol" w:hAnsi="Symbol"/>
          <w:sz w:val="22"/>
        </w:rPr>
      </w:pPr>
      <w:r>
        <w:rPr>
          <w:sz w:val="22"/>
        </w:rPr>
        <w:t>Τροποποίηση στοιχείων του προϋπολογισμού, όταν περιλαμβάνει αυξομείωση ανά κατηγορία δαπάνης μεγαλύτερη του 30% του συνολικού</w:t>
      </w:r>
      <w:r>
        <w:rPr>
          <w:spacing w:val="-16"/>
          <w:sz w:val="22"/>
        </w:rPr>
        <w:t> </w:t>
      </w:r>
      <w:r>
        <w:rPr>
          <w:sz w:val="22"/>
        </w:rPr>
        <w:t>προϋπολογισμού.</w:t>
      </w:r>
    </w:p>
    <w:p>
      <w:pPr>
        <w:pStyle w:val="ListParagraph"/>
        <w:numPr>
          <w:ilvl w:val="0"/>
          <w:numId w:val="19"/>
        </w:numPr>
        <w:tabs>
          <w:tab w:pos="666" w:val="left" w:leader="none"/>
          <w:tab w:pos="667" w:val="left" w:leader="none"/>
        </w:tabs>
        <w:spacing w:line="276" w:lineRule="auto" w:before="118" w:after="0"/>
        <w:ind w:left="666" w:right="118" w:hanging="566"/>
        <w:jc w:val="left"/>
        <w:rPr>
          <w:rFonts w:ascii="Symbol" w:hAnsi="Symbol"/>
          <w:sz w:val="22"/>
        </w:rPr>
      </w:pPr>
      <w:r>
        <w:rPr>
          <w:sz w:val="22"/>
        </w:rPr>
        <w:t>Προσθήκη νέας κατηγορίας δαπανών, μη προβλεπόμενη κατά την υποβολή της πρότασης, μεγαλύτερη του 5% του συνολικού προϋπολογισμού του επενδυτικού</w:t>
      </w:r>
      <w:r>
        <w:rPr>
          <w:spacing w:val="-15"/>
          <w:sz w:val="22"/>
        </w:rPr>
        <w:t> </w:t>
      </w:r>
      <w:r>
        <w:rPr>
          <w:sz w:val="22"/>
        </w:rPr>
        <w:t>σχεδίου.</w:t>
      </w:r>
    </w:p>
    <w:p>
      <w:pPr>
        <w:pStyle w:val="BodyText"/>
      </w:pPr>
    </w:p>
    <w:p>
      <w:pPr>
        <w:pStyle w:val="BodyText"/>
        <w:spacing w:before="11"/>
        <w:rPr>
          <w:sz w:val="32"/>
        </w:rPr>
      </w:pPr>
    </w:p>
    <w:p>
      <w:pPr>
        <w:pStyle w:val="Heading2"/>
        <w:numPr>
          <w:ilvl w:val="0"/>
          <w:numId w:val="43"/>
        </w:numPr>
        <w:tabs>
          <w:tab w:pos="666" w:val="left" w:leader="none"/>
          <w:tab w:pos="667" w:val="left" w:leader="none"/>
        </w:tabs>
        <w:spacing w:line="240" w:lineRule="auto" w:before="0" w:after="0"/>
        <w:ind w:left="666" w:right="0" w:hanging="566"/>
        <w:jc w:val="left"/>
      </w:pPr>
      <w:bookmarkStart w:name="_TOC_250009" w:id="47"/>
      <w:r>
        <w:rPr/>
        <w:t>ΟΛΟΚΛΗΡΩΣΗ</w:t>
      </w:r>
      <w:r>
        <w:rPr>
          <w:spacing w:val="-3"/>
        </w:rPr>
        <w:t> </w:t>
      </w:r>
      <w:bookmarkEnd w:id="47"/>
      <w:r>
        <w:rPr/>
        <w:t>ΠΡΑΞΕΩΝ</w:t>
      </w:r>
    </w:p>
    <w:p>
      <w:pPr>
        <w:pStyle w:val="BodyText"/>
        <w:spacing w:before="5"/>
        <w:rPr>
          <w:b/>
          <w:sz w:val="19"/>
        </w:rPr>
      </w:pPr>
    </w:p>
    <w:p>
      <w:pPr>
        <w:pStyle w:val="BodyText"/>
        <w:spacing w:line="276" w:lineRule="auto"/>
        <w:ind w:left="100" w:right="115"/>
        <w:jc w:val="both"/>
      </w:pPr>
      <w:r>
        <w:rPr/>
        <w:t>Μετά την σύνταξη της Έκθεσης Επαλήθευσης των συνολικών στοιχείων της Πράξης, και με βάση τα αποτελέσματά της και την σύνταξη της έκθεσης πιστοποίησης, η Διεύθυνση Αναπτυξιακού Προγραμματισμού Περιφέρειας Θεσσαλίας προβαίνει στη σύνταξη της Βεβαίωσης Ολοκλήρωσης Πράξης μέσω του ΠΣΚΕ, την οποία κοινοποιεί στο Δικαιούχο.</w:t>
      </w:r>
    </w:p>
    <w:p>
      <w:pPr>
        <w:pStyle w:val="BodyText"/>
        <w:spacing w:before="120"/>
        <w:ind w:left="100"/>
      </w:pPr>
      <w:r>
        <w:rPr/>
        <w:t>Με τη Βεβαίωση αυτή:</w:t>
      </w:r>
    </w:p>
    <w:p>
      <w:pPr>
        <w:pStyle w:val="ListParagraph"/>
        <w:numPr>
          <w:ilvl w:val="0"/>
          <w:numId w:val="46"/>
        </w:numPr>
        <w:tabs>
          <w:tab w:pos="461" w:val="left" w:leader="none"/>
        </w:tabs>
        <w:spacing w:line="276" w:lineRule="auto" w:before="161" w:after="0"/>
        <w:ind w:left="460" w:right="115" w:hanging="360"/>
        <w:jc w:val="both"/>
        <w:rPr>
          <w:sz w:val="22"/>
        </w:rPr>
      </w:pPr>
      <w:r>
        <w:rPr>
          <w:sz w:val="22"/>
        </w:rPr>
        <w:t>βεβαιώνεται η ολοκλήρωση της υλοποίησης του φυσικού αντικειμένου της Πράξης (τα παραδοτέα, η επίτευξη της τιμής στόχου των δεικτών και των στόχων της Πράξης, το ότι το έργο είναι ολοκληρωμένο και</w:t>
      </w:r>
      <w:r>
        <w:rPr>
          <w:spacing w:val="-1"/>
          <w:sz w:val="22"/>
        </w:rPr>
        <w:t> </w:t>
      </w:r>
      <w:r>
        <w:rPr>
          <w:sz w:val="22"/>
        </w:rPr>
        <w:t>λειτουργικό).</w:t>
      </w:r>
    </w:p>
    <w:p>
      <w:pPr>
        <w:pStyle w:val="ListParagraph"/>
        <w:numPr>
          <w:ilvl w:val="0"/>
          <w:numId w:val="46"/>
        </w:numPr>
        <w:tabs>
          <w:tab w:pos="461" w:val="left" w:leader="none"/>
        </w:tabs>
        <w:spacing w:line="276" w:lineRule="auto" w:before="120" w:after="0"/>
        <w:ind w:left="460" w:right="115" w:hanging="360"/>
        <w:jc w:val="both"/>
        <w:rPr>
          <w:sz w:val="22"/>
        </w:rPr>
      </w:pPr>
      <w:r>
        <w:rPr>
          <w:b/>
          <w:sz w:val="22"/>
        </w:rPr>
        <w:t>εφόσον </w:t>
      </w:r>
      <w:r>
        <w:rPr>
          <w:sz w:val="22"/>
        </w:rPr>
        <w:t>η Επιχορηγούμενη Δαπάνη του επενδυτικού σχεδίου περιλαμβάνει μισθολογικό κόστος για νέες ΕΜΕ, βεβαιώνεται ότι αυτές υλοποιήθηκαν με διατήρηση των ΕΜΕ έτους 2018 όπως δηλώθηκαν κατά την υποβολή της πρότασης, ενώ σε αντίθετη περίπτωση επιβάλλεται αναλογική</w:t>
      </w:r>
      <w:r>
        <w:rPr>
          <w:spacing w:val="-22"/>
          <w:sz w:val="22"/>
        </w:rPr>
        <w:t> </w:t>
      </w:r>
      <w:r>
        <w:rPr>
          <w:sz w:val="22"/>
        </w:rPr>
        <w:t>περικοπή.</w:t>
      </w:r>
    </w:p>
    <w:p>
      <w:pPr>
        <w:pStyle w:val="ListParagraph"/>
        <w:numPr>
          <w:ilvl w:val="0"/>
          <w:numId w:val="46"/>
        </w:numPr>
        <w:tabs>
          <w:tab w:pos="461" w:val="left" w:leader="none"/>
        </w:tabs>
        <w:spacing w:line="276" w:lineRule="auto" w:before="121" w:after="0"/>
        <w:ind w:left="460" w:right="120" w:hanging="360"/>
        <w:jc w:val="both"/>
        <w:rPr>
          <w:sz w:val="22"/>
        </w:rPr>
      </w:pPr>
      <w:r>
        <w:rPr>
          <w:sz w:val="22"/>
        </w:rPr>
        <w:t>βεβαιώνεται η ολοκλήρωση της υλοποίησης του οικονομικού αντικειμένου του Δικαιούχου και αποτυπώνεται το τελικό αποτέλεσμα της επαλήθευσης δαπανών (συνολική δαπάνη και αντιστοιχούσα δημόσια δαπάνη) όλων των προηγούμενων ενδιάμεσων Αιτημάτων Πληρωμής καθώς και του τελικού Αιτήματος.</w:t>
      </w:r>
    </w:p>
    <w:p>
      <w:pPr>
        <w:pStyle w:val="ListParagraph"/>
        <w:numPr>
          <w:ilvl w:val="0"/>
          <w:numId w:val="46"/>
        </w:numPr>
        <w:tabs>
          <w:tab w:pos="461" w:val="left" w:leader="none"/>
        </w:tabs>
        <w:spacing w:line="273" w:lineRule="auto" w:before="120" w:after="0"/>
        <w:ind w:left="460" w:right="121" w:hanging="360"/>
        <w:jc w:val="both"/>
        <w:rPr>
          <w:sz w:val="22"/>
        </w:rPr>
      </w:pPr>
      <w:r>
        <w:rPr>
          <w:sz w:val="22"/>
        </w:rPr>
        <w:t>ορίζεται το τελικό καταβλητέο ποσό της δημόσιας συνεισφοράς και αποτυπώνονται ποσά που ενδεχόμενα έχουν ήδη καταβληθεί καθώς και το υπολειπόμενο προς καταβολή</w:t>
      </w:r>
      <w:r>
        <w:rPr>
          <w:spacing w:val="-21"/>
          <w:sz w:val="22"/>
        </w:rPr>
        <w:t> </w:t>
      </w:r>
      <w:r>
        <w:rPr>
          <w:sz w:val="22"/>
        </w:rPr>
        <w:t>ποσό.</w:t>
      </w:r>
    </w:p>
    <w:p>
      <w:pPr>
        <w:pStyle w:val="ListParagraph"/>
        <w:numPr>
          <w:ilvl w:val="0"/>
          <w:numId w:val="46"/>
        </w:numPr>
        <w:tabs>
          <w:tab w:pos="461" w:val="left" w:leader="none"/>
        </w:tabs>
        <w:spacing w:line="240" w:lineRule="auto" w:before="123" w:after="0"/>
        <w:ind w:left="460" w:right="0" w:hanging="360"/>
        <w:jc w:val="left"/>
        <w:rPr>
          <w:sz w:val="22"/>
        </w:rPr>
      </w:pPr>
      <w:r>
        <w:rPr>
          <w:sz w:val="22"/>
        </w:rPr>
        <w:t>καθορίζεται το τελικό χρηματοδοτικό σχήμα της</w:t>
      </w:r>
      <w:r>
        <w:rPr>
          <w:spacing w:val="-17"/>
          <w:sz w:val="22"/>
        </w:rPr>
        <w:t> </w:t>
      </w:r>
      <w:r>
        <w:rPr>
          <w:sz w:val="22"/>
        </w:rPr>
        <w:t>Πράξης.</w:t>
      </w:r>
    </w:p>
    <w:p>
      <w:pPr>
        <w:pStyle w:val="ListParagraph"/>
        <w:numPr>
          <w:ilvl w:val="0"/>
          <w:numId w:val="46"/>
        </w:numPr>
        <w:tabs>
          <w:tab w:pos="461" w:val="left" w:leader="none"/>
        </w:tabs>
        <w:spacing w:line="240" w:lineRule="auto" w:before="161" w:after="0"/>
        <w:ind w:left="460" w:right="0" w:hanging="360"/>
        <w:jc w:val="left"/>
        <w:rPr>
          <w:sz w:val="22"/>
        </w:rPr>
      </w:pPr>
      <w:r>
        <w:rPr>
          <w:sz w:val="22"/>
        </w:rPr>
        <w:t>βεβαιώνεται η έκδοση των αδειών που προβλέπονται από το οικείο ρυθμιστικό</w:t>
      </w:r>
      <w:r>
        <w:rPr>
          <w:spacing w:val="-15"/>
          <w:sz w:val="22"/>
        </w:rPr>
        <w:t> </w:t>
      </w:r>
      <w:r>
        <w:rPr>
          <w:sz w:val="22"/>
        </w:rPr>
        <w:t>πλαίσιο.</w:t>
      </w:r>
    </w:p>
    <w:p>
      <w:pPr>
        <w:pStyle w:val="ListParagraph"/>
        <w:numPr>
          <w:ilvl w:val="0"/>
          <w:numId w:val="46"/>
        </w:numPr>
        <w:tabs>
          <w:tab w:pos="461" w:val="left" w:leader="none"/>
        </w:tabs>
        <w:spacing w:line="278" w:lineRule="auto" w:before="158" w:after="0"/>
        <w:ind w:left="460" w:right="120" w:hanging="360"/>
        <w:jc w:val="both"/>
        <w:rPr>
          <w:sz w:val="22"/>
        </w:rPr>
      </w:pPr>
      <w:r>
        <w:rPr>
          <w:sz w:val="22"/>
        </w:rPr>
        <w:t>διαπιστώνεται η τήρηση των υποχρεώσεων του Δικαιούχου που τίθενται στην απόφαση ένταξης Χρηματοδότησης και ειδικότερα δημοσιότητας και ΑΜΕΑ και υποβολής απαιτούμενων</w:t>
      </w:r>
      <w:r>
        <w:rPr>
          <w:spacing w:val="-21"/>
          <w:sz w:val="22"/>
        </w:rPr>
        <w:t> </w:t>
      </w:r>
      <w:r>
        <w:rPr>
          <w:sz w:val="22"/>
        </w:rPr>
        <w:t>στοιχείων.</w:t>
      </w:r>
    </w:p>
    <w:p>
      <w:pPr>
        <w:pStyle w:val="ListParagraph"/>
        <w:numPr>
          <w:ilvl w:val="0"/>
          <w:numId w:val="46"/>
        </w:numPr>
        <w:tabs>
          <w:tab w:pos="461" w:val="left" w:leader="none"/>
        </w:tabs>
        <w:spacing w:line="276" w:lineRule="auto" w:before="118" w:after="0"/>
        <w:ind w:left="460" w:right="113" w:hanging="360"/>
        <w:jc w:val="both"/>
        <w:rPr>
          <w:sz w:val="22"/>
        </w:rPr>
      </w:pPr>
      <w:r>
        <w:rPr>
          <w:sz w:val="22"/>
        </w:rPr>
        <w:t>διαπιστώνεται η συμμόρφωση του Δικαιούχου με τυχόν συστάσεις προγενέστερων επαληθεύσεων/ επιθεωρήσεων/ελέγχων που έχουν διενεργηθεί στην πράξη (από ΕΦ, Αρχή Πιστοποίησης, Αρχή Ελέγχου, λοιπά ελεγκτικά όργανα εθνικά ή της</w:t>
      </w:r>
      <w:r>
        <w:rPr>
          <w:spacing w:val="-6"/>
          <w:sz w:val="22"/>
        </w:rPr>
        <w:t> </w:t>
      </w:r>
      <w:r>
        <w:rPr>
          <w:sz w:val="22"/>
        </w:rPr>
        <w:t>Ε.Ε.).</w:t>
      </w:r>
    </w:p>
    <w:p>
      <w:pPr>
        <w:pStyle w:val="ListParagraph"/>
        <w:numPr>
          <w:ilvl w:val="0"/>
          <w:numId w:val="46"/>
        </w:numPr>
        <w:tabs>
          <w:tab w:pos="461" w:val="left" w:leader="none"/>
        </w:tabs>
        <w:spacing w:line="273" w:lineRule="auto" w:before="120" w:after="0"/>
        <w:ind w:left="460" w:right="118" w:hanging="360"/>
        <w:jc w:val="both"/>
        <w:rPr>
          <w:sz w:val="22"/>
        </w:rPr>
      </w:pPr>
      <w:r>
        <w:rPr>
          <w:sz w:val="22"/>
        </w:rPr>
        <w:t>καθορίζεται η ακριβής ημερομηνία ανάληψης κάθε Μακροχρόνιας Υποχρέωσης του Δικαιούχου, όπως αυτές έχουν προδιαγραφεί στην απόφαση</w:t>
      </w:r>
      <w:r>
        <w:rPr>
          <w:spacing w:val="-6"/>
          <w:sz w:val="22"/>
        </w:rPr>
        <w:t> </w:t>
      </w:r>
      <w:r>
        <w:rPr>
          <w:sz w:val="22"/>
        </w:rPr>
        <w:t>ένταξης.</w:t>
      </w:r>
    </w:p>
    <w:p>
      <w:pPr>
        <w:pStyle w:val="BodyText"/>
        <w:spacing w:line="276" w:lineRule="auto" w:before="123"/>
        <w:ind w:left="100" w:right="117"/>
        <w:jc w:val="both"/>
      </w:pPr>
      <w:r>
        <w:rPr/>
        <w:t>Η Διεύθυνση Αναπτυξιακού Προγραμματισμού Περιφέρειας Θεσσαλίας κοινοποιεί τη Βεβαίωση Ολοκλήρωσης Πράξης στον δικαιούχο. Όλα τα σχετικά έγγραφα και στοιχεία τεκμηρίωσης αρχειοθετούνται στον Φάκελο Πράξης.</w:t>
      </w:r>
    </w:p>
    <w:p>
      <w:pPr>
        <w:pStyle w:val="BodyText"/>
        <w:spacing w:before="121"/>
        <w:ind w:left="100"/>
      </w:pPr>
      <w:r>
        <w:rPr/>
        <w:t>Επισημαίνονται τα εξής :</w:t>
      </w:r>
    </w:p>
    <w:p>
      <w:pPr>
        <w:spacing w:after="0"/>
        <w:sectPr>
          <w:pgSz w:w="11910" w:h="16840"/>
          <w:pgMar w:header="748" w:footer="734" w:top="1420" w:bottom="920" w:left="980" w:right="960"/>
        </w:sectPr>
      </w:pPr>
    </w:p>
    <w:p>
      <w:pPr>
        <w:pStyle w:val="BodyText"/>
        <w:spacing w:before="7"/>
        <w:rPr>
          <w:sz w:val="17"/>
        </w:rPr>
      </w:pPr>
    </w:p>
    <w:p>
      <w:pPr>
        <w:pStyle w:val="ListParagraph"/>
        <w:numPr>
          <w:ilvl w:val="0"/>
          <w:numId w:val="47"/>
        </w:numPr>
        <w:tabs>
          <w:tab w:pos="347" w:val="left" w:leader="none"/>
        </w:tabs>
        <w:spacing w:line="276" w:lineRule="auto" w:before="57" w:after="0"/>
        <w:ind w:left="100" w:right="119" w:firstLine="0"/>
        <w:jc w:val="both"/>
        <w:rPr>
          <w:sz w:val="22"/>
        </w:rPr>
      </w:pPr>
      <w:r>
        <w:rPr>
          <w:sz w:val="22"/>
        </w:rPr>
        <w:t>Ως ημερομηνία ολοκλήρωσης του φυσικού και οικονομικού αντικειμένου του έργου θα λαμβάνεται η ημερομηνία στην οποία πραγματοποιήθηκε η τελευταία ενέργεια από πλευράς δικαιούχου που αφορούσε στην ολοκλήρωση του έργου</w:t>
      </w:r>
      <w:r>
        <w:rPr>
          <w:spacing w:val="-7"/>
          <w:sz w:val="22"/>
        </w:rPr>
        <w:t> </w:t>
      </w:r>
      <w:r>
        <w:rPr>
          <w:sz w:val="22"/>
        </w:rPr>
        <w:t>του.</w:t>
      </w:r>
    </w:p>
    <w:p>
      <w:pPr>
        <w:pStyle w:val="ListParagraph"/>
        <w:numPr>
          <w:ilvl w:val="0"/>
          <w:numId w:val="47"/>
        </w:numPr>
        <w:tabs>
          <w:tab w:pos="323" w:val="left" w:leader="none"/>
        </w:tabs>
        <w:spacing w:line="276" w:lineRule="auto" w:before="120" w:after="0"/>
        <w:ind w:left="100" w:right="116" w:firstLine="0"/>
        <w:jc w:val="both"/>
        <w:rPr>
          <w:sz w:val="22"/>
        </w:rPr>
      </w:pPr>
      <w:r>
        <w:rPr>
          <w:sz w:val="22"/>
        </w:rPr>
        <w:t>Σε περίπτωση που κατά την ολοκλήρωση του φυσικού και οικονομικού αντικειμένου του έργου δεν είναι διαθέσιμη η εν ισχύ άδεια λειτουργίας, το έργο παραλαμβάνεται με την προσκόμιση, κατ’ ελάχιστον, της υποβληθείσας στον αρμόδιο φορέα αίτησης έκδοσης/ανανέωσης της άδειας λειτουργίας. Η νέα ή η ανανεωμένη άδεια είναι υποχρεωτικό να προσκομισθεί από τoν δικαιούχο στην ΔΙΑΠ </w:t>
      </w:r>
      <w:r>
        <w:rPr>
          <w:sz w:val="22"/>
          <w:u w:val="single"/>
        </w:rPr>
        <w:t>το αργότερο μέχρι και </w:t>
      </w:r>
      <w:r>
        <w:rPr>
          <w:sz w:val="22"/>
          <w:u w:val="single"/>
        </w:rPr>
        <w:t>έξι (6) μήνες </w:t>
      </w:r>
      <w:r>
        <w:rPr>
          <w:sz w:val="22"/>
        </w:rPr>
        <w:t>από την ημερομηνία ολοκλήρωσης του φυσικού και οικονομικού αντικειμένου του έργου. Ο δικαιούχος οφείλει να ενημερώσει εμπρόθεσμα την ΔΙΑΠ τόσο για την έκδοση της νέας/ανανεωμένης άδειας όσο και για πιθανές εμπλοκές ή καθυστερήσεις στη</w:t>
      </w:r>
      <w:r>
        <w:rPr>
          <w:spacing w:val="-14"/>
          <w:sz w:val="22"/>
        </w:rPr>
        <w:t> </w:t>
      </w:r>
      <w:r>
        <w:rPr>
          <w:sz w:val="22"/>
        </w:rPr>
        <w:t>διαδικασία.</w:t>
      </w:r>
    </w:p>
    <w:p>
      <w:pPr>
        <w:pStyle w:val="ListParagraph"/>
        <w:numPr>
          <w:ilvl w:val="0"/>
          <w:numId w:val="47"/>
        </w:numPr>
        <w:tabs>
          <w:tab w:pos="342" w:val="left" w:leader="none"/>
        </w:tabs>
        <w:spacing w:line="276" w:lineRule="auto" w:before="121" w:after="0"/>
        <w:ind w:left="100" w:right="118" w:firstLine="0"/>
        <w:jc w:val="both"/>
        <w:rPr>
          <w:sz w:val="22"/>
        </w:rPr>
      </w:pPr>
      <w:r>
        <w:rPr>
          <w:sz w:val="22"/>
        </w:rPr>
        <w:t>Ο ΕΦ υποχρεούται στην παρακολούθηση και έλεγχο τακτοποίησης τυχόν εκκρεμοτήτων σχετικά με τις παραπάνω προϋποθέσεις ολοκλήρωσης και παραλαβής έργων των δικαιούχων εντός των καθορισμένων χρονικών</w:t>
      </w:r>
      <w:r>
        <w:rPr>
          <w:spacing w:val="-4"/>
          <w:sz w:val="22"/>
        </w:rPr>
        <w:t> </w:t>
      </w:r>
      <w:r>
        <w:rPr>
          <w:sz w:val="22"/>
        </w:rPr>
        <w:t>διαστημάτων.</w:t>
      </w:r>
    </w:p>
    <w:p>
      <w:pPr>
        <w:pStyle w:val="BodyText"/>
        <w:spacing w:line="276" w:lineRule="auto" w:before="120"/>
        <w:ind w:left="100" w:right="114"/>
        <w:jc w:val="both"/>
      </w:pPr>
      <w:r>
        <w:rPr/>
        <w:t>Στις περιπτώσεις που διαπιστωθεί μη τήρηση κάποιας ή κάποιων εκ των ως άνω προϋποθέσεων, η ΔΙΑΠ προχωρεί στη λήψη των απαιτούμενων σύμφωνα με το ισχύον θεσμικό πλαίσιο μέτρων.</w:t>
      </w:r>
    </w:p>
    <w:p>
      <w:pPr>
        <w:pStyle w:val="BodyText"/>
      </w:pPr>
    </w:p>
    <w:p>
      <w:pPr>
        <w:pStyle w:val="BodyText"/>
        <w:spacing w:before="8"/>
        <w:rPr>
          <w:sz w:val="32"/>
        </w:rPr>
      </w:pPr>
    </w:p>
    <w:p>
      <w:pPr>
        <w:pStyle w:val="Heading4"/>
      </w:pPr>
      <w:bookmarkStart w:name="_TOC_250008" w:id="48"/>
      <w:bookmarkEnd w:id="48"/>
      <w:r>
        <w:rPr/>
        <w:t>13.1.     ΔΕΙΚΤΕΣ ΕΠΙΤΥΧΙΑΣ ΤΗΣ ΠΑΡΟΥΣΑΣ ΔΡΑΣΗΣ</w:t>
      </w:r>
    </w:p>
    <w:p>
      <w:pPr>
        <w:pStyle w:val="BodyText"/>
        <w:spacing w:before="120"/>
        <w:ind w:left="100"/>
        <w:jc w:val="both"/>
      </w:pPr>
      <w:r>
        <w:rPr/>
        <w:t>Οι δείκτες που χαρακτηρίζουν τη δράση είναι οι ακόλουθοι:</w:t>
      </w:r>
    </w:p>
    <w:p>
      <w:pPr>
        <w:pStyle w:val="ListParagraph"/>
        <w:numPr>
          <w:ilvl w:val="0"/>
          <w:numId w:val="48"/>
        </w:numPr>
        <w:tabs>
          <w:tab w:pos="461" w:val="left" w:leader="none"/>
        </w:tabs>
        <w:spacing w:line="240" w:lineRule="auto" w:before="161" w:after="0"/>
        <w:ind w:left="460" w:right="0" w:hanging="360"/>
        <w:jc w:val="both"/>
        <w:rPr>
          <w:sz w:val="22"/>
        </w:rPr>
      </w:pPr>
      <w:r>
        <w:rPr>
          <w:sz w:val="22"/>
        </w:rPr>
        <w:t>CO01 – Αριθμός επιχειρήσεων που λαμβάνουν</w:t>
      </w:r>
      <w:r>
        <w:rPr>
          <w:spacing w:val="-10"/>
          <w:sz w:val="22"/>
        </w:rPr>
        <w:t> </w:t>
      </w:r>
      <w:r>
        <w:rPr>
          <w:sz w:val="22"/>
        </w:rPr>
        <w:t>στήριξη</w:t>
      </w:r>
    </w:p>
    <w:p>
      <w:pPr>
        <w:pStyle w:val="ListParagraph"/>
        <w:numPr>
          <w:ilvl w:val="0"/>
          <w:numId w:val="48"/>
        </w:numPr>
        <w:tabs>
          <w:tab w:pos="460" w:val="left" w:leader="none"/>
          <w:tab w:pos="461" w:val="left" w:leader="none"/>
        </w:tabs>
        <w:spacing w:line="276" w:lineRule="auto" w:before="158" w:after="0"/>
        <w:ind w:left="460" w:right="119" w:hanging="360"/>
        <w:jc w:val="left"/>
        <w:rPr>
          <w:sz w:val="22"/>
        </w:rPr>
      </w:pPr>
      <w:r>
        <w:rPr>
          <w:sz w:val="22"/>
        </w:rPr>
        <w:t>CO02 – Αριθμός επιχειρήσεων που λαμβάνουν στήριξη σε μορφή μη επιστρεπτέας άμεσης χρηματοδοτικής στήριξης</w:t>
      </w:r>
      <w:r>
        <w:rPr>
          <w:spacing w:val="-8"/>
          <w:sz w:val="22"/>
        </w:rPr>
        <w:t> </w:t>
      </w:r>
      <w:r>
        <w:rPr>
          <w:sz w:val="22"/>
        </w:rPr>
        <w:t>(επιχορηγήσεις)</w:t>
      </w:r>
    </w:p>
    <w:p>
      <w:pPr>
        <w:pStyle w:val="ListParagraph"/>
        <w:numPr>
          <w:ilvl w:val="0"/>
          <w:numId w:val="48"/>
        </w:numPr>
        <w:tabs>
          <w:tab w:pos="461" w:val="left" w:leader="none"/>
        </w:tabs>
        <w:spacing w:line="240" w:lineRule="auto" w:before="120" w:after="0"/>
        <w:ind w:left="460" w:right="0" w:hanging="360"/>
        <w:jc w:val="both"/>
        <w:rPr>
          <w:sz w:val="22"/>
        </w:rPr>
      </w:pPr>
      <w:r>
        <w:rPr>
          <w:sz w:val="22"/>
        </w:rPr>
        <w:t>CO08 – Αύξηση της απασχόλησης σε επιχειρήσεις που λαμβάνουν</w:t>
      </w:r>
      <w:r>
        <w:rPr>
          <w:spacing w:val="-18"/>
          <w:sz w:val="22"/>
        </w:rPr>
        <w:t> </w:t>
      </w:r>
      <w:r>
        <w:rPr>
          <w:sz w:val="22"/>
        </w:rPr>
        <w:t>στήριξη</w:t>
      </w:r>
    </w:p>
    <w:p>
      <w:pPr>
        <w:pStyle w:val="BodyText"/>
        <w:rPr>
          <w:sz w:val="26"/>
        </w:rPr>
      </w:pPr>
    </w:p>
    <w:p>
      <w:pPr>
        <w:pStyle w:val="BodyText"/>
        <w:spacing w:before="2"/>
        <w:rPr>
          <w:sz w:val="32"/>
        </w:rPr>
      </w:pPr>
    </w:p>
    <w:p>
      <w:pPr>
        <w:pStyle w:val="Heading2"/>
        <w:numPr>
          <w:ilvl w:val="0"/>
          <w:numId w:val="49"/>
        </w:numPr>
        <w:tabs>
          <w:tab w:pos="667" w:val="left" w:leader="none"/>
        </w:tabs>
        <w:spacing w:line="240" w:lineRule="auto" w:before="0" w:after="0"/>
        <w:ind w:left="666" w:right="0" w:hanging="566"/>
        <w:jc w:val="both"/>
      </w:pPr>
      <w:bookmarkStart w:name="_TOC_250007" w:id="49"/>
      <w:r>
        <w:rPr/>
        <w:t>ΥΠΟΧΡΕΩΣΕΙΣ</w:t>
      </w:r>
      <w:r>
        <w:rPr>
          <w:spacing w:val="-6"/>
        </w:rPr>
        <w:t> </w:t>
      </w:r>
      <w:bookmarkEnd w:id="49"/>
      <w:r>
        <w:rPr/>
        <w:t>ΔΙΚΑΙΟΥΧΩΝ</w:t>
      </w:r>
    </w:p>
    <w:p>
      <w:pPr>
        <w:pStyle w:val="BodyText"/>
        <w:spacing w:before="5"/>
        <w:rPr>
          <w:b/>
          <w:sz w:val="19"/>
        </w:rPr>
      </w:pPr>
    </w:p>
    <w:p>
      <w:pPr>
        <w:pStyle w:val="Heading4"/>
        <w:numPr>
          <w:ilvl w:val="1"/>
          <w:numId w:val="49"/>
        </w:numPr>
        <w:tabs>
          <w:tab w:pos="821" w:val="left" w:leader="none"/>
        </w:tabs>
        <w:spacing w:line="240" w:lineRule="auto" w:before="0" w:after="0"/>
        <w:ind w:left="820" w:right="0" w:hanging="720"/>
        <w:jc w:val="both"/>
      </w:pPr>
      <w:bookmarkStart w:name="_TOC_250006" w:id="50"/>
      <w:r>
        <w:rPr/>
        <w:t>Υποχρεώσεις κατά το χρονικό διάστημα υλοποίησης του</w:t>
      </w:r>
      <w:r>
        <w:rPr>
          <w:spacing w:val="-12"/>
        </w:rPr>
        <w:t> </w:t>
      </w:r>
      <w:bookmarkEnd w:id="50"/>
      <w:r>
        <w:rPr/>
        <w:t>έργου</w:t>
      </w:r>
    </w:p>
    <w:p>
      <w:pPr>
        <w:pStyle w:val="BodyText"/>
        <w:spacing w:before="121"/>
        <w:ind w:left="100" w:right="124"/>
        <w:jc w:val="both"/>
      </w:pPr>
      <w:r>
        <w:rPr/>
        <w:t>Οι δικαιούχοι των οποίων τα έργα χρηματοδοτούνται στο πλαίσιο της παρούσας Δράσης, πρέπει να τηρούν τις παρακάτω υποχρεώσεις:</w:t>
      </w:r>
    </w:p>
    <w:p>
      <w:pPr>
        <w:pStyle w:val="ListParagraph"/>
        <w:numPr>
          <w:ilvl w:val="0"/>
          <w:numId w:val="50"/>
        </w:numPr>
        <w:tabs>
          <w:tab w:pos="528" w:val="left" w:leader="none"/>
        </w:tabs>
        <w:spacing w:line="240" w:lineRule="auto" w:before="120" w:after="0"/>
        <w:ind w:left="527" w:right="0" w:hanging="427"/>
        <w:jc w:val="both"/>
        <w:rPr>
          <w:sz w:val="22"/>
        </w:rPr>
      </w:pPr>
      <w:r>
        <w:rPr>
          <w:sz w:val="22"/>
        </w:rPr>
        <w:t>να τηρούν τους όρους που προβλέπονται στην παρούσα πρόσκληση και στην Απόφαση</w:t>
      </w:r>
      <w:r>
        <w:rPr>
          <w:spacing w:val="-18"/>
          <w:sz w:val="22"/>
        </w:rPr>
        <w:t> </w:t>
      </w:r>
      <w:r>
        <w:rPr>
          <w:sz w:val="22"/>
        </w:rPr>
        <w:t>ένταξης,</w:t>
      </w:r>
    </w:p>
    <w:p>
      <w:pPr>
        <w:pStyle w:val="ListParagraph"/>
        <w:numPr>
          <w:ilvl w:val="0"/>
          <w:numId w:val="50"/>
        </w:numPr>
        <w:tabs>
          <w:tab w:pos="528" w:val="left" w:leader="none"/>
        </w:tabs>
        <w:spacing w:line="240" w:lineRule="auto" w:before="120" w:after="0"/>
        <w:ind w:left="527" w:right="114" w:hanging="427"/>
        <w:jc w:val="both"/>
        <w:rPr>
          <w:sz w:val="22"/>
        </w:rPr>
      </w:pPr>
      <w:r>
        <w:rPr>
          <w:sz w:val="22"/>
        </w:rPr>
        <w:t>να τηρούν την Ενωσιακή και Εθνική Νομοθεσία κατά την εκτέλεση του έργου και ιδίως όσον αφορά το δίκαιο των δημοσίων συμβάσεων, κρατικών ενισχύσεων, την αειφόρο ανάπτυξη, την ισότητα μεταξύ ανδρών και γυναικών, τη μη διάκριση και την προσβασιμότητα Ατόμων με Αναπηρίες (ΕΕ 1303/2013/17.12.2013, Άρθρο</w:t>
      </w:r>
      <w:r>
        <w:rPr>
          <w:spacing w:val="-10"/>
          <w:sz w:val="22"/>
        </w:rPr>
        <w:t> </w:t>
      </w:r>
      <w:r>
        <w:rPr>
          <w:sz w:val="22"/>
        </w:rPr>
        <w:t>7),</w:t>
      </w:r>
    </w:p>
    <w:p>
      <w:pPr>
        <w:pStyle w:val="ListParagraph"/>
        <w:numPr>
          <w:ilvl w:val="0"/>
          <w:numId w:val="50"/>
        </w:numPr>
        <w:tabs>
          <w:tab w:pos="527" w:val="left" w:leader="none"/>
          <w:tab w:pos="528" w:val="left" w:leader="none"/>
        </w:tabs>
        <w:spacing w:line="240" w:lineRule="auto" w:before="120" w:after="0"/>
        <w:ind w:left="527" w:right="124" w:hanging="427"/>
        <w:jc w:val="left"/>
        <w:rPr>
          <w:sz w:val="22"/>
        </w:rPr>
      </w:pPr>
      <w:r>
        <w:rPr>
          <w:sz w:val="22"/>
        </w:rPr>
        <w:t>να μην μεταβάλουν την εταιρική τους σύνθεση ως προς τα πρόσωπα ή τα ποσοστά συμμετοχής τους, χωρίς ενημέρωση του</w:t>
      </w:r>
      <w:r>
        <w:rPr>
          <w:spacing w:val="-3"/>
          <w:sz w:val="22"/>
        </w:rPr>
        <w:t> </w:t>
      </w:r>
      <w:r>
        <w:rPr>
          <w:sz w:val="22"/>
        </w:rPr>
        <w:t>ΕΦ,</w:t>
      </w:r>
    </w:p>
    <w:p>
      <w:pPr>
        <w:pStyle w:val="ListParagraph"/>
        <w:numPr>
          <w:ilvl w:val="0"/>
          <w:numId w:val="50"/>
        </w:numPr>
        <w:tabs>
          <w:tab w:pos="528" w:val="left" w:leader="none"/>
        </w:tabs>
        <w:spacing w:line="240" w:lineRule="auto" w:before="120" w:after="0"/>
        <w:ind w:left="527" w:right="118" w:hanging="427"/>
        <w:jc w:val="both"/>
        <w:rPr>
          <w:sz w:val="22"/>
        </w:rPr>
      </w:pPr>
      <w:r>
        <w:rPr>
          <w:sz w:val="22"/>
        </w:rPr>
        <w:t>να τηρούν ξεχωριστή λογιστική μερίδα για το έργο ή να διαθέτουν επαρκή λογιστική κωδικοποίηση  από την οποία να προκύπτει η καταχώρηση όλων των δαπανών που αντιστοιχούν πλήρως προς τις δαπάνες που</w:t>
      </w:r>
      <w:r>
        <w:rPr>
          <w:spacing w:val="-3"/>
          <w:sz w:val="22"/>
        </w:rPr>
        <w:t> </w:t>
      </w:r>
      <w:r>
        <w:rPr>
          <w:sz w:val="22"/>
        </w:rPr>
        <w:t>δηλώνονται,</w:t>
      </w:r>
    </w:p>
    <w:p>
      <w:pPr>
        <w:spacing w:after="0" w:line="240" w:lineRule="auto"/>
        <w:jc w:val="both"/>
        <w:rPr>
          <w:sz w:val="22"/>
        </w:rPr>
        <w:sectPr>
          <w:pgSz w:w="11910" w:h="16840"/>
          <w:pgMar w:header="748" w:footer="734" w:top="1420" w:bottom="920" w:left="980" w:right="960"/>
        </w:sectPr>
      </w:pPr>
    </w:p>
    <w:p>
      <w:pPr>
        <w:pStyle w:val="BodyText"/>
        <w:spacing w:before="7"/>
        <w:rPr>
          <w:sz w:val="17"/>
        </w:rPr>
      </w:pPr>
    </w:p>
    <w:p>
      <w:pPr>
        <w:pStyle w:val="ListParagraph"/>
        <w:numPr>
          <w:ilvl w:val="0"/>
          <w:numId w:val="50"/>
        </w:numPr>
        <w:tabs>
          <w:tab w:pos="528" w:val="left" w:leader="none"/>
        </w:tabs>
        <w:spacing w:line="240" w:lineRule="auto" w:before="57" w:after="0"/>
        <w:ind w:left="527" w:right="116" w:hanging="427"/>
        <w:jc w:val="both"/>
        <w:rPr>
          <w:sz w:val="22"/>
        </w:rPr>
      </w:pPr>
      <w:r>
        <w:rPr>
          <w:sz w:val="22"/>
        </w:rPr>
        <w:t>να πραγματοποιούν όλες τις απαραίτητες ενέργειες, για την ενημέρωση του Πληροφοριακού Συστήματος Κρατικών Ενισχύσεων (ΠΣΚΕ) με τα δεδομένα και έγγραφα του έργου που υλοποιούν, διασφαλίζοντας την ακρίβεια, την ποιότητα και πληρότητα των υποβαλλόμενων</w:t>
      </w:r>
      <w:r>
        <w:rPr>
          <w:spacing w:val="-18"/>
          <w:sz w:val="22"/>
        </w:rPr>
        <w:t> </w:t>
      </w:r>
      <w:r>
        <w:rPr>
          <w:sz w:val="22"/>
        </w:rPr>
        <w:t>στοιχείων,</w:t>
      </w:r>
    </w:p>
    <w:p>
      <w:pPr>
        <w:pStyle w:val="ListParagraph"/>
        <w:numPr>
          <w:ilvl w:val="0"/>
          <w:numId w:val="50"/>
        </w:numPr>
        <w:tabs>
          <w:tab w:pos="528" w:val="left" w:leader="none"/>
        </w:tabs>
        <w:spacing w:line="240" w:lineRule="auto" w:before="120" w:after="0"/>
        <w:ind w:left="527" w:right="116" w:hanging="427"/>
        <w:jc w:val="both"/>
        <w:rPr>
          <w:sz w:val="22"/>
        </w:rPr>
      </w:pPr>
      <w:r>
        <w:rPr>
          <w:sz w:val="22"/>
        </w:rPr>
        <w:t>να μην λαμβάνουν ενίσχυση από άλλο εθνικό ή κοινοτικό πρόγραμμα για την υλοποίηση του έργου ή τμήματος αυτού ή/και τμήματος των επιλέξιμων δαπανών κατά παράβαση των περιορισμών  σώρευσης κρατικών</w:t>
      </w:r>
      <w:r>
        <w:rPr>
          <w:spacing w:val="-1"/>
          <w:sz w:val="22"/>
        </w:rPr>
        <w:t> </w:t>
      </w:r>
      <w:r>
        <w:rPr>
          <w:sz w:val="22"/>
        </w:rPr>
        <w:t>ενισχύσεων,</w:t>
      </w:r>
    </w:p>
    <w:p>
      <w:pPr>
        <w:pStyle w:val="ListParagraph"/>
        <w:numPr>
          <w:ilvl w:val="0"/>
          <w:numId w:val="50"/>
        </w:numPr>
        <w:tabs>
          <w:tab w:pos="528" w:val="left" w:leader="none"/>
        </w:tabs>
        <w:spacing w:line="240" w:lineRule="auto" w:before="118" w:after="0"/>
        <w:ind w:left="527" w:right="113" w:hanging="427"/>
        <w:jc w:val="both"/>
        <w:rPr>
          <w:sz w:val="22"/>
        </w:rPr>
      </w:pPr>
      <w:r>
        <w:rPr>
          <w:sz w:val="22"/>
        </w:rPr>
        <w:t>να μην μεταβιβάζουν ή αντικαθιστούν, χωρίς την έγκριση του ΕΦ, πάγια περιουσιακά στοιχεία, τα οποία έχουν</w:t>
      </w:r>
      <w:r>
        <w:rPr>
          <w:spacing w:val="-1"/>
          <w:sz w:val="22"/>
        </w:rPr>
        <w:t> </w:t>
      </w:r>
      <w:r>
        <w:rPr>
          <w:sz w:val="22"/>
        </w:rPr>
        <w:t>ενισχυθεί,</w:t>
      </w:r>
    </w:p>
    <w:p>
      <w:pPr>
        <w:pStyle w:val="ListParagraph"/>
        <w:numPr>
          <w:ilvl w:val="0"/>
          <w:numId w:val="50"/>
        </w:numPr>
        <w:tabs>
          <w:tab w:pos="528" w:val="left" w:leader="none"/>
        </w:tabs>
        <w:spacing w:line="240" w:lineRule="auto" w:before="120" w:after="0"/>
        <w:ind w:left="527" w:right="114" w:hanging="427"/>
        <w:jc w:val="both"/>
        <w:rPr>
          <w:sz w:val="22"/>
        </w:rPr>
      </w:pPr>
      <w:r>
        <w:rPr>
          <w:sz w:val="22"/>
        </w:rPr>
        <w:t>να τοποθετούν αφίσες με πληροφόρηση σχετικά με την πράξη και να ενημερώνουν τους συμμετέχοντες στο έργο σχετικά με τη συγχρηματοδότηση του έργου από το ΕΤΠΑ και την υλοποίησή του στο πλαίσιο του Επιχειρησιακού Προγράμματος. Ενημέρωση πραγματοποιείται σε κάθε έγγραφο που χρησιμοποιείται κατά την υλοποίηση του έργου ή παράγεται στο πλαίσιο του έργου. Να κάνουν αναφορά στη χρηματοδότηση του έργου από εθνικούς και κοινοτικούς πόρους μέσω της παρούσας Πρόσκλησης, χρησιμοποιώντας το κατάλληλο λεκτικό, αλλά και τα σχετικά λογότυπα που θα τους υποδειχθούν από τον ΕΦ σε κάθε είδους ενέργεια δημοσιότητας που αφορά στο έργο (π.χ. ανακοινώσεις στον έντυπο και ηλεκτρονικό τύπο, παρουσιάσεις σε ημερίδες και συνέδρια, επιστημονικές εργασίες σε εθνικά και διεθνή περιοδικά, εκδηλώσεις), καθώς και με την ανάρτηση στον δικτυακό τόπο</w:t>
      </w:r>
      <w:r>
        <w:rPr>
          <w:spacing w:val="-3"/>
          <w:sz w:val="22"/>
        </w:rPr>
        <w:t> </w:t>
      </w:r>
      <w:r>
        <w:rPr>
          <w:sz w:val="22"/>
        </w:rPr>
        <w:t>τους,</w:t>
      </w:r>
    </w:p>
    <w:p>
      <w:pPr>
        <w:pStyle w:val="ListParagraph"/>
        <w:numPr>
          <w:ilvl w:val="0"/>
          <w:numId w:val="50"/>
        </w:numPr>
        <w:tabs>
          <w:tab w:pos="528" w:val="left" w:leader="none"/>
        </w:tabs>
        <w:spacing w:line="240" w:lineRule="auto" w:before="120" w:after="0"/>
        <w:ind w:left="527" w:right="115" w:hanging="427"/>
        <w:jc w:val="both"/>
        <w:rPr>
          <w:sz w:val="22"/>
        </w:rPr>
      </w:pPr>
      <w:r>
        <w:rPr>
          <w:sz w:val="22"/>
        </w:rPr>
        <w:t>να κάνουν αναφορά στη χρηματοδότηση του έργου από εθνικούς και κοινοτικούς πόρους μέσω της παρούσας Πρόσκλησης, χρησιμοποιώντας το κατάλληλο λεκτικό, αλλά και τα σχετικά λογότυπα που θα τους υποδειχθούν από την ΔΙΑΠ Θεσσαλίας σε κάθε είδους ενέργεια δημοσιότητας που αφορά στο έργο (π.χ. ανακοινώσεις στον έντυπο και ηλεκτρονικό τύπο, παρουσιάσεις σε ημερίδες και συνέδρια, επιστημονικές εργασίες σε εθνικά και διεθνή περιοδικά, εκδηλώσεις), καθώς και με την ανάρτηση στον δικτυακό τόπο</w:t>
      </w:r>
      <w:r>
        <w:rPr>
          <w:spacing w:val="-3"/>
          <w:sz w:val="22"/>
        </w:rPr>
        <w:t> </w:t>
      </w:r>
      <w:r>
        <w:rPr>
          <w:sz w:val="22"/>
        </w:rPr>
        <w:t>τους,</w:t>
      </w:r>
    </w:p>
    <w:p>
      <w:pPr>
        <w:pStyle w:val="ListParagraph"/>
        <w:numPr>
          <w:ilvl w:val="0"/>
          <w:numId w:val="50"/>
        </w:numPr>
        <w:tabs>
          <w:tab w:pos="528" w:val="left" w:leader="none"/>
        </w:tabs>
        <w:spacing w:line="240" w:lineRule="auto" w:before="120" w:after="0"/>
        <w:ind w:left="527" w:right="112" w:hanging="427"/>
        <w:jc w:val="both"/>
        <w:rPr>
          <w:sz w:val="22"/>
        </w:rPr>
      </w:pPr>
      <w:r>
        <w:rPr>
          <w:sz w:val="22"/>
        </w:rPr>
        <w:t>να αποδέχονται τη συμπερίληψή τους στο κατάλογο των πράξεων του Ε.Π. που δημοσιοποιεί η ΔΙΑΠ ή και η ΕΥΔ ΕΠ ΠΘ, στις διαδικτυακές πύλες </w:t>
      </w:r>
      <w:hyperlink r:id="rId9">
        <w:r>
          <w:rPr>
            <w:color w:val="0462C1"/>
            <w:sz w:val="22"/>
            <w:u w:val="single" w:color="0462C1"/>
          </w:rPr>
          <w:t>www.thessaly.gov.gr </w:t>
        </w:r>
      </w:hyperlink>
      <w:r>
        <w:rPr>
          <w:sz w:val="22"/>
        </w:rPr>
        <w:t>, </w:t>
      </w:r>
      <w:hyperlink r:id="rId10">
        <w:r>
          <w:rPr>
            <w:color w:val="0462C1"/>
            <w:sz w:val="22"/>
            <w:u w:val="single" w:color="0462C1"/>
          </w:rPr>
          <w:t>www.thessalia-espa.gr </w:t>
        </w:r>
      </w:hyperlink>
      <w:r>
        <w:rPr>
          <w:sz w:val="22"/>
        </w:rPr>
        <w:t>και </w:t>
      </w:r>
      <w:hyperlink r:id="rId11">
        <w:r>
          <w:rPr>
            <w:color w:val="0462C1"/>
            <w:sz w:val="22"/>
            <w:u w:val="single" w:color="0462C1"/>
          </w:rPr>
          <w:t>www.espa.gr</w:t>
        </w:r>
        <w:r>
          <w:rPr>
            <w:sz w:val="22"/>
          </w:rPr>
          <w:t>,</w:t>
        </w:r>
      </w:hyperlink>
      <w:r>
        <w:rPr>
          <w:sz w:val="22"/>
        </w:rPr>
        <w:t> κατά τα προβλεπόμενα στο άρθρο 115 και στο Παράρτημα ΧΙΙ του Καν. 1303/2013, και στο οποίο αναφέρονται: η ονομασία του δικαιούχου και της πράξης, σύνοψη της πράξης, ημερομηνία έναρξης της πράξης, καταληκτική ημερομηνία πράξης, συνολική επιλέξιμη δαπάνη, ποσοστό συγχρηματοδότησης, ταχυδρομικός κώδικας, ή άλλη κατάλληλη ένδειξη της τοποθεσίας, χώρα, ονομασία της κατηγορίας παρέμβασης της</w:t>
      </w:r>
      <w:r>
        <w:rPr>
          <w:spacing w:val="-12"/>
          <w:sz w:val="22"/>
        </w:rPr>
        <w:t> </w:t>
      </w:r>
      <w:r>
        <w:rPr>
          <w:sz w:val="22"/>
        </w:rPr>
        <w:t>πράξης.</w:t>
      </w:r>
    </w:p>
    <w:p>
      <w:pPr>
        <w:pStyle w:val="BodyText"/>
      </w:pPr>
    </w:p>
    <w:p>
      <w:pPr>
        <w:pStyle w:val="BodyText"/>
        <w:spacing w:before="7"/>
        <w:rPr>
          <w:sz w:val="29"/>
        </w:rPr>
      </w:pPr>
    </w:p>
    <w:p>
      <w:pPr>
        <w:pStyle w:val="Heading4"/>
        <w:numPr>
          <w:ilvl w:val="1"/>
          <w:numId w:val="49"/>
        </w:numPr>
        <w:tabs>
          <w:tab w:pos="870" w:val="left" w:leader="none"/>
          <w:tab w:pos="871" w:val="left" w:leader="none"/>
        </w:tabs>
        <w:spacing w:line="240" w:lineRule="auto" w:before="0" w:after="0"/>
        <w:ind w:left="870" w:right="0" w:hanging="770"/>
        <w:jc w:val="left"/>
      </w:pPr>
      <w:bookmarkStart w:name="_TOC_250005" w:id="51"/>
      <w:r>
        <w:rPr/>
        <w:t>Υποχρεώσεις μετά την ολοκλήρωση του</w:t>
      </w:r>
      <w:r>
        <w:rPr>
          <w:spacing w:val="-8"/>
        </w:rPr>
        <w:t> </w:t>
      </w:r>
      <w:bookmarkEnd w:id="51"/>
      <w:r>
        <w:rPr/>
        <w:t>έργου</w:t>
      </w:r>
    </w:p>
    <w:p>
      <w:pPr>
        <w:spacing w:before="120"/>
        <w:ind w:left="100" w:right="0" w:firstLine="0"/>
        <w:jc w:val="left"/>
        <w:rPr>
          <w:b/>
          <w:sz w:val="22"/>
        </w:rPr>
      </w:pPr>
      <w:r>
        <w:rPr>
          <w:b/>
          <w:sz w:val="22"/>
        </w:rPr>
        <w:t>Ι) Υποχρεώσεις που αφορούν όλους τους Δικαιούχους Φορείς</w:t>
      </w:r>
    </w:p>
    <w:p>
      <w:pPr>
        <w:pStyle w:val="BodyText"/>
        <w:spacing w:line="273" w:lineRule="auto" w:before="120"/>
        <w:ind w:left="460" w:right="113" w:hanging="361"/>
        <w:jc w:val="both"/>
      </w:pPr>
      <w:r>
        <w:rPr/>
        <w:t>α) Ο δικαιούχος υποχρεούται στην τήρηση των όρων που προβλέπονται στην παρούσα πρόσκληση και την Απόφαση Ένταξης</w:t>
      </w:r>
    </w:p>
    <w:p>
      <w:pPr>
        <w:pStyle w:val="BodyText"/>
        <w:spacing w:line="276" w:lineRule="auto" w:before="123"/>
        <w:ind w:left="458" w:right="121" w:hanging="359"/>
        <w:jc w:val="both"/>
      </w:pPr>
      <w:r>
        <w:rPr/>
        <w:t>β) Ο δικαιούχος δεν μπορεί να ενισχυθεί από άλλο Εθνικό ή Κοινοτικό Πρόγραμμα για την υλοποίηση της ίδιας πρότασης ή τμήματος αυτής.</w:t>
      </w:r>
    </w:p>
    <w:p>
      <w:pPr>
        <w:pStyle w:val="BodyText"/>
        <w:spacing w:line="276" w:lineRule="auto" w:before="118"/>
        <w:ind w:left="460" w:right="116" w:hanging="361"/>
        <w:jc w:val="both"/>
      </w:pPr>
      <w:r>
        <w:rPr/>
        <w:t>γ) Ο δικαιούχος της ενίσχυσης οφείλει να μην διακόψει την λειτουργία του και να λειτουργεί εντός της Περιφέρειας Θεσσαλίας για χρονικό διάστημα τριών (3) ετών από την ημερομηνία έκδοσης της βεβαίωσης ολοκλήρωσης. Σε αντίθετη περίπτωση επιβάλλεται επιστροφή της δημόσιας επιχορήγησης αναλογικά προς την περίοδο για την οποία δεν εκπληρώθηκαν οι απαιτήσεις.</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460" w:right="118" w:hanging="361"/>
        <w:jc w:val="both"/>
      </w:pPr>
      <w:r>
        <w:rPr/>
        <w:t>δ) Ο δικαιούχος της ενίσχυσης οφείλει να μην μεταβιβάσει για οποιοδήποτε λόγο πάγια περιουσιακά στοιχεία που έχουν ενισχυθεί, εκτός εάν αυτά αντικατασταθούν από άλλα κυριότητας του φορέα και ανάλογης αξίας, που ανταποκρίνονται στην εξυπηρέτηση της επένδυσης (στις περιπτώσεις αυτές απαιτείται ενημέρωση της ΔΙΑΠ) για χρονικό διάστημα 3 ετών από την ημερομηνία έκδοσης της βεβαίωσης ολοκλήρωσης. Σε αντίθετη περίπτωση επιβάλλεται επιστροφή της δημόσιας επιχορήγησης αναλογικά προς την περίοδο για την οποία δεν εκπληρώθηκαν οι απαιτήσεις.</w:t>
      </w:r>
    </w:p>
    <w:p>
      <w:pPr>
        <w:pStyle w:val="BodyText"/>
        <w:spacing w:line="276" w:lineRule="auto" w:before="120"/>
        <w:ind w:left="460" w:right="120" w:hanging="361"/>
        <w:jc w:val="both"/>
      </w:pPr>
      <w:r>
        <w:rPr/>
        <w:t>ε) να μην εκμισθώνουν μέρος ή το σύνολο της ενισχυθείσας επένδυσης (στις  περιπτώσεις  αυτές  απαιτείται ενημέρωση της</w:t>
      </w:r>
      <w:r>
        <w:rPr>
          <w:spacing w:val="-4"/>
        </w:rPr>
        <w:t> </w:t>
      </w:r>
      <w:r>
        <w:rPr/>
        <w:t>ΔΙΑΠ),</w:t>
      </w:r>
    </w:p>
    <w:p>
      <w:pPr>
        <w:pStyle w:val="BodyText"/>
        <w:spacing w:line="276" w:lineRule="auto" w:before="120"/>
        <w:ind w:left="460" w:right="118" w:hanging="361"/>
        <w:jc w:val="both"/>
      </w:pPr>
      <w:r>
        <w:rPr/>
        <w:t>στ) να μη μεταβάλουν ουσιαστικά την ενισχυθείσα επένδυση και κατά τρόπο που επηρεάζει τη φύση, τους στόχους ή τους όρους υλοποίησης ή που θα μπορούσε να οδηγήσει σε υπονόμευση των αρχικών στόχων της.</w:t>
      </w:r>
    </w:p>
    <w:p>
      <w:pPr>
        <w:pStyle w:val="BodyText"/>
        <w:spacing w:line="276" w:lineRule="auto" w:before="120"/>
        <w:ind w:left="458" w:right="115" w:hanging="359"/>
        <w:jc w:val="both"/>
      </w:pPr>
      <w:r>
        <w:rPr/>
        <w:t>ζ) Οι δικαιούχοι των ενισχύσεων πρέπει να τηρούν ξεχωριστή λογιστική μερίδα για την πράξη ή να διαθέτουν επαρκή λογιστική κωδικοποίηση από την οποία να προκύπτει η καταχώρηση όλων των δαπανών που αντιστοιχούν πλήρως προς τις δαπάνες που δηλώνονται και με κατάλληλο μηχανισμό να διασφαλίζεται η μη ενίσχυση μη επιλέξιμων δραστηριοτήτων σε περίπτωση μεικτής δραστηριότητας</w:t>
      </w:r>
    </w:p>
    <w:p>
      <w:pPr>
        <w:pStyle w:val="BodyText"/>
        <w:spacing w:line="276" w:lineRule="auto" w:before="118"/>
        <w:ind w:left="458" w:right="112" w:hanging="359"/>
        <w:jc w:val="both"/>
      </w:pPr>
      <w:r>
        <w:rPr/>
        <w:t>η) Για τον έλεγχο των μακροχρονίων υποχρεώσεων, ο δικαιούχος πρέπει να αποστέλλει στην Διεύθυνση Αναπτυξιακού Προγραμματισμού Περιφέρειας Θεσσαλίας όλα τα σχετικά έγγραφα που ζητούνται εγγράφως από αυτήν. Σε περίπτωση μη προσκόμισης αυτών επιβάλλεται επιστροφή του συνόλου της δημόσιας επιχορήγησης.</w:t>
      </w:r>
    </w:p>
    <w:p>
      <w:pPr>
        <w:pStyle w:val="BodyText"/>
        <w:spacing w:line="276" w:lineRule="auto" w:before="121"/>
        <w:ind w:left="458" w:right="113" w:hanging="359"/>
        <w:jc w:val="both"/>
      </w:pPr>
      <w:r>
        <w:rPr/>
        <w:t>θ) Ο δικαιούχος, σε συνεργασία με την Διεύθυνση Αναπτυξιακού Προγραμματισμού Περιφέρειας Θεσσαλίας ή/και με άλλα αρμόδια ελεγκτικά όργανα, οφείλει να παράσχει κάθε στοιχείο και πληροφορία που αφορούν στο έργο ακόμα και μετά τη λήξη της Δράσης ώστε να εξασφαλιστεί η δυνατότητα αποτίμησης και αξιολόγησης της Δράσης και να υποστηριχθεί ο σχεδιασμός μελλοντικών παρόμοιων</w:t>
      </w:r>
      <w:r>
        <w:rPr>
          <w:spacing w:val="-1"/>
        </w:rPr>
        <w:t> </w:t>
      </w:r>
      <w:r>
        <w:rPr/>
        <w:t>Δράσεων.</w:t>
      </w:r>
    </w:p>
    <w:p>
      <w:pPr>
        <w:pStyle w:val="BodyText"/>
        <w:spacing w:line="276" w:lineRule="auto" w:before="118"/>
        <w:ind w:left="458" w:right="114" w:hanging="359"/>
        <w:jc w:val="both"/>
      </w:pPr>
      <w:r>
        <w:rPr/>
        <w:t>ι) Όλα τα δικαιολογητικά και παραστατικά στοιχεία των δαπανών του έργου  τηρούνται  από  την  επιχείρηση σε ειδική μερίδα καθ’ όλη τη διάρκεια του έργου, αλλά και στη συνέχεια για </w:t>
      </w:r>
      <w:r>
        <w:rPr>
          <w:b/>
        </w:rPr>
        <w:t>δέκα (10) </w:t>
      </w:r>
      <w:r>
        <w:rPr/>
        <w:t>χρόνια από την ημερομηνία καταβολής της τελευταίας δόσης της επιχορήγησης και τίθενται στη διάθεση των αρμοδίων οργάνων του Δημοσίου, της Διεύθυνσης Αναπτυξιακού Προγραμματισμού Περιφέρειας Θεσσαλίας, της ΕΔΕΛ ή των αρμοδίων οργάνων της Ευρωπαϊκής Ένωσης, εφόσον ζητηθεί σχετικός έλεγχος και τούτο ανεξαρτήτως αν από άλλες διατάξεις της εθνικής νομοθεσίας δεν υποχρεούνται στη διατήρηση των δικαιολογητικών και παραστατικών της παραγωγικής</w:t>
      </w:r>
      <w:r>
        <w:rPr>
          <w:spacing w:val="-13"/>
        </w:rPr>
        <w:t> </w:t>
      </w:r>
      <w:r>
        <w:rPr/>
        <w:t>επένδυσης.</w:t>
      </w:r>
    </w:p>
    <w:p>
      <w:pPr>
        <w:pStyle w:val="BodyText"/>
        <w:spacing w:line="276" w:lineRule="auto" w:before="118"/>
        <w:ind w:left="458" w:right="113" w:hanging="359"/>
        <w:jc w:val="both"/>
      </w:pPr>
      <w:r>
        <w:rPr/>
        <w:t>ια) Τα ανωτέρω στοιχεία και δικαιολογητικά έγγραφα διατηρούνται είτε υπό τη μορφή πρωτοτύπων, ή επικαιροποιημένων αντιγράφων των πρωτοτύπων ή σε κοινώς αποδεκτούς φορείς δεδομένων, περιλαμβανομένων των ηλεκτρονικών εκδόσεων των πρωτότυπων εγγράφων ή εγγράφων που υπάρχουν μόνο σε ηλεκτρονική μορφή. Σημειώνεται ότι, ο χρόνος διατήρησης των παραστατικών δεν μπορεί να είναι μικρότερος από το χρόνο παραγραφής της αξίωσης του Δημοσίου για την επιστροφή αχρεωστήτως καταβληθέντων ποσών.</w:t>
      </w:r>
    </w:p>
    <w:p>
      <w:pPr>
        <w:pStyle w:val="BodyText"/>
        <w:spacing w:line="276" w:lineRule="auto" w:before="118"/>
        <w:ind w:left="458" w:right="119" w:hanging="359"/>
        <w:jc w:val="both"/>
      </w:pPr>
      <w:r>
        <w:rPr/>
        <w:t>ιβ) Η επιστροφή των αχρεωστήτως καταβληθέντων ποσών της δημόσιας επιχορήγησης από τον δικαιούχο της ενίσχυσης σε όλες τις περιπτώσεις γίνεται εντόκως από την ημερομηνία καταβολής τους, σύμφωνα με την ΚΥΑ 126829 ΕΥΘΥ 1217(1) (ΦΕΚ 2784 Β’, 21-12-2015).</w:t>
      </w:r>
    </w:p>
    <w:p>
      <w:pPr>
        <w:spacing w:after="0" w:line="276" w:lineRule="auto"/>
        <w:jc w:val="both"/>
        <w:sectPr>
          <w:pgSz w:w="11910" w:h="16840"/>
          <w:pgMar w:header="748" w:footer="734" w:top="1420" w:bottom="920" w:left="980" w:right="960"/>
        </w:sectPr>
      </w:pPr>
    </w:p>
    <w:p>
      <w:pPr>
        <w:pStyle w:val="BodyText"/>
        <w:rPr>
          <w:sz w:val="20"/>
        </w:rPr>
      </w:pPr>
    </w:p>
    <w:p>
      <w:pPr>
        <w:pStyle w:val="BodyText"/>
        <w:rPr>
          <w:sz w:val="20"/>
        </w:rPr>
      </w:pPr>
    </w:p>
    <w:p>
      <w:pPr>
        <w:pStyle w:val="BodyText"/>
        <w:spacing w:before="8"/>
      </w:pPr>
    </w:p>
    <w:p>
      <w:pPr>
        <w:pStyle w:val="Heading4"/>
        <w:numPr>
          <w:ilvl w:val="1"/>
          <w:numId w:val="49"/>
        </w:numPr>
        <w:tabs>
          <w:tab w:pos="821" w:val="left" w:leader="none"/>
        </w:tabs>
        <w:spacing w:line="240" w:lineRule="auto" w:before="56" w:after="0"/>
        <w:ind w:left="820" w:right="0" w:hanging="720"/>
        <w:jc w:val="both"/>
      </w:pPr>
      <w:bookmarkStart w:name="_TOC_250004" w:id="52"/>
      <w:r>
        <w:rPr/>
        <w:t>Εξέταση Τήρησης Υποχρεώσεων</w:t>
      </w:r>
      <w:r>
        <w:rPr>
          <w:spacing w:val="-10"/>
        </w:rPr>
        <w:t> </w:t>
      </w:r>
      <w:bookmarkEnd w:id="52"/>
      <w:r>
        <w:rPr/>
        <w:t>Δικαιούχων</w:t>
      </w:r>
    </w:p>
    <w:p>
      <w:pPr>
        <w:pStyle w:val="BodyText"/>
        <w:spacing w:line="276" w:lineRule="auto" w:before="120"/>
        <w:ind w:left="100" w:right="115"/>
        <w:jc w:val="both"/>
      </w:pPr>
      <w:r>
        <w:rPr/>
        <w:t>Η διαχειριστική αρχή (ΕΥΔ) είναι υπεύθυνη για τη διαχείριση του επιχειρησιακού προγράμματος σύμφωνα με την αρχή της χρηστής δημοσιονομικής διαχείρισης. Για την εκπλήρωση του σκοπού αυτού θέτει στη διάθεση των Ενδιάμεσων Φορέων (ΔΙΑΠ) και των Δικαιούχων πληροφορίες σχετικά με την εκτέλεση των καθηκόντων τους και την υλοποίηση πράξεων αντίστοιχα.</w:t>
      </w:r>
    </w:p>
    <w:p>
      <w:pPr>
        <w:pStyle w:val="BodyText"/>
        <w:spacing w:line="276" w:lineRule="auto" w:before="118"/>
        <w:ind w:left="100" w:right="116"/>
        <w:jc w:val="both"/>
      </w:pPr>
      <w:r>
        <w:rPr/>
        <w:t>Το Σύστημα Διαχείρισης και Ελέγχου που είναι ένα σύνολο διοικητικών αρχών που βρίσκονται σε αλληλεξάρτηση, διαρθρωμένων με συγκεκριμένη οργανωτική δομή, αναπτύσσει επί μέρους δραστηριότητες με αντικειμενικό σκοπό τη χρηστή δημοσιονομική διαχείριση των πόρων (οικονομία αποτελεσματικότητα,</w:t>
      </w:r>
      <w:r>
        <w:rPr>
          <w:spacing w:val="-12"/>
        </w:rPr>
        <w:t> </w:t>
      </w:r>
      <w:r>
        <w:rPr/>
        <w:t>αποδοτικότητα).</w:t>
      </w:r>
    </w:p>
    <w:p>
      <w:pPr>
        <w:pStyle w:val="BodyText"/>
        <w:spacing w:line="276" w:lineRule="auto" w:before="120"/>
        <w:ind w:left="100" w:right="115"/>
        <w:jc w:val="both"/>
      </w:pPr>
      <w:r>
        <w:rPr/>
        <w:t>Η ΕΥΔ ΕΠ Θεσσαλίας στο πλαίσιο της υποχρέωσής της για τη διασφάλιση της τήρησης της χρηστής δημοσιονομικής διαχείρισης των πόρων του προγράμματος και της ασκούμενης από αυτή εποπτείας σε εκχωρηθείσες πράξεις κρατικών ενισχύσεων αλλά και η Διεύθυνση Αναπτυξιακού Προγραμματισμού Περιφέρειας Θεσσαλίας στο πλαίσιο της σχετικής πράξης εκχώρησης αρμοδιοτήτων αναλαμβάνουν όλες τις ενέργειες, οι οποίες απαιτούνται για την παρακολούθηση της τήρησης των υποχρεώσεων των δικαιούχων επί τριετία από τη τελική πληρωμή της δημόσιας δαπάνης. Η Διεύθυνση Αναπτυξιακού Προγραμματισμού Περιφέρειας Θεσσαλίας ενημερώνει σχετικά την ΕΥΔ ΕΠ Θεσσαλίας. Η Διεύθυνση Αναπτυξιακού Προγραμματισμού Περιφέρειας Θεσσαλίας διατηρεί λεπτομερείς φακέλους με όλες τις πληροφορίες και τα δικαιολογητικά έγγραφα που απαιτούνται, οι οποίοι φυλάσσονται επί 10 έτη από την ημερομηνία ολοκλήρωσης των πράξεων</w:t>
      </w:r>
    </w:p>
    <w:p>
      <w:pPr>
        <w:pStyle w:val="BodyText"/>
        <w:spacing w:line="276" w:lineRule="auto" w:before="120"/>
        <w:ind w:left="100" w:right="121"/>
        <w:jc w:val="both"/>
      </w:pPr>
      <w:r>
        <w:rPr/>
        <w:t>Η παρακολούθηση της τήρησης των ανωτέρω και λοιπών δεσμεύσεων των δικαιούχων των ενισχύσεων γίνεται με διοικητική επαλήθευση επί τη βάσει δείγματος που επιτρέπει την ασφαλή εξαγωγή συμπερασμάτων αναφορικά με τη τήρηση των μακροχρόνιων υποχρεώσεων των δικαιούχων και με βάση  τα υποβληθέντα από το δικαιούχο δικαιολογητικά που επιτρέπουν την επαλήθευση της τήρησης των μακροχρόνιων υποχρεώσεων των ή βάσει διασταύρωσης στοιχείων βάσεων</w:t>
      </w:r>
      <w:r>
        <w:rPr>
          <w:spacing w:val="-12"/>
        </w:rPr>
        <w:t> </w:t>
      </w:r>
      <w:r>
        <w:rPr/>
        <w:t>δεδομένων.</w:t>
      </w:r>
    </w:p>
    <w:p>
      <w:pPr>
        <w:pStyle w:val="BodyText"/>
        <w:spacing w:line="276" w:lineRule="auto" w:before="118"/>
        <w:ind w:left="100" w:right="116"/>
        <w:jc w:val="both"/>
      </w:pPr>
      <w:r>
        <w:rPr/>
        <w:t>Επίσης, δυνατή η διενέργεια και επιτόπιων επαληθεύσεων εκ μέρους της Διεύθυνσης Αναπτυξιακού Προγραμματισμού Περιφέρειας Θεσσαλίας και της ΕΥΔ ΕΠ Θεσσαλίας. Η συχνότητα και το πεδίο κάλυψης των επιτόπιων επαληθεύσεων είναι οπωσδήποτε ανάλογα προς το ποσό της δημόσιας στήριξης στην πράξη και προς το επίπεδο κινδύνου που εντοπίζεται κατά τις εν λόγω επαληθεύσεις και λαμβάνοντας υπ΄ όψιν τα αποτελέσματα, συμπεράσματα, συστάσεις και τους λογιστικούς ελέγχους που διενεργεί η αρχή ελέγχου για το σύστημα διαχείρισης και ελέγχου συνολικά.</w:t>
      </w:r>
    </w:p>
    <w:p>
      <w:pPr>
        <w:pStyle w:val="BodyText"/>
        <w:spacing w:line="276" w:lineRule="auto" w:before="118"/>
        <w:ind w:left="100" w:right="115"/>
        <w:jc w:val="both"/>
      </w:pPr>
      <w:r>
        <w:rPr/>
        <w:t>Δειγματοληπτικά είναι δυνατόν να γίνει επιτόπια επαλήθευση πέραν της Διεύθυνσης Αναπτυξιακού Προγραμματισμού Περιφέρειας Θεσσαλίας και της ΕΥΔ ΕΠ Θεσσαλίας και από άλλα όργανα του Ελληνικού Δημοσίου ή της Ευρωπαϊκής Ένωσης. Ειδικότερα, η ΕΥΔ ΕΠ Θεσσαλίας έχει το δικαίωμα διενέργειας όχι μόνο δειγματοληπτικών αλλά και στοχευμένων επανελέγχων μετά την ολοκλήρωση εκάστου έργου.</w:t>
      </w:r>
    </w:p>
    <w:p>
      <w:pPr>
        <w:pStyle w:val="BodyText"/>
        <w:spacing w:line="276" w:lineRule="auto" w:before="120"/>
        <w:ind w:left="100" w:right="124"/>
        <w:jc w:val="both"/>
      </w:pPr>
      <w:r>
        <w:rPr/>
        <w:t>Για τη διοικητική επαλήθευση ο δικαιούχος υποχρεούται να υποβάλλει τα δικαιολογητικά, τα οποία θα ζητηθούν εγγράφως.</w:t>
      </w:r>
    </w:p>
    <w:p>
      <w:pPr>
        <w:spacing w:after="0" w:line="276" w:lineRule="auto"/>
        <w:jc w:val="both"/>
        <w:sectPr>
          <w:pgSz w:w="11910" w:h="16840"/>
          <w:pgMar w:header="748" w:footer="734" w:top="1420" w:bottom="920" w:left="980" w:right="960"/>
        </w:sectPr>
      </w:pPr>
    </w:p>
    <w:p>
      <w:pPr>
        <w:pStyle w:val="BodyText"/>
        <w:spacing w:before="2"/>
        <w:rPr>
          <w:sz w:val="18"/>
        </w:rPr>
      </w:pPr>
    </w:p>
    <w:p>
      <w:pPr>
        <w:pStyle w:val="Heading2"/>
        <w:numPr>
          <w:ilvl w:val="0"/>
          <w:numId w:val="49"/>
        </w:numPr>
        <w:tabs>
          <w:tab w:pos="667" w:val="left" w:leader="none"/>
        </w:tabs>
        <w:spacing w:line="240" w:lineRule="auto" w:before="52" w:after="0"/>
        <w:ind w:left="666" w:right="0" w:hanging="566"/>
        <w:jc w:val="both"/>
      </w:pPr>
      <w:bookmarkStart w:name="_TOC_250003" w:id="53"/>
      <w:r>
        <w:rPr/>
        <w:t>ΕΙΔΙΚΕΣ ΡΥΘΜΙΣΕΙΣ ΚΑΝΟΝΙΣΜΟΥ</w:t>
      </w:r>
      <w:r>
        <w:rPr>
          <w:spacing w:val="-9"/>
        </w:rPr>
        <w:t> </w:t>
      </w:r>
      <w:bookmarkEnd w:id="53"/>
      <w:r>
        <w:rPr/>
        <w:t>2016/679</w:t>
      </w:r>
    </w:p>
    <w:p>
      <w:pPr>
        <w:pStyle w:val="BodyText"/>
        <w:spacing w:before="5"/>
        <w:rPr>
          <w:b/>
          <w:sz w:val="19"/>
        </w:rPr>
      </w:pPr>
    </w:p>
    <w:p>
      <w:pPr>
        <w:pStyle w:val="BodyText"/>
        <w:spacing w:line="276" w:lineRule="auto"/>
        <w:ind w:left="100" w:right="113"/>
        <w:jc w:val="both"/>
      </w:pPr>
      <w:r>
        <w:rPr/>
        <w:t>Ο Δικαιούχος με την ηλεκτρονική υποβολή της αίτησης χρηματοδότησης του στο Πληροφοριακό Σύστημα Κρατικών Ενισχύσεων (ΠΣΚΕ) μετά των απαιτούμενων δικαιολογητικών εγγράφων παρέχει στην ΕΥΔ Ε.Π. Περιφέρειας Θεσσαλίας (ΕΥΔ) και στην ΔΙΑΠ (ΕΦ) και τα νόμιμα εντεταλμένα όργανα αυτών τη ρητή συγκατάθεση του για την νόμιμη επεξεργασία κατ΄ άρθρο 6 του Κανονισμού 2016/679 των δεδομένων προσωπικού του χαρακτήρα τα οποία προβλέπονται στον οδηγό του Προγράμματος και αποδέχεται ότι τέτοια επεξεργασία είναι αναγκαία για την αξιολόγηση, ένταξη, παρακολούθηση και ολοκλήρωση της συγχρηματοδοτούμενης επενδυτικής πράξης του.</w:t>
      </w:r>
    </w:p>
    <w:p>
      <w:pPr>
        <w:pStyle w:val="BodyText"/>
        <w:spacing w:line="276" w:lineRule="auto"/>
        <w:ind w:left="100" w:right="113"/>
        <w:jc w:val="both"/>
      </w:pPr>
      <w:r>
        <w:rPr/>
        <w:t>Η νόμιμη επεξεργασία των δεδομένων προσωπικού χαρακτήρα από την ΕΥΔ Περιφέρειας Θεσσαλίας και  την ΔΙΑΠ και τα νομίμως εντεταλμένα όργανα αυτών αποσκοπεί στην εφαρμογή και τήρηση των κοινοτικών και εθνικών κανόνων οι οποίοι διέπουν την προγραμματική περίοδο 2014-2020 ΕΣΠΑ, διενεργείται για την εκπλήρωση καθήκοντος που εκτελείται προς το δημόσιο συμφέρον και την άσκηση δημόσιας εξουσίας και την αρχή της χρηστής δημοσιονομικής διαχείρισης, σύμφωνα τον Κανονισμό 1303/2013 και των εκτελεστικών τούτου κανονισμών νόμων και κανονιστικών πράξεων της ενωσιακής και εθνικής νομοθεσίας που διέπει την παρέμβαση των Διαρθρωτικών Ταμείων της Ένωσης σε συνδυασμό με την υπ΄αριθμ. με  αριθ. C(2014) 10183 final/18.12.2014 Απόφαση της Ε.Ε. για την έγκριση ορισμένων στοιχείων του επιχειρησιακού προγράμματος «Περιφερειακό Επιχειρησιακό Πρόγραμμα Θεσσαλίας 2014-2020» για στήριξη από το Ευρωπαϊκό Ταμείο Περιφερειακής Ανάπτυξης και το Ευρωπαϊκό Κοινωνικό Ταμείο στο πλαίσιο του στόχου «Επενδύσεις στην ανάπτυξη και την απασχόληση» για την Περιφέρεια Θεσσαλίας στην Ελλάδα (Κωδικός CCI 2014GR16M2OP003), όπως τροποποιείται και</w:t>
      </w:r>
      <w:r>
        <w:rPr>
          <w:spacing w:val="-16"/>
        </w:rPr>
        <w:t> </w:t>
      </w:r>
      <w:r>
        <w:rPr/>
        <w:t>ισχύει.</w:t>
      </w:r>
    </w:p>
    <w:p>
      <w:pPr>
        <w:pStyle w:val="BodyText"/>
        <w:spacing w:line="276" w:lineRule="auto" w:before="1"/>
        <w:ind w:left="100" w:right="115"/>
        <w:jc w:val="both"/>
      </w:pPr>
      <w:r>
        <w:rPr/>
        <w:t>Τα προσωπικά δεδομένα συλλέγονται στο ΠΣΚΕ κατόπιν της αίτησης χρηματοδότησης του δικαιούχου ο οποίος υπέχει αποκλειστική ευθύνη για την ορθότητα, πληρότητα και ακρίβεια τους. Περαιτέρω, ο Δικαιούχος συναινεί στην ανάρτηση στο διαδίκτυο στο «Πρόγραμμα Διαύγεια» των αποτελεσμάτων αξιολόγησης της αίτησης χρηματοδότησής του και των αποτελεσμάτων επί τυχόν ασκηθείσας ένστασής του (ενδικοφανούς προσφυγής) μετά της διαλαμβανόμενης πλήρους και εμπεριστατωμένης αιτιολογίας τους καθώς και οιασδήποτε άλλης διοικητικής πράξης προβλέπεται στην νομοθεσία που διέπει την παρέμβαση των Διαρθρωτικών Ταμείων και η οποία είναι απαραίτητη στα πλαίσια της αρχής της διαφάνειας και της νομιμότητας που διέπει τη δράση και την άσκηση των καθηκόντων διαχείρισης των ενωσιακών και εθνικών πόρων.</w:t>
      </w:r>
    </w:p>
    <w:p>
      <w:pPr>
        <w:pStyle w:val="BodyText"/>
        <w:spacing w:line="276" w:lineRule="auto"/>
        <w:ind w:left="100" w:right="114"/>
        <w:jc w:val="both"/>
      </w:pPr>
      <w:r>
        <w:rPr/>
        <w:t>Η χρονική διάρκεια τήρησης των υποβαλλόμενων εγγράφων στο ΠΣΚΕ καθορίζεται ρητά στο άρθρο 140 του Κανονισμού 1303/2013.</w:t>
      </w:r>
    </w:p>
    <w:p>
      <w:pPr>
        <w:pStyle w:val="BodyText"/>
      </w:pPr>
    </w:p>
    <w:p>
      <w:pPr>
        <w:pStyle w:val="BodyText"/>
      </w:pPr>
    </w:p>
    <w:p>
      <w:pPr>
        <w:pStyle w:val="BodyText"/>
        <w:spacing w:before="6"/>
        <w:rPr>
          <w:sz w:val="26"/>
        </w:rPr>
      </w:pPr>
    </w:p>
    <w:p>
      <w:pPr>
        <w:pStyle w:val="Heading2"/>
        <w:numPr>
          <w:ilvl w:val="0"/>
          <w:numId w:val="49"/>
        </w:numPr>
        <w:tabs>
          <w:tab w:pos="667" w:val="left" w:leader="none"/>
        </w:tabs>
        <w:spacing w:line="240" w:lineRule="auto" w:before="0" w:after="0"/>
        <w:ind w:left="666" w:right="0" w:hanging="566"/>
        <w:jc w:val="both"/>
      </w:pPr>
      <w:bookmarkStart w:name="_TOC_250002" w:id="54"/>
      <w:bookmarkEnd w:id="54"/>
      <w:r>
        <w:rPr/>
        <w:t>ΠΛΗΡΟΦΟΡΗΣΗ</w:t>
      </w:r>
    </w:p>
    <w:p>
      <w:pPr>
        <w:pStyle w:val="BodyText"/>
        <w:spacing w:before="5"/>
        <w:rPr>
          <w:b/>
          <w:sz w:val="19"/>
        </w:rPr>
      </w:pPr>
    </w:p>
    <w:p>
      <w:pPr>
        <w:pStyle w:val="ListParagraph"/>
        <w:numPr>
          <w:ilvl w:val="0"/>
          <w:numId w:val="51"/>
        </w:numPr>
        <w:tabs>
          <w:tab w:pos="465" w:val="left" w:leader="none"/>
        </w:tabs>
        <w:spacing w:line="276" w:lineRule="auto" w:before="0" w:after="0"/>
        <w:ind w:left="100" w:right="117" w:firstLine="0"/>
        <w:jc w:val="both"/>
        <w:rPr>
          <w:sz w:val="22"/>
        </w:rPr>
      </w:pPr>
      <w:r>
        <w:rPr>
          <w:sz w:val="22"/>
        </w:rPr>
        <w:t>Η ημερομηνία έναρξης και λήξης της ηλεκτρονικής υποβολής ορίζονται στην παρούσα Πρόσκληση υποβολής αιτήσεων χρηματοδότησης. Η ηλεκτρονική υποβολή θα γίνει στο Πληροφοριακό Σύστημα Κρατικών Ενισχύσεων (</w:t>
      </w:r>
      <w:hyperlink r:id="rId22">
        <w:r>
          <w:rPr>
            <w:color w:val="0462C1"/>
            <w:sz w:val="22"/>
            <w:u w:val="single" w:color="0462C1"/>
          </w:rPr>
          <w:t>www.ependyseis.gr/mis</w:t>
        </w:r>
        <w:r>
          <w:rPr>
            <w:color w:val="0462C1"/>
            <w:spacing w:val="-6"/>
            <w:sz w:val="22"/>
            <w:u w:val="single" w:color="0462C1"/>
          </w:rPr>
          <w:t> </w:t>
        </w:r>
      </w:hyperlink>
      <w:r>
        <w:rPr>
          <w:sz w:val="22"/>
        </w:rPr>
        <w:t>).</w:t>
      </w:r>
    </w:p>
    <w:p>
      <w:pPr>
        <w:pStyle w:val="BodyText"/>
        <w:spacing w:before="10"/>
        <w:rPr>
          <w:sz w:val="20"/>
        </w:rPr>
      </w:pPr>
    </w:p>
    <w:p>
      <w:pPr>
        <w:pStyle w:val="ListParagraph"/>
        <w:numPr>
          <w:ilvl w:val="0"/>
          <w:numId w:val="51"/>
        </w:numPr>
        <w:tabs>
          <w:tab w:pos="370" w:val="left" w:leader="none"/>
        </w:tabs>
        <w:spacing w:line="273" w:lineRule="auto" w:before="56" w:after="0"/>
        <w:ind w:left="100" w:right="113" w:firstLine="0"/>
        <w:jc w:val="left"/>
        <w:rPr>
          <w:sz w:val="22"/>
        </w:rPr>
      </w:pPr>
      <w:r>
        <w:rPr>
          <w:sz w:val="22"/>
        </w:rPr>
        <w:t>Η παρούσα Πρόσκληση θα αναρτηθεί στις ιστοσελίδες του Ε.Φ. ΔΙΑΠ </w:t>
      </w:r>
      <w:hyperlink r:id="rId9">
        <w:r>
          <w:rPr>
            <w:color w:val="0462C1"/>
            <w:sz w:val="22"/>
            <w:u w:val="single" w:color="0462C1"/>
          </w:rPr>
          <w:t>www.thessaly.gov.gr </w:t>
        </w:r>
      </w:hyperlink>
      <w:r>
        <w:rPr>
          <w:sz w:val="22"/>
        </w:rPr>
        <w:t>της ΕΥΔ ΕΠ ΠΘ </w:t>
      </w:r>
      <w:hyperlink r:id="rId10">
        <w:r>
          <w:rPr>
            <w:color w:val="0462C1"/>
            <w:sz w:val="22"/>
            <w:u w:val="single" w:color="0462C1"/>
          </w:rPr>
          <w:t>www.thessalia-espa.gr  </w:t>
        </w:r>
      </w:hyperlink>
      <w:r>
        <w:rPr>
          <w:sz w:val="22"/>
        </w:rPr>
        <w:t>και  του ΕΣΠΑ </w:t>
      </w:r>
      <w:hyperlink r:id="rId11">
        <w:r>
          <w:rPr>
            <w:color w:val="0462C1"/>
            <w:sz w:val="22"/>
            <w:u w:val="single" w:color="0462C1"/>
          </w:rPr>
          <w:t>www.espa.gr</w:t>
        </w:r>
        <w:r>
          <w:rPr>
            <w:color w:val="0462C1"/>
            <w:spacing w:val="35"/>
            <w:sz w:val="22"/>
            <w:u w:val="single" w:color="0462C1"/>
          </w:rPr>
          <w:t> </w:t>
        </w:r>
      </w:hyperlink>
      <w:r>
        <w:rPr>
          <w:sz w:val="22"/>
        </w:rPr>
        <w:t>.</w:t>
      </w:r>
    </w:p>
    <w:p>
      <w:pPr>
        <w:spacing w:after="0" w:line="273" w:lineRule="auto"/>
        <w:jc w:val="left"/>
        <w:rPr>
          <w:sz w:val="22"/>
        </w:rPr>
        <w:sectPr>
          <w:pgSz w:w="11910" w:h="16840"/>
          <w:pgMar w:header="748" w:footer="734" w:top="1420" w:bottom="920" w:left="980" w:right="960"/>
        </w:sectPr>
      </w:pPr>
    </w:p>
    <w:p>
      <w:pPr>
        <w:pStyle w:val="BodyText"/>
        <w:spacing w:before="7"/>
        <w:rPr>
          <w:sz w:val="17"/>
        </w:rPr>
      </w:pPr>
    </w:p>
    <w:p>
      <w:pPr>
        <w:pStyle w:val="ListParagraph"/>
        <w:numPr>
          <w:ilvl w:val="0"/>
          <w:numId w:val="51"/>
        </w:numPr>
        <w:tabs>
          <w:tab w:pos="576" w:val="left" w:leader="none"/>
        </w:tabs>
        <w:spacing w:line="276" w:lineRule="auto" w:before="57" w:after="4"/>
        <w:ind w:left="220" w:right="214" w:firstLine="0"/>
        <w:jc w:val="both"/>
        <w:rPr>
          <w:sz w:val="22"/>
        </w:rPr>
      </w:pPr>
      <w:r>
        <w:rPr>
          <w:sz w:val="22"/>
        </w:rPr>
        <w:t>Για περαιτέρω πληροφορίες οι ενδιαφερόμενοι μπορούν να απευθύνονται στη </w:t>
      </w:r>
      <w:r>
        <w:rPr>
          <w:b/>
          <w:sz w:val="22"/>
        </w:rPr>
        <w:t>Διεύθυνση Αναπτυξιακού Προγραμματισμού Περιφέρειας Θεσσαλίας</w:t>
      </w:r>
      <w:r>
        <w:rPr>
          <w:sz w:val="22"/>
        </w:rPr>
        <w:t>, Παπαναστασίου και Κουμουνδούρου – Διοικητήριο - Λάρισα, στο γραφείο ενημέρωσης, στα</w:t>
      </w:r>
      <w:r>
        <w:rPr>
          <w:spacing w:val="-10"/>
          <w:sz w:val="22"/>
        </w:rPr>
        <w:t> </w:t>
      </w:r>
      <w:r>
        <w:rPr>
          <w:sz w:val="22"/>
        </w:rPr>
        <w:t>τηλέφωνα:</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0"/>
        <w:gridCol w:w="3322"/>
        <w:gridCol w:w="3322"/>
      </w:tblGrid>
      <w:tr>
        <w:trPr>
          <w:trHeight w:val="319" w:hRule="exact"/>
        </w:trPr>
        <w:tc>
          <w:tcPr>
            <w:tcW w:w="3320" w:type="dxa"/>
          </w:tcPr>
          <w:p>
            <w:pPr>
              <w:pStyle w:val="TableParagraph"/>
              <w:spacing w:line="265" w:lineRule="exact"/>
              <w:ind w:left="103"/>
              <w:rPr>
                <w:sz w:val="22"/>
              </w:rPr>
            </w:pPr>
            <w:r>
              <w:rPr>
                <w:sz w:val="22"/>
              </w:rPr>
              <w:t>2413-506.327</w:t>
            </w:r>
          </w:p>
        </w:tc>
        <w:tc>
          <w:tcPr>
            <w:tcW w:w="3322" w:type="dxa"/>
          </w:tcPr>
          <w:p>
            <w:pPr>
              <w:pStyle w:val="TableParagraph"/>
              <w:spacing w:line="265" w:lineRule="exact"/>
              <w:ind w:left="103"/>
              <w:rPr>
                <w:sz w:val="22"/>
              </w:rPr>
            </w:pPr>
            <w:r>
              <w:rPr>
                <w:sz w:val="22"/>
              </w:rPr>
              <w:t>2413-506.303</w:t>
            </w:r>
          </w:p>
        </w:tc>
        <w:tc>
          <w:tcPr>
            <w:tcW w:w="3322" w:type="dxa"/>
          </w:tcPr>
          <w:p>
            <w:pPr>
              <w:pStyle w:val="TableParagraph"/>
              <w:spacing w:line="265" w:lineRule="exact"/>
              <w:ind w:left="103"/>
              <w:rPr>
                <w:sz w:val="22"/>
              </w:rPr>
            </w:pPr>
            <w:r>
              <w:rPr>
                <w:sz w:val="22"/>
              </w:rPr>
              <w:t>2413-506.304</w:t>
            </w:r>
          </w:p>
        </w:tc>
      </w:tr>
      <w:tr>
        <w:trPr>
          <w:trHeight w:val="319" w:hRule="exact"/>
        </w:trPr>
        <w:tc>
          <w:tcPr>
            <w:tcW w:w="3320" w:type="dxa"/>
          </w:tcPr>
          <w:p>
            <w:pPr>
              <w:pStyle w:val="TableParagraph"/>
              <w:spacing w:line="265" w:lineRule="exact"/>
              <w:ind w:left="103"/>
              <w:rPr>
                <w:sz w:val="22"/>
              </w:rPr>
            </w:pPr>
            <w:r>
              <w:rPr>
                <w:sz w:val="22"/>
              </w:rPr>
              <w:t>2413-506.325</w:t>
            </w:r>
          </w:p>
        </w:tc>
        <w:tc>
          <w:tcPr>
            <w:tcW w:w="3322" w:type="dxa"/>
          </w:tcPr>
          <w:p>
            <w:pPr>
              <w:pStyle w:val="TableParagraph"/>
              <w:spacing w:line="265" w:lineRule="exact"/>
              <w:ind w:left="103"/>
              <w:rPr>
                <w:sz w:val="22"/>
              </w:rPr>
            </w:pPr>
            <w:r>
              <w:rPr>
                <w:sz w:val="22"/>
              </w:rPr>
              <w:t>2413-506.326</w:t>
            </w:r>
          </w:p>
        </w:tc>
        <w:tc>
          <w:tcPr>
            <w:tcW w:w="3322" w:type="dxa"/>
          </w:tcPr>
          <w:p>
            <w:pPr>
              <w:pStyle w:val="TableParagraph"/>
              <w:spacing w:line="265" w:lineRule="exact"/>
              <w:ind w:left="103"/>
              <w:rPr>
                <w:sz w:val="22"/>
              </w:rPr>
            </w:pPr>
            <w:r>
              <w:rPr>
                <w:sz w:val="22"/>
              </w:rPr>
              <w:t>24310-46.137</w:t>
            </w:r>
          </w:p>
        </w:tc>
      </w:tr>
      <w:tr>
        <w:trPr>
          <w:trHeight w:val="319" w:hRule="exact"/>
        </w:trPr>
        <w:tc>
          <w:tcPr>
            <w:tcW w:w="3320" w:type="dxa"/>
          </w:tcPr>
          <w:p>
            <w:pPr>
              <w:pStyle w:val="TableParagraph"/>
              <w:spacing w:line="265" w:lineRule="exact"/>
              <w:ind w:left="103"/>
              <w:rPr>
                <w:sz w:val="22"/>
              </w:rPr>
            </w:pPr>
            <w:r>
              <w:rPr>
                <w:sz w:val="22"/>
              </w:rPr>
              <w:t>24413-54.920</w:t>
            </w:r>
          </w:p>
        </w:tc>
        <w:tc>
          <w:tcPr>
            <w:tcW w:w="3322" w:type="dxa"/>
          </w:tcPr>
          <w:p>
            <w:pPr>
              <w:pStyle w:val="TableParagraph"/>
              <w:spacing w:line="265" w:lineRule="exact"/>
              <w:ind w:left="103"/>
              <w:rPr>
                <w:sz w:val="22"/>
              </w:rPr>
            </w:pPr>
            <w:r>
              <w:rPr>
                <w:sz w:val="22"/>
              </w:rPr>
              <w:t>24213-52.484</w:t>
            </w:r>
          </w:p>
        </w:tc>
        <w:tc>
          <w:tcPr>
            <w:tcW w:w="3322" w:type="dxa"/>
          </w:tcPr>
          <w:p>
            <w:pPr>
              <w:pStyle w:val="TableParagraph"/>
              <w:spacing w:line="265" w:lineRule="exact"/>
              <w:ind w:left="103"/>
              <w:rPr>
                <w:sz w:val="22"/>
              </w:rPr>
            </w:pPr>
            <w:r>
              <w:rPr>
                <w:sz w:val="22"/>
              </w:rPr>
              <w:t>24213-52.473</w:t>
            </w:r>
          </w:p>
        </w:tc>
      </w:tr>
    </w:tbl>
    <w:p>
      <w:pPr>
        <w:pStyle w:val="BodyText"/>
        <w:spacing w:line="265" w:lineRule="exact"/>
        <w:ind w:left="220"/>
      </w:pPr>
      <w:r>
        <w:rPr/>
        <w:t>στο e-mail: </w:t>
      </w:r>
      <w:hyperlink r:id="rId12">
        <w:r>
          <w:rPr>
            <w:color w:val="0462C1"/>
            <w:u w:val="single" w:color="0462C1"/>
          </w:rPr>
          <w:t>diapefd@thessaly.gov.gr</w:t>
        </w:r>
      </w:hyperlink>
    </w:p>
    <w:p>
      <w:pPr>
        <w:pStyle w:val="BodyText"/>
        <w:spacing w:before="7"/>
        <w:rPr>
          <w:sz w:val="20"/>
        </w:rPr>
      </w:pPr>
    </w:p>
    <w:p>
      <w:pPr>
        <w:pStyle w:val="BodyText"/>
        <w:spacing w:before="56"/>
        <w:ind w:left="220"/>
      </w:pPr>
      <w:r>
        <w:rPr/>
        <w:t>στο URL: </w:t>
      </w:r>
      <w:hyperlink r:id="rId9">
        <w:r>
          <w:rPr>
            <w:color w:val="0462C1"/>
            <w:u w:val="single" w:color="0462C1"/>
          </w:rPr>
          <w:t>www.thessaly.gov.gr</w:t>
        </w:r>
      </w:hyperlink>
    </w:p>
    <w:p>
      <w:pPr>
        <w:pStyle w:val="BodyText"/>
        <w:spacing w:before="2"/>
        <w:rPr>
          <w:sz w:val="24"/>
        </w:rPr>
      </w:pPr>
    </w:p>
    <w:p>
      <w:pPr>
        <w:pStyle w:val="ListParagraph"/>
        <w:numPr>
          <w:ilvl w:val="0"/>
          <w:numId w:val="51"/>
        </w:numPr>
        <w:tabs>
          <w:tab w:pos="478" w:val="left" w:leader="none"/>
        </w:tabs>
        <w:spacing w:line="273" w:lineRule="auto" w:before="56" w:after="0"/>
        <w:ind w:left="220" w:right="215" w:firstLine="0"/>
        <w:jc w:val="left"/>
        <w:rPr>
          <w:sz w:val="22"/>
        </w:rPr>
      </w:pPr>
      <w:r>
        <w:rPr>
          <w:sz w:val="22"/>
        </w:rPr>
        <w:t>Για τεχνικά θέματα της εφαρμογής οι δικαιούχοι μπορούν να απευθύνονται στο HELPDESK (γραφείο υποστήριξης) που λειτουργεί η ΜΟΔ, τηλ: 210-7787940, </w:t>
      </w:r>
      <w:hyperlink r:id="rId13">
        <w:r>
          <w:rPr>
            <w:color w:val="0462C1"/>
            <w:sz w:val="22"/>
            <w:u w:val="single" w:color="0462C1"/>
          </w:rPr>
          <w:t>support@mou.gr </w:t>
        </w:r>
      </w:hyperlink>
      <w:r>
        <w:rPr>
          <w:sz w:val="22"/>
        </w:rPr>
        <w:t>(ώρες γραφείου</w:t>
      </w:r>
      <w:r>
        <w:rPr>
          <w:spacing w:val="-27"/>
          <w:sz w:val="22"/>
        </w:rPr>
        <w:t> </w:t>
      </w:r>
      <w:r>
        <w:rPr>
          <w:sz w:val="22"/>
        </w:rPr>
        <w:t>09:00-17:00).</w:t>
      </w:r>
    </w:p>
    <w:p>
      <w:pPr>
        <w:pStyle w:val="BodyText"/>
        <w:rPr>
          <w:sz w:val="20"/>
        </w:rPr>
      </w:pPr>
    </w:p>
    <w:p>
      <w:pPr>
        <w:pStyle w:val="BodyText"/>
        <w:spacing w:before="3"/>
        <w:rPr>
          <w:sz w:val="21"/>
        </w:rPr>
      </w:pPr>
    </w:p>
    <w:p>
      <w:pPr>
        <w:pStyle w:val="Heading2"/>
        <w:numPr>
          <w:ilvl w:val="0"/>
          <w:numId w:val="52"/>
        </w:numPr>
        <w:tabs>
          <w:tab w:pos="787" w:val="left" w:leader="none"/>
        </w:tabs>
        <w:spacing w:line="240" w:lineRule="auto" w:before="52" w:after="0"/>
        <w:ind w:left="786" w:right="0" w:hanging="566"/>
        <w:jc w:val="both"/>
      </w:pPr>
      <w:bookmarkStart w:name="_TOC_250001" w:id="55"/>
      <w:r>
        <w:rPr/>
        <w:t>ΠΑΡΑΤΥΠΙΕΣ – ΔΙΑΚΟΠΗ ΕΝΙΣΧΥΣΗΣ –</w:t>
      </w:r>
      <w:r>
        <w:rPr>
          <w:spacing w:val="-12"/>
        </w:rPr>
        <w:t> </w:t>
      </w:r>
      <w:bookmarkEnd w:id="55"/>
      <w:r>
        <w:rPr/>
        <w:t>ΑΝΑΚΤΗΣΗ</w:t>
      </w:r>
    </w:p>
    <w:p>
      <w:pPr>
        <w:pStyle w:val="BodyText"/>
        <w:spacing w:before="5"/>
        <w:rPr>
          <w:b/>
          <w:sz w:val="19"/>
        </w:rPr>
      </w:pPr>
    </w:p>
    <w:p>
      <w:pPr>
        <w:pStyle w:val="BodyText"/>
        <w:spacing w:line="276" w:lineRule="auto"/>
        <w:ind w:left="220" w:right="217"/>
        <w:jc w:val="both"/>
      </w:pPr>
      <w:r>
        <w:rPr/>
        <w:t>Σε ό,τι αφορά σε παρατυπίες, διακοπή της ενίσχυσης καθώς και σε ανάκτηση αχρεωστήτως ή παρανόμως καταβληθέντων ποσών ισχύουν τα όσα αναφέρονται στο Άρθρο 22 του Ν. 4314/2014 (Α 265) ως ισχύει και στην υπ. αριθμ. 126829/EΥΘΥ 1217/08.12.2015 (Β2784) Κοινή Απόφαση των Υπουργών Οικονομίας, Ανάπτυξης και Τουρισμού και Οικονομικών «Σύστημα δημοσιονομικών διορθώσεων και διαδικασίες ανάκτησης αχρεωστήτως ή παρανόμως καταβληθέντων ποσών από πόρους του κρατικού προϋπολογισμού για την υλοποίηση προγραμμάτων συγχρηματοδοτούμενων στο πλαίσιο του ΕΣΠΑ 2014−2020, σύμφωνα με το αρ. 22 του Ν. 4314/2014»</w:t>
      </w:r>
    </w:p>
    <w:p>
      <w:pPr>
        <w:pStyle w:val="BodyText"/>
        <w:tabs>
          <w:tab w:pos="1760" w:val="left" w:leader="none"/>
          <w:tab w:pos="2619" w:val="left" w:leader="none"/>
          <w:tab w:pos="3631" w:val="left" w:leader="none"/>
          <w:tab w:pos="5483" w:val="left" w:leader="none"/>
          <w:tab w:pos="6309" w:val="left" w:leader="none"/>
          <w:tab w:pos="8104" w:val="left" w:leader="none"/>
          <w:tab w:pos="9064" w:val="left" w:leader="none"/>
        </w:tabs>
        <w:spacing w:line="276" w:lineRule="auto" w:before="120"/>
        <w:ind w:left="220" w:right="216"/>
        <w:jc w:val="both"/>
      </w:pPr>
      <w:r>
        <w:rPr/>
        <w:t>Σημειώνεται ότι η Διεύθυνση Αναπτυξιακού Προγραμματισμού Περιφέρειας Θεσσαλίας και η ΕΥΔ ΕΠ Θεσσαλίας, στο πλαίσιο της Εθνικής και Ευρωπαϊκής Πολιτικής για την καταπολέμηση της απάτης στις διαρθρωτικές δράσεις θα διαβιβάζει στοιχεία που περιέχουν υπόνοια απάτης στις αρμόδιες αρχές. Λεπτομερής αναφορά για την «Καταπολέμηση της απάτης στις διαρθρωτικές δράσεις» υπάρχει στην ιστοσελίδα</w:t>
        <w:tab/>
        <w:t>του</w:t>
        <w:tab/>
        <w:t>ΕΣΠΑ</w:t>
        <w:tab/>
        <w:t>(www.espa.gr)</w:t>
        <w:tab/>
        <w:t>και</w:t>
        <w:tab/>
        <w:t>συγκεκριμένα</w:t>
        <w:tab/>
        <w:t>στον</w:t>
        <w:tab/>
      </w:r>
      <w:r>
        <w:rPr>
          <w:spacing w:val="-1"/>
        </w:rPr>
        <w:t>σύνδεσμο </w:t>
      </w:r>
      <w:hyperlink r:id="rId34">
        <w:r>
          <w:rPr>
            <w:color w:val="0462C1"/>
            <w:u w:val="single" w:color="0462C1"/>
          </w:rPr>
          <w:t>https://www.espa.gr/el/Pages/staticAntiFraudPolicy.aspx</w:t>
        </w:r>
        <w:r>
          <w:rPr/>
          <w:t>.</w:t>
        </w:r>
      </w:hyperlink>
    </w:p>
    <w:p>
      <w:pPr>
        <w:spacing w:after="0" w:line="276" w:lineRule="auto"/>
        <w:jc w:val="both"/>
        <w:sectPr>
          <w:footerReference w:type="default" r:id="rId33"/>
          <w:pgSz w:w="11910" w:h="16840"/>
          <w:pgMar w:footer="734" w:header="748" w:top="1420" w:bottom="920" w:left="860" w:right="860"/>
        </w:sectPr>
      </w:pPr>
    </w:p>
    <w:p>
      <w:pPr>
        <w:pStyle w:val="BodyText"/>
        <w:spacing w:before="2"/>
        <w:rPr>
          <w:sz w:val="18"/>
        </w:rPr>
      </w:pPr>
    </w:p>
    <w:p>
      <w:pPr>
        <w:pStyle w:val="Heading2"/>
        <w:numPr>
          <w:ilvl w:val="0"/>
          <w:numId w:val="52"/>
        </w:numPr>
        <w:tabs>
          <w:tab w:pos="666" w:val="left" w:leader="none"/>
          <w:tab w:pos="667" w:val="left" w:leader="none"/>
        </w:tabs>
        <w:spacing w:line="240" w:lineRule="auto" w:before="52" w:after="0"/>
        <w:ind w:left="666" w:right="0" w:hanging="566"/>
        <w:jc w:val="left"/>
      </w:pPr>
      <w:bookmarkStart w:name="_TOC_250000" w:id="56"/>
      <w:r>
        <w:rPr/>
        <w:t>ΚΑΤΑΛΟΓΟΣ</w:t>
      </w:r>
      <w:r>
        <w:rPr>
          <w:spacing w:val="-10"/>
        </w:rPr>
        <w:t> </w:t>
      </w:r>
      <w:bookmarkEnd w:id="56"/>
      <w:r>
        <w:rPr/>
        <w:t>ΠΑΡΑΡΤΗΜΑΤΩΝ</w:t>
      </w:r>
    </w:p>
    <w:p>
      <w:pPr>
        <w:pStyle w:val="BodyText"/>
        <w:spacing w:before="5"/>
        <w:rPr>
          <w:b/>
          <w:sz w:val="19"/>
        </w:rPr>
      </w:pPr>
    </w:p>
    <w:p>
      <w:pPr>
        <w:pStyle w:val="BodyText"/>
        <w:ind w:left="100"/>
      </w:pPr>
      <w:r>
        <w:rPr/>
        <w:t>Αναπόσπαστο τμήμα της παρούσας Πρόσκλησης αποτελούν τα Παραρτήματα I – XΙΙΙ.</w:t>
      </w:r>
    </w:p>
    <w:p>
      <w:pPr>
        <w:pStyle w:val="BodyText"/>
        <w:tabs>
          <w:tab w:pos="2260" w:val="left" w:leader="none"/>
        </w:tabs>
        <w:spacing w:line="276" w:lineRule="auto" w:before="161"/>
        <w:ind w:left="2260" w:right="112" w:hanging="2161"/>
        <w:jc w:val="both"/>
      </w:pPr>
      <w:r>
        <w:rPr>
          <w:b/>
        </w:rPr>
        <w:t>ΠΑΡΑΡΤΗΜΑ Ι.1:</w:t>
        <w:tab/>
      </w:r>
      <w:r>
        <w:rPr/>
        <w:t>ΕΝΤΥΠΟ ΥΠΟΒΟΛΗΣ ΑΙΤΗΣΗΣ ΧΡΗΜΑΤΟΔΟΤΗΣΗΣ ΜΕΡΟΣ 1 (ΠΡΟΚΥΠΤΕΙ   </w:t>
      </w:r>
      <w:r>
        <w:rPr>
          <w:spacing w:val="32"/>
        </w:rPr>
        <w:t> </w:t>
      </w:r>
      <w:r>
        <w:rPr/>
        <w:t>ΑΠΟ</w:t>
      </w:r>
      <w:r>
        <w:rPr>
          <w:spacing w:val="23"/>
        </w:rPr>
        <w:t> </w:t>
      </w:r>
      <w:r>
        <w:rPr/>
        <w:t>ΤΗΝ</w:t>
      </w:r>
      <w:r>
        <w:rPr>
          <w:w w:val="100"/>
        </w:rPr>
        <w:t> </w:t>
      </w:r>
      <w:r>
        <w:rPr/>
        <w:t>ΗΛΕΚΤΡΟΝΙΚΗ ΚΑΤΑΧΩΡΗΣΗ ΣΤΟ ΠΣΚΕ ΤΩΝ ΣΧΕΤΙΚΩΝ ΠΕΔΙΩΝ ΑΠΟ ΤΟΝ ΔΥΝΗΤΙΚΟ ΔΙΚΑΙΟΥΧΟ)</w:t>
      </w:r>
    </w:p>
    <w:p>
      <w:pPr>
        <w:pStyle w:val="BodyText"/>
        <w:tabs>
          <w:tab w:pos="2260" w:val="left" w:leader="none"/>
        </w:tabs>
        <w:spacing w:line="276" w:lineRule="auto" w:before="120"/>
        <w:ind w:left="2260" w:right="113" w:hanging="2161"/>
        <w:jc w:val="both"/>
      </w:pPr>
      <w:r>
        <w:rPr>
          <w:b/>
        </w:rPr>
        <w:t>ΠΑΡΑΡΤΗΜΑ Ι.2:</w:t>
        <w:tab/>
      </w:r>
      <w:r>
        <w:rPr/>
        <w:t>ΕΝΤΥΠΟ ΥΠΟΒΟΛΗΣ ΑΙΤΗΣΗΣ ΧΡΗΜΑΤΟΔΟΤΗΣΗΣ ΜΕΡΟΣ 2 (ΥΠΟΒΑΛΛΕΤΑΙ   </w:t>
      </w:r>
      <w:r>
        <w:rPr>
          <w:spacing w:val="7"/>
        </w:rPr>
        <w:t> </w:t>
      </w:r>
      <w:r>
        <w:rPr/>
        <w:t>ΣΕ</w:t>
      </w:r>
      <w:r>
        <w:rPr>
          <w:spacing w:val="20"/>
        </w:rPr>
        <w:t> </w:t>
      </w:r>
      <w:r>
        <w:rPr/>
        <w:t>PDF</w:t>
      </w:r>
      <w:r>
        <w:rPr>
          <w:w w:val="100"/>
        </w:rPr>
        <w:t> </w:t>
      </w:r>
      <w:r>
        <w:rPr/>
        <w:t>ΑΡΧΕΙΟ ΣΥΝ/ΝΟ ΣΤΗΝ ΗΛΕΚΤΡΟΝΙΚΗ ΥΠΟΒΟΛΗ ΣΤΟ ΠΛΗΡΟΦΟΡΙΑΚΟ ΣΥΣΤΗΜΑ ΚΡΑΤΙΚΩΝ</w:t>
      </w:r>
      <w:r>
        <w:rPr>
          <w:spacing w:val="-4"/>
        </w:rPr>
        <w:t> </w:t>
      </w:r>
      <w:r>
        <w:rPr/>
        <w:t>ΕΝΙΣΧΥΣΕΩΝ)</w:t>
      </w:r>
    </w:p>
    <w:p>
      <w:pPr>
        <w:tabs>
          <w:tab w:pos="2260" w:val="left" w:leader="none"/>
        </w:tabs>
        <w:spacing w:before="121"/>
        <w:ind w:left="100" w:right="0" w:firstLine="0"/>
        <w:jc w:val="left"/>
        <w:rPr>
          <w:sz w:val="22"/>
        </w:rPr>
      </w:pPr>
      <w:r>
        <w:rPr>
          <w:b/>
          <w:sz w:val="22"/>
        </w:rPr>
        <w:t>ΠΑΡΑΡΤΗΜΑ</w:t>
      </w:r>
      <w:r>
        <w:rPr>
          <w:b/>
          <w:spacing w:val="-1"/>
          <w:sz w:val="22"/>
        </w:rPr>
        <w:t> </w:t>
      </w:r>
      <w:r>
        <w:rPr>
          <w:b/>
          <w:sz w:val="22"/>
        </w:rPr>
        <w:t>II:</w:t>
        <w:tab/>
      </w:r>
      <w:r>
        <w:rPr>
          <w:sz w:val="22"/>
        </w:rPr>
        <w:t>ΔΗΜΟΣΙΟΝΟΜΙΚΕΣ</w:t>
      </w:r>
      <w:r>
        <w:rPr>
          <w:spacing w:val="-3"/>
          <w:sz w:val="22"/>
        </w:rPr>
        <w:t> </w:t>
      </w:r>
      <w:r>
        <w:rPr>
          <w:sz w:val="22"/>
        </w:rPr>
        <w:t>ΔΙΟΡΘΩΣΕΙΣ</w:t>
      </w:r>
    </w:p>
    <w:p>
      <w:pPr>
        <w:pStyle w:val="BodyText"/>
        <w:tabs>
          <w:tab w:pos="2260" w:val="left" w:leader="none"/>
        </w:tabs>
        <w:spacing w:before="161"/>
        <w:ind w:left="100"/>
      </w:pPr>
      <w:r>
        <w:rPr>
          <w:b/>
        </w:rPr>
        <w:t>ΠΑΡΑΡΤΗΜΑ</w:t>
      </w:r>
      <w:r>
        <w:rPr>
          <w:b/>
          <w:spacing w:val="-1"/>
        </w:rPr>
        <w:t> </w:t>
      </w:r>
      <w:r>
        <w:rPr>
          <w:b/>
        </w:rPr>
        <w:t>ΙΙΙ:</w:t>
        <w:tab/>
      </w:r>
      <w:r>
        <w:rPr/>
        <w:t>ΠΡΟΫΠΟΘΕΣΕΙΣ ΕΠΙΛΕΞΙΜΟΤΗΤΑΣ ΔΑΠΑΝΩΝ – ΑΠΑΡΑΙΤΗΤΑ</w:t>
      </w:r>
      <w:r>
        <w:rPr>
          <w:spacing w:val="-7"/>
        </w:rPr>
        <w:t> </w:t>
      </w:r>
      <w:r>
        <w:rPr/>
        <w:t>ΠΑΡΑΣΤΑΤΙΚΑ</w:t>
      </w:r>
    </w:p>
    <w:p>
      <w:pPr>
        <w:tabs>
          <w:tab w:pos="2260" w:val="left" w:leader="none"/>
        </w:tabs>
        <w:spacing w:before="158"/>
        <w:ind w:left="100" w:right="0" w:firstLine="0"/>
        <w:jc w:val="left"/>
        <w:rPr>
          <w:sz w:val="22"/>
        </w:rPr>
      </w:pPr>
      <w:r>
        <w:rPr>
          <w:b/>
          <w:sz w:val="22"/>
        </w:rPr>
        <w:t>ΠΑΡΑΡΤΗΜΑ IV:</w:t>
        <w:tab/>
      </w:r>
      <w:r>
        <w:rPr>
          <w:sz w:val="22"/>
        </w:rPr>
        <w:t>ΟΡΙΣΜΟΣ ΜΜΕ</w:t>
      </w:r>
    </w:p>
    <w:p>
      <w:pPr>
        <w:pStyle w:val="BodyText"/>
        <w:tabs>
          <w:tab w:pos="2260" w:val="left" w:leader="none"/>
        </w:tabs>
        <w:spacing w:line="276" w:lineRule="auto" w:before="161"/>
        <w:ind w:left="2260" w:right="115" w:hanging="2161"/>
      </w:pPr>
      <w:r>
        <w:rPr>
          <w:b/>
        </w:rPr>
        <w:t>ΠΑΡΑΡΤΗΜΑ V:</w:t>
        <w:tab/>
      </w:r>
      <w:r>
        <w:rPr/>
        <w:t>ΥΠΟΔΕΙΓΜΑ  ΔΗΛΩΣΗΣ  ΣΧΕΤΙΚΑ  ΜΕ  ΤΑ  ΣΤΟΙΧΕΙΑ  ΠΟΥ  ΑΦΟΡΟΥΝ  </w:t>
      </w:r>
      <w:r>
        <w:rPr>
          <w:spacing w:val="15"/>
        </w:rPr>
        <w:t> </w:t>
      </w:r>
      <w:r>
        <w:rPr/>
        <w:t>ΤΗΝ </w:t>
      </w:r>
      <w:r>
        <w:rPr>
          <w:spacing w:val="6"/>
        </w:rPr>
        <w:t> </w:t>
      </w:r>
      <w:r>
        <w:rPr/>
        <w:t>ΙΔΙΟΤΗΤΑ</w:t>
      </w:r>
      <w:r>
        <w:rPr>
          <w:w w:val="100"/>
        </w:rPr>
        <w:t> </w:t>
      </w:r>
      <w:r>
        <w:rPr/>
        <w:t>ΜΜΕ ΜΙΑΣ</w:t>
      </w:r>
      <w:r>
        <w:rPr>
          <w:spacing w:val="-6"/>
        </w:rPr>
        <w:t> </w:t>
      </w:r>
      <w:r>
        <w:rPr/>
        <w:t>ΕΠΙΧΕΙΡΗΣΗΣ</w:t>
      </w:r>
    </w:p>
    <w:p>
      <w:pPr>
        <w:tabs>
          <w:tab w:pos="2260" w:val="left" w:leader="none"/>
        </w:tabs>
        <w:spacing w:before="118"/>
        <w:ind w:left="100" w:right="0" w:firstLine="0"/>
        <w:jc w:val="left"/>
        <w:rPr>
          <w:sz w:val="22"/>
        </w:rPr>
      </w:pPr>
      <w:r>
        <w:rPr>
          <w:b/>
          <w:sz w:val="22"/>
        </w:rPr>
        <w:t>ΠΑΡΑΡΤΗΜΑ VI:</w:t>
        <w:tab/>
      </w:r>
      <w:r>
        <w:rPr>
          <w:sz w:val="22"/>
        </w:rPr>
        <w:t>ΟΡΙΣΜΟΣ ΠΡΟΒΛΗΜΑΤΙΚΩΝ</w:t>
      </w:r>
      <w:r>
        <w:rPr>
          <w:spacing w:val="-6"/>
          <w:sz w:val="22"/>
        </w:rPr>
        <w:t> </w:t>
      </w:r>
      <w:r>
        <w:rPr>
          <w:sz w:val="22"/>
        </w:rPr>
        <w:t>ΕΠΙΧΕΙΡΗΣΕΩΝ</w:t>
      </w:r>
    </w:p>
    <w:p>
      <w:pPr>
        <w:tabs>
          <w:tab w:pos="2260" w:val="left" w:leader="none"/>
        </w:tabs>
        <w:spacing w:before="161"/>
        <w:ind w:left="100" w:right="0" w:firstLine="0"/>
        <w:jc w:val="left"/>
        <w:rPr>
          <w:sz w:val="22"/>
        </w:rPr>
      </w:pPr>
      <w:r>
        <w:rPr>
          <w:b/>
          <w:sz w:val="22"/>
        </w:rPr>
        <w:t>ΠΑΡΑΡΤΗΜΑ</w:t>
      </w:r>
      <w:r>
        <w:rPr>
          <w:b/>
          <w:spacing w:val="-1"/>
          <w:sz w:val="22"/>
        </w:rPr>
        <w:t> </w:t>
      </w:r>
      <w:r>
        <w:rPr>
          <w:b/>
          <w:sz w:val="22"/>
        </w:rPr>
        <w:t>VΙI:</w:t>
        <w:tab/>
      </w:r>
      <w:r>
        <w:rPr>
          <w:sz w:val="22"/>
        </w:rPr>
        <w:t>ΚΡΙΤΗΡΙΑ</w:t>
      </w:r>
      <w:r>
        <w:rPr>
          <w:spacing w:val="-3"/>
          <w:sz w:val="22"/>
        </w:rPr>
        <w:t> </w:t>
      </w:r>
      <w:r>
        <w:rPr>
          <w:sz w:val="22"/>
        </w:rPr>
        <w:t>ΑΞΙΟΛΟΓΗΣΗΣ</w:t>
      </w:r>
    </w:p>
    <w:p>
      <w:pPr>
        <w:tabs>
          <w:tab w:pos="2260" w:val="left" w:leader="none"/>
        </w:tabs>
        <w:spacing w:line="384" w:lineRule="auto" w:before="161"/>
        <w:ind w:left="100" w:right="4009" w:firstLine="0"/>
        <w:jc w:val="left"/>
        <w:rPr>
          <w:sz w:val="22"/>
        </w:rPr>
      </w:pPr>
      <w:r>
        <w:rPr>
          <w:b/>
          <w:sz w:val="22"/>
        </w:rPr>
        <w:t>ΠΑΡΑΡΤΗΜΑ</w:t>
      </w:r>
      <w:r>
        <w:rPr>
          <w:b/>
          <w:spacing w:val="-1"/>
          <w:sz w:val="22"/>
        </w:rPr>
        <w:t> </w:t>
      </w:r>
      <w:r>
        <w:rPr>
          <w:b/>
          <w:sz w:val="22"/>
        </w:rPr>
        <w:t>VΙII:</w:t>
        <w:tab/>
      </w:r>
      <w:r>
        <w:rPr>
          <w:sz w:val="22"/>
        </w:rPr>
        <w:t>ΚΩΔΙΚΟΙ</w:t>
      </w:r>
      <w:r>
        <w:rPr>
          <w:spacing w:val="-4"/>
          <w:sz w:val="22"/>
        </w:rPr>
        <w:t> </w:t>
      </w:r>
      <w:r>
        <w:rPr>
          <w:sz w:val="22"/>
        </w:rPr>
        <w:t>ΕΠΙΛΕΞΙΜΩΝ</w:t>
      </w:r>
      <w:r>
        <w:rPr>
          <w:spacing w:val="-3"/>
          <w:sz w:val="22"/>
        </w:rPr>
        <w:t> </w:t>
      </w:r>
      <w:r>
        <w:rPr>
          <w:sz w:val="22"/>
        </w:rPr>
        <w:t>ΔΡΑΣΤΗΡΙΟΤΗΤΩΝ</w:t>
      </w:r>
      <w:r>
        <w:rPr>
          <w:w w:val="100"/>
          <w:sz w:val="22"/>
        </w:rPr>
        <w:t> </w:t>
      </w:r>
      <w:r>
        <w:rPr>
          <w:b/>
          <w:sz w:val="22"/>
        </w:rPr>
        <w:t>ΠΑΡΑΡΤΗΜΑ IΧ:</w:t>
        <w:tab/>
      </w:r>
      <w:r>
        <w:rPr>
          <w:sz w:val="22"/>
        </w:rPr>
        <w:t>ΔΙΚΑΙΟΛΟΓΗΤΙΚΑ</w:t>
      </w:r>
      <w:r>
        <w:rPr>
          <w:spacing w:val="-3"/>
          <w:sz w:val="22"/>
        </w:rPr>
        <w:t> </w:t>
      </w:r>
      <w:r>
        <w:rPr>
          <w:sz w:val="22"/>
        </w:rPr>
        <w:t>ΣΥΜΜΕΤΟΧΗΣ</w:t>
      </w:r>
      <w:r>
        <w:rPr>
          <w:w w:val="100"/>
          <w:sz w:val="22"/>
        </w:rPr>
        <w:t> </w:t>
      </w:r>
      <w:r>
        <w:rPr>
          <w:b/>
          <w:sz w:val="22"/>
        </w:rPr>
        <w:t>ΠΑΡΑΡΤΗΜΑ Χ:</w:t>
        <w:tab/>
      </w:r>
      <w:r>
        <w:rPr>
          <w:sz w:val="22"/>
        </w:rPr>
        <w:t>ΥΠΟΔΕΙΓΜΑΤΑ ΥΠΕΥΘΥΝΩΝ</w:t>
      </w:r>
      <w:r>
        <w:rPr>
          <w:spacing w:val="-1"/>
          <w:sz w:val="22"/>
        </w:rPr>
        <w:t> </w:t>
      </w:r>
      <w:r>
        <w:rPr>
          <w:sz w:val="22"/>
        </w:rPr>
        <w:t>ΔΗΛΩΣΕΩΝ</w:t>
      </w:r>
    </w:p>
    <w:p>
      <w:pPr>
        <w:pStyle w:val="BodyText"/>
        <w:tabs>
          <w:tab w:pos="2260" w:val="left" w:leader="none"/>
        </w:tabs>
        <w:ind w:left="100"/>
      </w:pPr>
      <w:r>
        <w:rPr>
          <w:b/>
        </w:rPr>
        <w:t>ΠΑΡΑΡΤΗΜΑ</w:t>
      </w:r>
      <w:r>
        <w:rPr>
          <w:b/>
          <w:spacing w:val="1"/>
        </w:rPr>
        <w:t> </w:t>
      </w:r>
      <w:r>
        <w:rPr>
          <w:b/>
        </w:rPr>
        <w:t>XI:</w:t>
        <w:tab/>
      </w:r>
      <w:r>
        <w:rPr/>
        <w:t>ΑΠΑΙΤΟΥΜΕΝΑ ΔΙΚΑΙΟΛΟΓΗΤΙΚΑ ΓΙΑ ΤΗΝ ΚΑΤΑΒΟΛΗ ΤΗΣ</w:t>
      </w:r>
      <w:r>
        <w:rPr>
          <w:spacing w:val="-14"/>
        </w:rPr>
        <w:t> </w:t>
      </w:r>
      <w:r>
        <w:rPr/>
        <w:t>ΕΠΙΧΟΡΗΓΗΣΗΣ</w:t>
      </w:r>
    </w:p>
    <w:p>
      <w:pPr>
        <w:tabs>
          <w:tab w:pos="2253" w:val="left" w:leader="none"/>
        </w:tabs>
        <w:spacing w:before="158"/>
        <w:ind w:left="100" w:right="0" w:firstLine="0"/>
        <w:jc w:val="left"/>
        <w:rPr>
          <w:sz w:val="22"/>
        </w:rPr>
      </w:pPr>
      <w:r>
        <w:rPr>
          <w:b/>
          <w:sz w:val="22"/>
        </w:rPr>
        <w:t>ΠΑΡΑΡΤΗΜΑ ΧΙΙ:</w:t>
        <w:tab/>
      </w:r>
      <w:r>
        <w:rPr>
          <w:sz w:val="22"/>
        </w:rPr>
        <w:t>ΠΡΟΣΒΑΣΙΜΟΤΗΤΑ</w:t>
      </w:r>
      <w:r>
        <w:rPr>
          <w:spacing w:val="-7"/>
          <w:sz w:val="22"/>
        </w:rPr>
        <w:t> </w:t>
      </w:r>
      <w:r>
        <w:rPr>
          <w:sz w:val="22"/>
        </w:rPr>
        <w:t>ΑΜΕΑ</w:t>
      </w:r>
    </w:p>
    <w:p>
      <w:pPr>
        <w:tabs>
          <w:tab w:pos="2265" w:val="left" w:leader="none"/>
        </w:tabs>
        <w:spacing w:before="120"/>
        <w:ind w:left="100" w:right="0" w:firstLine="0"/>
        <w:jc w:val="left"/>
        <w:rPr>
          <w:sz w:val="22"/>
        </w:rPr>
      </w:pPr>
      <w:r>
        <w:rPr>
          <w:b/>
          <w:sz w:val="22"/>
        </w:rPr>
        <w:t>ΠΑΡΑΡΤΗΜΑ</w:t>
      </w:r>
      <w:r>
        <w:rPr>
          <w:b/>
          <w:spacing w:val="-1"/>
          <w:sz w:val="22"/>
        </w:rPr>
        <w:t> </w:t>
      </w:r>
      <w:r>
        <w:rPr>
          <w:b/>
          <w:sz w:val="22"/>
        </w:rPr>
        <w:t>ΧΙΙΙ:</w:t>
        <w:tab/>
      </w:r>
      <w:r>
        <w:rPr>
          <w:sz w:val="22"/>
        </w:rPr>
        <w:t>ΔΗΜΟΣΙΟΤΗΤΑ</w:t>
      </w:r>
    </w:p>
    <w:p>
      <w:pPr>
        <w:spacing w:after="0"/>
        <w:jc w:val="left"/>
        <w:rPr>
          <w:sz w:val="22"/>
        </w:rPr>
        <w:sectPr>
          <w:footerReference w:type="default" r:id="rId35"/>
          <w:pgSz w:w="11910" w:h="16840"/>
          <w:pgMar w:footer="734" w:header="748" w:top="1420" w:bottom="920" w:left="980" w:right="960"/>
        </w:sectPr>
      </w:pPr>
    </w:p>
    <w:p>
      <w:pPr>
        <w:spacing w:before="85"/>
        <w:ind w:left="108" w:right="0" w:firstLine="0"/>
        <w:jc w:val="left"/>
        <w:rPr>
          <w:rFonts w:ascii="Trebuchet MS" w:hAnsi="Trebuchet MS"/>
          <w:i/>
          <w:sz w:val="16"/>
        </w:rPr>
      </w:pPr>
      <w:r>
        <w:rPr>
          <w:rFonts w:ascii="Trebuchet MS" w:hAnsi="Trebuchet MS"/>
          <w:i/>
          <w:sz w:val="16"/>
        </w:rPr>
        <w:t>ΠΑΡΑΡΤΗΜΑ Ι.1: ΕΝΤΥΠΟ ΥΠΟΒΟΛΗΣ ΑΙΤΗΣΗΣ ΧΡΗΜΑΤΟΔΟΤΗΣΗΣ ΜΕΡΟΣ 1</w:t>
      </w: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spacing w:before="8" w:after="1"/>
        <w:rPr>
          <w:rFonts w:ascii="Trebuchet MS"/>
          <w:i/>
        </w:rPr>
      </w:pPr>
    </w:p>
    <w:p>
      <w:pPr>
        <w:pStyle w:val="BodyText"/>
        <w:ind w:left="7557"/>
        <w:rPr>
          <w:rFonts w:ascii="Trebuchet MS"/>
          <w:sz w:val="20"/>
        </w:rPr>
      </w:pPr>
      <w:r>
        <w:rPr>
          <w:rFonts w:ascii="Trebuchet MS"/>
          <w:sz w:val="20"/>
        </w:rPr>
        <w:drawing>
          <wp:inline distT="0" distB="0" distL="0" distR="0">
            <wp:extent cx="953212" cy="640079"/>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38" cstate="print"/>
                    <a:stretch>
                      <a:fillRect/>
                    </a:stretch>
                  </pic:blipFill>
                  <pic:spPr>
                    <a:xfrm>
                      <a:off x="0" y="0"/>
                      <a:ext cx="953212" cy="640079"/>
                    </a:xfrm>
                    <a:prstGeom prst="rect">
                      <a:avLst/>
                    </a:prstGeom>
                  </pic:spPr>
                </pic:pic>
              </a:graphicData>
            </a:graphic>
          </wp:inline>
        </w:drawing>
      </w:r>
      <w:r>
        <w:rPr>
          <w:rFonts w:ascii="Trebuchet MS"/>
          <w:sz w:val="20"/>
        </w:rPr>
      </w:r>
    </w:p>
    <w:p>
      <w:pPr>
        <w:spacing w:after="0"/>
        <w:rPr>
          <w:rFonts w:ascii="Trebuchet MS"/>
          <w:sz w:val="20"/>
        </w:rPr>
        <w:sectPr>
          <w:headerReference w:type="default" r:id="rId36"/>
          <w:footerReference w:type="default" r:id="rId37"/>
          <w:pgSz w:w="11910" w:h="16840"/>
          <w:pgMar w:header="0" w:footer="978" w:top="900" w:bottom="1160" w:left="940" w:right="1100"/>
          <w:pgBorders w:offsetFrom="page">
            <w:top w:val="single" w:color="000000" w:space="24" w:sz="4"/>
            <w:left w:val="single" w:color="000000" w:space="24" w:sz="4"/>
            <w:bottom w:val="single" w:color="000000" w:space="24" w:sz="4"/>
            <w:right w:val="single" w:color="000000" w:space="24" w:sz="4"/>
          </w:pgBorders>
          <w:pgNumType w:start="1"/>
        </w:sectPr>
      </w:pPr>
    </w:p>
    <w:p>
      <w:pPr>
        <w:spacing w:before="107"/>
        <w:ind w:left="526" w:right="0" w:hanging="2"/>
        <w:jc w:val="center"/>
        <w:rPr>
          <w:b/>
          <w:sz w:val="20"/>
        </w:rPr>
      </w:pPr>
      <w:r>
        <w:rPr/>
        <w:drawing>
          <wp:anchor distT="0" distB="0" distL="0" distR="0" allowOverlap="1" layoutInCell="1" locked="0" behindDoc="1" simplePos="0" relativeHeight="268166783">
            <wp:simplePos x="0" y="0"/>
            <wp:positionH relativeFrom="page">
              <wp:posOffset>1351280</wp:posOffset>
            </wp:positionH>
            <wp:positionV relativeFrom="paragraph">
              <wp:posOffset>-640441</wp:posOffset>
            </wp:positionV>
            <wp:extent cx="745858" cy="709168"/>
            <wp:effectExtent l="0" t="0" r="0" b="0"/>
            <wp:wrapNone/>
            <wp:docPr id="15" name="image4.png" descr=""/>
            <wp:cNvGraphicFramePr>
              <a:graphicFrameLocks noChangeAspect="1"/>
            </wp:cNvGraphicFramePr>
            <a:graphic>
              <a:graphicData uri="http://schemas.openxmlformats.org/drawingml/2006/picture">
                <pic:pic>
                  <pic:nvPicPr>
                    <pic:cNvPr id="16" name="image4.png"/>
                    <pic:cNvPicPr/>
                  </pic:nvPicPr>
                  <pic:blipFill>
                    <a:blip r:embed="rId15" cstate="print"/>
                    <a:stretch>
                      <a:fillRect/>
                    </a:stretch>
                  </pic:blipFill>
                  <pic:spPr>
                    <a:xfrm>
                      <a:off x="0" y="0"/>
                      <a:ext cx="745858" cy="709168"/>
                    </a:xfrm>
                    <a:prstGeom prst="rect">
                      <a:avLst/>
                    </a:prstGeom>
                  </pic:spPr>
                </pic:pic>
              </a:graphicData>
            </a:graphic>
          </wp:anchor>
        </w:drawing>
      </w:r>
      <w:r>
        <w:rPr>
          <w:b/>
          <w:sz w:val="20"/>
        </w:rPr>
        <w:t>ΕΛΛΗΝΙΚΗ ΔΗΜΟΚΡΑΤΙΑ ΠΕΡΙΦΕΡΕΙΑ ΘΕΣΣΑΛΙΑΣ ΕΙΔΙΚΗ ΥΠΗΡΕΣΙΑ</w:t>
      </w:r>
      <w:r>
        <w:rPr>
          <w:b/>
          <w:spacing w:val="-11"/>
          <w:sz w:val="20"/>
        </w:rPr>
        <w:t> </w:t>
      </w:r>
      <w:r>
        <w:rPr>
          <w:b/>
          <w:sz w:val="20"/>
        </w:rPr>
        <w:t>ΔΙΑΧΕΙΡΙΣΗΣ Ε.Π. ΠΕΡΙΦΕΡΕΙΑΣ</w:t>
      </w:r>
      <w:r>
        <w:rPr>
          <w:b/>
          <w:spacing w:val="-11"/>
          <w:sz w:val="20"/>
        </w:rPr>
        <w:t> </w:t>
      </w:r>
      <w:r>
        <w:rPr>
          <w:b/>
          <w:sz w:val="20"/>
        </w:rPr>
        <w:t>ΘΕΣΣΑΛΙΑΣ</w:t>
      </w:r>
    </w:p>
    <w:p>
      <w:pPr>
        <w:spacing w:before="11"/>
        <w:ind w:left="526" w:right="103" w:firstLine="0"/>
        <w:jc w:val="center"/>
        <w:rPr>
          <w:b/>
          <w:sz w:val="20"/>
        </w:rPr>
      </w:pPr>
      <w:r>
        <w:rPr/>
        <w:br w:type="column"/>
      </w:r>
      <w:r>
        <w:rPr>
          <w:b/>
          <w:sz w:val="20"/>
        </w:rPr>
        <w:t>ΕΥΡΩΠΑΪΚΗ ΕΝΩΣΗ</w:t>
      </w:r>
    </w:p>
    <w:p>
      <w:pPr>
        <w:spacing w:before="0"/>
        <w:ind w:left="526" w:right="103" w:firstLine="0"/>
        <w:jc w:val="center"/>
        <w:rPr>
          <w:b/>
          <w:sz w:val="20"/>
        </w:rPr>
      </w:pPr>
      <w:r>
        <w:rPr>
          <w:b/>
          <w:sz w:val="20"/>
        </w:rPr>
        <w:t>Ευρωπαϊκό Ταμείο Περιφερειακής Ανάπτυξης</w:t>
      </w:r>
    </w:p>
    <w:p>
      <w:pPr>
        <w:spacing w:after="0"/>
        <w:jc w:val="center"/>
        <w:rPr>
          <w:sz w:val="20"/>
        </w:rPr>
        <w:sectPr>
          <w:type w:val="continuous"/>
          <w:pgSz w:w="11910" w:h="16840"/>
          <w:pgMar w:top="800" w:bottom="1580" w:left="940" w:right="1100"/>
          <w:pgBorders w:offsetFrom="page">
            <w:top w:val="single" w:color="000000" w:space="24" w:sz="4"/>
            <w:left w:val="single" w:color="000000" w:space="24" w:sz="4"/>
            <w:bottom w:val="single" w:color="000000" w:space="24" w:sz="4"/>
            <w:right w:val="single" w:color="000000" w:space="24" w:sz="4"/>
          </w:pgBorders>
          <w:cols w:num="2" w:equalWidth="0">
            <w:col w:w="3024" w:space="3313"/>
            <w:col w:w="3533"/>
          </w:cols>
        </w:sectPr>
      </w:pPr>
    </w:p>
    <w:p>
      <w:pPr>
        <w:pStyle w:val="Heading4"/>
        <w:spacing w:line="487" w:lineRule="auto" w:before="107"/>
        <w:ind w:left="2804" w:right="2584"/>
        <w:jc w:val="center"/>
        <w:rPr>
          <w:rFonts w:ascii="Trebuchet MS" w:hAnsi="Trebuchet MS"/>
        </w:rPr>
      </w:pPr>
      <w:r>
        <w:rPr>
          <w:rFonts w:ascii="Trebuchet MS" w:hAnsi="Trebuchet MS"/>
        </w:rPr>
        <w:t>ΠΕΡΙΦΕΡΕΙΑΚΟ ΕΠΙΧΕΙΡΗΣΙΑΚΟ ΠΡΟΓΡΑΜΜΑ ΘΕΣΣΑΛΙΑΣ 2014-2020</w:t>
      </w:r>
    </w:p>
    <w:p>
      <w:pPr>
        <w:spacing w:line="324" w:lineRule="auto" w:before="220"/>
        <w:ind w:left="3263" w:right="3099" w:firstLine="0"/>
        <w:jc w:val="center"/>
        <w:rPr>
          <w:b/>
          <w:sz w:val="28"/>
        </w:rPr>
      </w:pPr>
      <w:r>
        <w:rPr>
          <w:b/>
          <w:sz w:val="28"/>
        </w:rPr>
        <w:t>ΕΙΔΙΚΗ ΥΠΗΡΕΣΙΑ ΔΙΑΧΕΙΡΙΣΗΣ ΕΠ ΘΕΣΣΑΛΙΑΣ 2014-2020</w:t>
      </w:r>
    </w:p>
    <w:p>
      <w:pPr>
        <w:pStyle w:val="BodyText"/>
        <w:rPr>
          <w:b/>
          <w:sz w:val="28"/>
        </w:rPr>
      </w:pPr>
    </w:p>
    <w:p>
      <w:pPr>
        <w:pStyle w:val="BodyText"/>
        <w:spacing w:before="8"/>
        <w:rPr>
          <w:b/>
          <w:sz w:val="32"/>
        </w:rPr>
      </w:pPr>
    </w:p>
    <w:p>
      <w:pPr>
        <w:spacing w:before="0"/>
        <w:ind w:left="2745" w:right="2584" w:firstLine="0"/>
        <w:jc w:val="center"/>
        <w:rPr>
          <w:rFonts w:ascii="Trebuchet MS" w:hAnsi="Trebuchet MS"/>
          <w:b/>
          <w:sz w:val="22"/>
        </w:rPr>
      </w:pPr>
      <w:r>
        <w:rPr>
          <w:rFonts w:ascii="Trebuchet MS" w:hAnsi="Trebuchet MS"/>
          <w:b/>
          <w:sz w:val="22"/>
        </w:rPr>
        <w:t>ΕΝΔΙΑΜΕΣΟΣ ΦΟΡΕΑΣ :</w:t>
      </w:r>
    </w:p>
    <w:p>
      <w:pPr>
        <w:spacing w:before="131"/>
        <w:ind w:left="902" w:right="740" w:firstLine="0"/>
        <w:jc w:val="center"/>
        <w:rPr>
          <w:b/>
          <w:sz w:val="28"/>
        </w:rPr>
      </w:pPr>
      <w:r>
        <w:rPr>
          <w:b/>
          <w:sz w:val="28"/>
        </w:rPr>
        <w:t>Διεύθυνση Αναπτυξιακού Προγραμματισμού Περιφέρειας Θεσσαλίας</w:t>
      </w:r>
    </w:p>
    <w:p>
      <w:pPr>
        <w:pStyle w:val="BodyText"/>
        <w:spacing w:before="8"/>
        <w:rPr>
          <w:b/>
          <w:sz w:val="39"/>
        </w:rPr>
      </w:pPr>
    </w:p>
    <w:p>
      <w:pPr>
        <w:spacing w:before="0"/>
        <w:ind w:left="2748" w:right="2584" w:firstLine="0"/>
        <w:jc w:val="center"/>
        <w:rPr>
          <w:rFonts w:ascii="Trebuchet MS" w:hAnsi="Trebuchet MS"/>
          <w:b/>
          <w:sz w:val="22"/>
        </w:rPr>
      </w:pPr>
      <w:r>
        <w:rPr>
          <w:rFonts w:ascii="Trebuchet MS" w:hAnsi="Trebuchet MS"/>
          <w:b/>
          <w:sz w:val="22"/>
        </w:rPr>
        <w:t>ΔΡΑΣΗ ΕΝΙΣΧΥΣΗΣ</w:t>
      </w:r>
      <w:r>
        <w:rPr>
          <w:rFonts w:ascii="Trebuchet MS" w:hAnsi="Trebuchet MS"/>
          <w:b/>
          <w:spacing w:val="63"/>
          <w:sz w:val="22"/>
        </w:rPr>
        <w:t> </w:t>
      </w:r>
      <w:r>
        <w:rPr>
          <w:rFonts w:ascii="Trebuchet MS" w:hAnsi="Trebuchet MS"/>
          <w:b/>
          <w:sz w:val="22"/>
        </w:rPr>
        <w:t>:</w:t>
      </w:r>
    </w:p>
    <w:p>
      <w:pPr>
        <w:spacing w:line="360" w:lineRule="auto" w:before="131"/>
        <w:ind w:left="956" w:right="796" w:firstLine="0"/>
        <w:jc w:val="center"/>
        <w:rPr>
          <w:b/>
          <w:sz w:val="28"/>
        </w:rPr>
      </w:pPr>
      <w:r>
        <w:rPr>
          <w:b/>
          <w:sz w:val="28"/>
        </w:rPr>
        <w:t>«Ενίσχυση υφιστάμενων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p>
    <w:p>
      <w:pPr>
        <w:spacing w:before="121"/>
        <w:ind w:left="2746" w:right="2584" w:firstLine="0"/>
        <w:jc w:val="center"/>
        <w:rPr>
          <w:b/>
          <w:sz w:val="28"/>
        </w:rPr>
      </w:pPr>
      <w:r>
        <w:rPr>
          <w:b/>
          <w:sz w:val="28"/>
        </w:rPr>
        <w:t>“Επανεπενδύω στη Θεσσαλία”</w:t>
      </w:r>
    </w:p>
    <w:p>
      <w:pPr>
        <w:pStyle w:val="BodyText"/>
        <w:rPr>
          <w:b/>
          <w:sz w:val="28"/>
        </w:rPr>
      </w:pPr>
    </w:p>
    <w:p>
      <w:pPr>
        <w:pStyle w:val="BodyText"/>
        <w:rPr>
          <w:b/>
          <w:sz w:val="28"/>
        </w:rPr>
      </w:pPr>
    </w:p>
    <w:p>
      <w:pPr>
        <w:spacing w:before="182"/>
        <w:ind w:left="537" w:right="740" w:firstLine="0"/>
        <w:jc w:val="center"/>
        <w:rPr>
          <w:rFonts w:ascii="Trebuchet MS" w:hAnsi="Trebuchet MS"/>
          <w:b/>
          <w:sz w:val="22"/>
        </w:rPr>
      </w:pPr>
      <w:r>
        <w:rPr>
          <w:rFonts w:ascii="Trebuchet MS" w:hAnsi="Trebuchet MS"/>
          <w:b/>
          <w:sz w:val="22"/>
        </w:rPr>
        <w:t>ΕΝΤΥΠΟ ΥΠΟΒΟΛΗΣ ΑΙΤΗΣΗΣ ΧΡΗΜΑΤΟΔΟΤΗΣΗΣ </w:t>
      </w:r>
      <w:r>
        <w:rPr>
          <w:rFonts w:ascii="Trebuchet MS" w:hAnsi="Trebuchet MS"/>
          <w:b/>
          <w:sz w:val="22"/>
          <w:u w:val="thick"/>
        </w:rPr>
        <w:t>ΜΕΡΟΣ 1</w:t>
      </w:r>
    </w:p>
    <w:p>
      <w:pPr>
        <w:pStyle w:val="Heading5"/>
        <w:spacing w:line="360" w:lineRule="auto" w:before="128"/>
        <w:ind w:left="529" w:right="740"/>
        <w:jc w:val="center"/>
        <w:rPr>
          <w:rFonts w:ascii="Trebuchet MS" w:hAnsi="Trebuchet MS"/>
        </w:rPr>
      </w:pPr>
      <w:r>
        <w:rPr>
          <w:rFonts w:ascii="Trebuchet MS" w:hAnsi="Trebuchet MS"/>
          <w:i/>
          <w:color w:val="FF0000"/>
        </w:rPr>
        <w:t>Η ΣΥΜΠΛΗΡΩΣΗ ΤΟΥ ΕΝΤΥΠΟΥ ΥΠΟΒΟΛΗΣ ΠΡΑΓΜΑΤΟΠΟΙΕΙΤΑΙ ΜΕΣΩ </w:t>
      </w:r>
      <w:r>
        <w:rPr>
          <w:rFonts w:ascii="Trebuchet MS" w:hAnsi="Trebuchet MS"/>
          <w:color w:val="FF0000"/>
        </w:rPr>
        <w:t>ΗΛΕΚΤΡΟΝΙΚΗΣ ΚΑΤΑΧΩΡΗΣΗΣ ΤΩΝ ΣΤΟΙΧΕΙΩΝ ΣΤΟ ΠΣΚΕ</w:t>
      </w:r>
    </w:p>
    <w:p>
      <w:pPr>
        <w:spacing w:after="0" w:line="360" w:lineRule="auto"/>
        <w:jc w:val="center"/>
        <w:rPr>
          <w:rFonts w:ascii="Trebuchet MS" w:hAnsi="Trebuchet MS"/>
        </w:rPr>
        <w:sectPr>
          <w:type w:val="continuous"/>
          <w:pgSz w:w="11910" w:h="16840"/>
          <w:pgMar w:top="800" w:bottom="1580" w:left="940" w:right="1100"/>
          <w:pgBorders w:offsetFrom="page">
            <w:top w:val="single" w:color="000000" w:space="24" w:sz="4"/>
            <w:left w:val="single" w:color="000000" w:space="24" w:sz="4"/>
            <w:bottom w:val="single" w:color="000000" w:space="24" w:sz="4"/>
            <w:right w:val="single" w:color="000000" w:space="24" w:sz="4"/>
          </w:pgBorders>
        </w:sect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spacing w:before="1"/>
        <w:rPr>
          <w:rFonts w:ascii="Trebuchet MS"/>
          <w:b/>
          <w:i/>
          <w:sz w:val="20"/>
        </w:rPr>
      </w:pPr>
    </w:p>
    <w:p>
      <w:pPr>
        <w:tabs>
          <w:tab w:pos="5221" w:val="left" w:leader="none"/>
        </w:tabs>
        <w:spacing w:before="99"/>
        <w:ind w:left="2566" w:right="0" w:firstLine="0"/>
        <w:jc w:val="left"/>
        <w:rPr>
          <w:rFonts w:ascii="Trebuchet MS" w:hAnsi="Trebuchet MS"/>
          <w:sz w:val="20"/>
        </w:rPr>
      </w:pPr>
      <w:r>
        <w:rPr>
          <w:rFonts w:ascii="Trebuchet MS" w:hAnsi="Trebuchet MS"/>
          <w:b/>
          <w:sz w:val="20"/>
        </w:rPr>
        <w:t>ΚΩΔΙΚΟΣ</w:t>
      </w:r>
      <w:r>
        <w:rPr>
          <w:rFonts w:ascii="Trebuchet MS" w:hAnsi="Trebuchet MS"/>
          <w:b/>
          <w:spacing w:val="-4"/>
          <w:sz w:val="20"/>
        </w:rPr>
        <w:t> </w:t>
      </w:r>
      <w:r>
        <w:rPr>
          <w:rFonts w:ascii="Trebuchet MS" w:hAnsi="Trebuchet MS"/>
          <w:b/>
          <w:sz w:val="20"/>
        </w:rPr>
        <w:t>ΠΡΑΞΗΣ</w:t>
      </w:r>
      <w:r>
        <w:rPr>
          <w:rFonts w:ascii="Trebuchet MS" w:hAnsi="Trebuchet MS"/>
          <w:b/>
          <w:spacing w:val="-1"/>
          <w:sz w:val="20"/>
        </w:rPr>
        <w:t> </w:t>
      </w:r>
      <w:r>
        <w:rPr>
          <w:rFonts w:ascii="Trebuchet MS" w:hAnsi="Trebuchet MS"/>
          <w:b/>
          <w:sz w:val="20"/>
        </w:rPr>
        <w:t>(ΕΡΓΟΥ)</w:t>
        <w:tab/>
      </w:r>
      <w:r>
        <w:rPr>
          <w:rFonts w:ascii="Trebuchet MS" w:hAnsi="Trebuchet MS"/>
          <w:sz w:val="20"/>
        </w:rPr>
        <w:t>&lt;KODIKOS_ERGOY_EXTERNAL&gt;</w:t>
      </w:r>
    </w:p>
    <w:p>
      <w:pPr>
        <w:tabs>
          <w:tab w:pos="5221" w:val="left" w:leader="none"/>
        </w:tabs>
        <w:spacing w:before="173"/>
        <w:ind w:left="1093" w:right="0" w:firstLine="0"/>
        <w:jc w:val="left"/>
        <w:rPr>
          <w:rFonts w:ascii="Trebuchet MS" w:hAnsi="Trebuchet MS"/>
          <w:sz w:val="20"/>
        </w:rPr>
      </w:pPr>
      <w:r>
        <w:rPr>
          <w:rFonts w:ascii="Trebuchet MS" w:hAnsi="Trebuchet MS"/>
          <w:b/>
          <w:sz w:val="20"/>
        </w:rPr>
        <w:t>ΗΜΕΡΟΜΗΝΊΑ</w:t>
      </w:r>
      <w:r>
        <w:rPr>
          <w:rFonts w:ascii="Trebuchet MS" w:hAnsi="Trebuchet MS"/>
          <w:b/>
          <w:spacing w:val="-12"/>
          <w:sz w:val="20"/>
        </w:rPr>
        <w:t> </w:t>
      </w:r>
      <w:r>
        <w:rPr>
          <w:rFonts w:ascii="Trebuchet MS" w:hAnsi="Trebuchet MS"/>
          <w:b/>
          <w:sz w:val="20"/>
        </w:rPr>
        <w:t>ΗΛΕΚΤΡΟΝΙΚΉΣ</w:t>
      </w:r>
      <w:r>
        <w:rPr>
          <w:rFonts w:ascii="Trebuchet MS" w:hAnsi="Trebuchet MS"/>
          <w:b/>
          <w:spacing w:val="-14"/>
          <w:sz w:val="20"/>
        </w:rPr>
        <w:t> </w:t>
      </w:r>
      <w:r>
        <w:rPr>
          <w:rFonts w:ascii="Trebuchet MS" w:hAnsi="Trebuchet MS"/>
          <w:b/>
          <w:sz w:val="20"/>
        </w:rPr>
        <w:t>ΥΠΟΒΟΛΉΣ</w:t>
        <w:tab/>
      </w:r>
      <w:r>
        <w:rPr>
          <w:rFonts w:ascii="Trebuchet MS" w:hAnsi="Trebuchet MS"/>
          <w:position w:val="6"/>
          <w:sz w:val="20"/>
        </w:rPr>
        <w:t>&lt;DATE_AITHSHS&gt;</w:t>
      </w:r>
    </w:p>
    <w:p>
      <w:pPr>
        <w:tabs>
          <w:tab w:pos="5221" w:val="left" w:leader="none"/>
        </w:tabs>
        <w:spacing w:before="175"/>
        <w:ind w:left="1009" w:right="0" w:firstLine="0"/>
        <w:jc w:val="left"/>
        <w:rPr>
          <w:rFonts w:ascii="Trebuchet MS" w:hAnsi="Trebuchet MS"/>
          <w:sz w:val="20"/>
        </w:rPr>
      </w:pPr>
      <w:r>
        <w:rPr>
          <w:rFonts w:ascii="Trebuchet MS" w:hAnsi="Trebuchet MS"/>
          <w:b/>
          <w:sz w:val="20"/>
        </w:rPr>
        <w:t>ΑΡΙΘ. ΠΡΩΤΟΚΟΛΛΟΥ</w:t>
      </w:r>
      <w:r>
        <w:rPr>
          <w:rFonts w:ascii="Trebuchet MS" w:hAnsi="Trebuchet MS"/>
          <w:b/>
          <w:spacing w:val="-4"/>
          <w:sz w:val="20"/>
        </w:rPr>
        <w:t> </w:t>
      </w:r>
      <w:r>
        <w:rPr>
          <w:rFonts w:ascii="Trebuchet MS" w:hAnsi="Trebuchet MS"/>
          <w:b/>
          <w:sz w:val="20"/>
        </w:rPr>
        <w:t>ΥΠΟΒΟΛΗΣ</w:t>
      </w:r>
      <w:r>
        <w:rPr>
          <w:rFonts w:ascii="Trebuchet MS" w:hAnsi="Trebuchet MS"/>
          <w:b/>
          <w:spacing w:val="-4"/>
          <w:sz w:val="20"/>
        </w:rPr>
        <w:t> </w:t>
      </w:r>
      <w:r>
        <w:rPr>
          <w:rFonts w:ascii="Trebuchet MS" w:hAnsi="Trebuchet MS"/>
          <w:b/>
          <w:sz w:val="20"/>
        </w:rPr>
        <w:t>ΦΥΣΙΚΟΥ</w:t>
        <w:tab/>
      </w:r>
      <w:r>
        <w:rPr>
          <w:rFonts w:ascii="Trebuchet MS" w:hAnsi="Trebuchet MS"/>
          <w:position w:val="12"/>
          <w:sz w:val="20"/>
        </w:rPr>
        <w:t>&lt;PROTOKOLLO_AITHSHS&gt;</w:t>
      </w:r>
    </w:p>
    <w:p>
      <w:pPr>
        <w:spacing w:line="360" w:lineRule="auto" w:before="115"/>
        <w:ind w:left="1659" w:right="4463" w:firstLine="2434"/>
        <w:jc w:val="left"/>
        <w:rPr>
          <w:rFonts w:ascii="Trebuchet MS" w:hAnsi="Trebuchet MS"/>
          <w:b/>
          <w:sz w:val="20"/>
        </w:rPr>
      </w:pPr>
      <w:r>
        <w:rPr>
          <w:rFonts w:ascii="Trebuchet MS" w:hAnsi="Trebuchet MS"/>
          <w:b/>
          <w:sz w:val="20"/>
        </w:rPr>
        <w:t>ΦΑΚΕΛΟΥ ΗΜΕΡΟΜΗΝΙΑ ΠΑΡΑΛΑΒΗΣ ΦΥΣΙΚΟΥ</w:t>
      </w:r>
    </w:p>
    <w:p>
      <w:pPr>
        <w:spacing w:before="2"/>
        <w:ind w:left="4078" w:right="4460" w:firstLine="0"/>
        <w:jc w:val="center"/>
        <w:rPr>
          <w:rFonts w:ascii="Trebuchet MS" w:hAnsi="Trebuchet MS"/>
          <w:b/>
          <w:sz w:val="20"/>
        </w:rPr>
      </w:pPr>
      <w:r>
        <w:rPr>
          <w:rFonts w:ascii="Trebuchet MS" w:hAnsi="Trebuchet MS"/>
          <w:b/>
          <w:sz w:val="20"/>
        </w:rPr>
        <w:t>ΦΑΚΕΛΟΥ</w:t>
      </w:r>
    </w:p>
    <w:p>
      <w:pPr>
        <w:pStyle w:val="BodyText"/>
        <w:rPr>
          <w:rFonts w:ascii="Trebuchet MS"/>
          <w:b/>
          <w:sz w:val="20"/>
        </w:rPr>
      </w:pPr>
    </w:p>
    <w:p>
      <w:pPr>
        <w:pStyle w:val="BodyText"/>
        <w:spacing w:before="9" w:after="1"/>
        <w:rPr>
          <w:rFonts w:ascii="Trebuchet MS"/>
          <w:b/>
          <w:sz w:val="10"/>
        </w:rPr>
      </w:pPr>
    </w:p>
    <w:tbl>
      <w:tblPr>
        <w:tblW w:w="0" w:type="auto"/>
        <w:jc w:val="left"/>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424"/>
        <w:gridCol w:w="426"/>
        <w:gridCol w:w="992"/>
        <w:gridCol w:w="994"/>
        <w:gridCol w:w="1133"/>
        <w:gridCol w:w="1419"/>
        <w:gridCol w:w="2552"/>
      </w:tblGrid>
      <w:tr>
        <w:trPr>
          <w:trHeight w:val="356" w:hRule="exact"/>
        </w:trPr>
        <w:tc>
          <w:tcPr>
            <w:tcW w:w="674" w:type="dxa"/>
            <w:tcBorders>
              <w:top w:val="nil"/>
              <w:left w:val="nil"/>
              <w:bottom w:val="nil"/>
              <w:right w:val="nil"/>
            </w:tcBorders>
            <w:shd w:val="clear" w:color="auto" w:fill="000000"/>
          </w:tcPr>
          <w:p>
            <w:pPr>
              <w:pStyle w:val="TableParagraph"/>
              <w:spacing w:before="113"/>
              <w:ind w:left="175"/>
              <w:rPr>
                <w:rFonts w:ascii="Trebuchet MS"/>
                <w:b/>
                <w:sz w:val="20"/>
              </w:rPr>
            </w:pPr>
            <w:r>
              <w:rPr>
                <w:rFonts w:ascii="Trebuchet MS"/>
                <w:b/>
                <w:color w:val="FFFFFF"/>
                <w:sz w:val="20"/>
              </w:rPr>
              <w:t>1.</w:t>
            </w:r>
          </w:p>
        </w:tc>
        <w:tc>
          <w:tcPr>
            <w:tcW w:w="7938" w:type="dxa"/>
            <w:gridSpan w:val="7"/>
            <w:shd w:val="clear" w:color="auto" w:fill="A6A6A6"/>
          </w:tcPr>
          <w:p>
            <w:pPr>
              <w:pStyle w:val="TableParagraph"/>
              <w:spacing w:before="108"/>
              <w:ind w:left="103"/>
              <w:rPr>
                <w:rFonts w:ascii="Trebuchet MS" w:hAnsi="Trebuchet MS"/>
                <w:b/>
                <w:sz w:val="20"/>
              </w:rPr>
            </w:pPr>
            <w:r>
              <w:rPr>
                <w:rFonts w:ascii="Trebuchet MS" w:hAnsi="Trebuchet MS"/>
                <w:b/>
                <w:sz w:val="20"/>
              </w:rPr>
              <w:t>ΣΤΟΙΧΕΙΑ ΔΙΚΑΙΟΥΧΟΥ</w:t>
            </w:r>
          </w:p>
        </w:tc>
      </w:tr>
      <w:tr>
        <w:trPr>
          <w:trHeight w:val="1066" w:hRule="exact"/>
        </w:trPr>
        <w:tc>
          <w:tcPr>
            <w:tcW w:w="1524" w:type="dxa"/>
            <w:gridSpan w:val="3"/>
            <w:shd w:val="clear" w:color="auto" w:fill="A6A6A6"/>
          </w:tcPr>
          <w:p>
            <w:pPr>
              <w:pStyle w:val="TableParagraph"/>
              <w:rPr>
                <w:rFonts w:ascii="Trebuchet MS"/>
                <w:b/>
                <w:sz w:val="22"/>
              </w:rPr>
            </w:pPr>
          </w:p>
          <w:p>
            <w:pPr>
              <w:pStyle w:val="TableParagraph"/>
              <w:spacing w:before="149"/>
              <w:ind w:left="103"/>
              <w:rPr>
                <w:rFonts w:ascii="Trebuchet MS" w:hAnsi="Trebuchet MS"/>
                <w:b/>
                <w:sz w:val="20"/>
              </w:rPr>
            </w:pPr>
            <w:r>
              <w:rPr>
                <w:rFonts w:ascii="Trebuchet MS" w:hAnsi="Trebuchet MS"/>
                <w:b/>
                <w:sz w:val="20"/>
              </w:rPr>
              <w:t>Α/Α Φορέα</w:t>
            </w:r>
          </w:p>
        </w:tc>
        <w:tc>
          <w:tcPr>
            <w:tcW w:w="992" w:type="dxa"/>
            <w:shd w:val="clear" w:color="auto" w:fill="D9D9D9"/>
          </w:tcPr>
          <w:p>
            <w:pPr/>
          </w:p>
        </w:tc>
        <w:tc>
          <w:tcPr>
            <w:tcW w:w="994" w:type="dxa"/>
            <w:shd w:val="clear" w:color="auto" w:fill="A6A6A6"/>
          </w:tcPr>
          <w:p>
            <w:pPr>
              <w:pStyle w:val="TableParagraph"/>
              <w:spacing w:before="6"/>
              <w:rPr>
                <w:rFonts w:ascii="Trebuchet MS"/>
                <w:b/>
                <w:sz w:val="24"/>
              </w:rPr>
            </w:pPr>
          </w:p>
          <w:p>
            <w:pPr>
              <w:pStyle w:val="TableParagraph"/>
              <w:spacing w:line="247" w:lineRule="auto"/>
              <w:ind w:left="103"/>
              <w:rPr>
                <w:rFonts w:ascii="Trebuchet MS" w:hAnsi="Trebuchet MS"/>
                <w:b/>
                <w:sz w:val="20"/>
              </w:rPr>
            </w:pPr>
            <w:r>
              <w:rPr>
                <w:rFonts w:ascii="Trebuchet MS" w:hAnsi="Trebuchet MS"/>
                <w:b/>
                <w:sz w:val="20"/>
              </w:rPr>
              <w:t>Είδος </w:t>
            </w:r>
            <w:r>
              <w:rPr>
                <w:rFonts w:ascii="Trebuchet MS" w:hAnsi="Trebuchet MS"/>
                <w:b/>
                <w:w w:val="95"/>
                <w:sz w:val="20"/>
              </w:rPr>
              <w:t>Φορέα</w:t>
            </w:r>
          </w:p>
        </w:tc>
        <w:tc>
          <w:tcPr>
            <w:tcW w:w="2552" w:type="dxa"/>
            <w:gridSpan w:val="2"/>
            <w:shd w:val="clear" w:color="auto" w:fill="D9D9D9"/>
          </w:tcPr>
          <w:p>
            <w:pPr>
              <w:pStyle w:val="TableParagraph"/>
              <w:spacing w:before="8"/>
              <w:rPr>
                <w:rFonts w:ascii="Trebuchet MS"/>
                <w:b/>
                <w:sz w:val="17"/>
              </w:rPr>
            </w:pPr>
          </w:p>
          <w:p>
            <w:pPr>
              <w:pStyle w:val="TableParagraph"/>
              <w:ind w:left="103"/>
              <w:rPr>
                <w:rFonts w:ascii="Trebuchet MS" w:hAnsi="Trebuchet MS"/>
                <w:sz w:val="18"/>
              </w:rPr>
            </w:pPr>
            <w:r>
              <w:rPr>
                <w:rFonts w:ascii="Trebuchet MS" w:hAnsi="Trebuchet MS"/>
                <w:sz w:val="18"/>
              </w:rPr>
              <w:t>ΕΠΙΛΟΓΗ ΑΠΟ ΛΙΣΤΑ</w:t>
            </w:r>
          </w:p>
          <w:p>
            <w:pPr>
              <w:pStyle w:val="TableParagraph"/>
              <w:spacing w:before="11"/>
              <w:rPr>
                <w:rFonts w:ascii="Trebuchet MS"/>
                <w:b/>
                <w:sz w:val="17"/>
              </w:rPr>
            </w:pPr>
          </w:p>
          <w:p>
            <w:pPr>
              <w:pStyle w:val="TableParagraph"/>
              <w:numPr>
                <w:ilvl w:val="0"/>
                <w:numId w:val="53"/>
              </w:numPr>
              <w:tabs>
                <w:tab w:pos="281" w:val="left" w:leader="none"/>
              </w:tabs>
              <w:spacing w:line="240" w:lineRule="auto" w:before="0" w:after="0"/>
              <w:ind w:left="280" w:right="0" w:hanging="177"/>
              <w:jc w:val="left"/>
              <w:rPr>
                <w:rFonts w:ascii="Trebuchet MS" w:hAnsi="Trebuchet MS"/>
                <w:sz w:val="18"/>
              </w:rPr>
            </w:pPr>
            <w:r>
              <w:rPr>
                <w:rFonts w:ascii="Trebuchet MS" w:hAnsi="Trebuchet MS"/>
                <w:sz w:val="18"/>
              </w:rPr>
              <w:t>Επιχείρηση</w:t>
            </w:r>
          </w:p>
        </w:tc>
        <w:tc>
          <w:tcPr>
            <w:tcW w:w="2552" w:type="dxa"/>
            <w:shd w:val="clear" w:color="auto" w:fill="A6A6A6"/>
          </w:tcPr>
          <w:p>
            <w:pPr/>
          </w:p>
        </w:tc>
      </w:tr>
      <w:tr>
        <w:trPr>
          <w:trHeight w:val="365" w:hRule="exact"/>
        </w:trPr>
        <w:tc>
          <w:tcPr>
            <w:tcW w:w="1098" w:type="dxa"/>
            <w:gridSpan w:val="2"/>
            <w:shd w:val="clear" w:color="auto" w:fill="A6A6A6"/>
          </w:tcPr>
          <w:p>
            <w:pPr>
              <w:pStyle w:val="TableParagraph"/>
              <w:spacing w:before="52"/>
              <w:ind w:left="244"/>
              <w:rPr>
                <w:rFonts w:ascii="Trebuchet MS"/>
                <w:b/>
                <w:sz w:val="20"/>
              </w:rPr>
            </w:pPr>
            <w:r>
              <w:rPr>
                <w:rFonts w:ascii="Trebuchet MS"/>
                <w:b/>
                <w:sz w:val="20"/>
              </w:rPr>
              <w:t>1.1</w:t>
            </w:r>
          </w:p>
        </w:tc>
        <w:tc>
          <w:tcPr>
            <w:tcW w:w="7515" w:type="dxa"/>
            <w:gridSpan w:val="6"/>
            <w:shd w:val="clear" w:color="auto" w:fill="D9D9D9"/>
          </w:tcPr>
          <w:p>
            <w:pPr>
              <w:pStyle w:val="TableParagraph"/>
              <w:spacing w:before="52"/>
              <w:ind w:left="101"/>
              <w:rPr>
                <w:rFonts w:ascii="Trebuchet MS" w:hAnsi="Trebuchet MS"/>
                <w:b/>
                <w:sz w:val="20"/>
              </w:rPr>
            </w:pPr>
            <w:r>
              <w:rPr>
                <w:rFonts w:ascii="Trebuchet MS" w:hAnsi="Trebuchet MS"/>
                <w:b/>
                <w:sz w:val="20"/>
              </w:rPr>
              <w:t>ΓΕΝΙΚΑ  ΣΤΟΙΧΕΙΑ ΤΑΥΤΟΤΗΤΑΣ ΔΙΚΑΙΟΥΧΟΥ (Επιχείρηση)</w:t>
            </w:r>
          </w:p>
        </w:tc>
      </w:tr>
      <w:tr>
        <w:trPr>
          <w:trHeight w:val="444" w:hRule="exact"/>
        </w:trPr>
        <w:tc>
          <w:tcPr>
            <w:tcW w:w="4642" w:type="dxa"/>
            <w:gridSpan w:val="6"/>
            <w:shd w:val="clear" w:color="auto" w:fill="D9D9D9"/>
          </w:tcPr>
          <w:p>
            <w:pPr>
              <w:pStyle w:val="TableParagraph"/>
              <w:spacing w:before="107"/>
              <w:ind w:right="99"/>
              <w:jc w:val="right"/>
              <w:rPr>
                <w:rFonts w:ascii="Trebuchet MS" w:hAnsi="Trebuchet MS"/>
                <w:b/>
                <w:sz w:val="18"/>
              </w:rPr>
            </w:pPr>
            <w:r>
              <w:rPr>
                <w:rFonts w:ascii="Trebuchet MS" w:hAnsi="Trebuchet MS"/>
                <w:b/>
                <w:sz w:val="18"/>
              </w:rPr>
              <w:t>1.1.0 Ξένο ΑΦΜ</w:t>
            </w:r>
          </w:p>
        </w:tc>
        <w:tc>
          <w:tcPr>
            <w:tcW w:w="3971" w:type="dxa"/>
            <w:gridSpan w:val="2"/>
          </w:tcPr>
          <w:p>
            <w:pPr>
              <w:pStyle w:val="TableParagraph"/>
              <w:spacing w:before="107"/>
              <w:ind w:left="103"/>
              <w:rPr>
                <w:rFonts w:ascii="Trebuchet MS" w:hAnsi="Trebuchet MS"/>
                <w:sz w:val="18"/>
              </w:rPr>
            </w:pPr>
            <w:r>
              <w:rPr>
                <w:rFonts w:ascii="Trebuchet MS" w:hAnsi="Trebuchet MS"/>
                <w:sz w:val="18"/>
              </w:rPr>
              <w:t>ΝΑΙ/ΟΧΙ</w:t>
            </w:r>
          </w:p>
        </w:tc>
      </w:tr>
      <w:tr>
        <w:trPr>
          <w:trHeight w:val="444" w:hRule="exact"/>
        </w:trPr>
        <w:tc>
          <w:tcPr>
            <w:tcW w:w="4642" w:type="dxa"/>
            <w:gridSpan w:val="6"/>
            <w:shd w:val="clear" w:color="auto" w:fill="D9D9D9"/>
          </w:tcPr>
          <w:p>
            <w:pPr>
              <w:pStyle w:val="TableParagraph"/>
              <w:spacing w:before="107"/>
              <w:ind w:left="3031"/>
              <w:rPr>
                <w:rFonts w:ascii="Trebuchet MS" w:hAnsi="Trebuchet MS"/>
                <w:b/>
                <w:sz w:val="18"/>
              </w:rPr>
            </w:pPr>
            <w:r>
              <w:rPr>
                <w:rFonts w:ascii="Trebuchet MS" w:hAnsi="Trebuchet MS"/>
                <w:b/>
                <w:sz w:val="18"/>
              </w:rPr>
              <w:t>1.1.1 Α.Φ.Μ./VAT</w:t>
            </w:r>
          </w:p>
        </w:tc>
        <w:tc>
          <w:tcPr>
            <w:tcW w:w="3971" w:type="dxa"/>
            <w:gridSpan w:val="2"/>
          </w:tcPr>
          <w:p>
            <w:pPr>
              <w:pStyle w:val="TableParagraph"/>
              <w:spacing w:before="107"/>
              <w:ind w:left="103"/>
              <w:rPr>
                <w:rFonts w:ascii="Trebuchet MS"/>
                <w:sz w:val="18"/>
              </w:rPr>
            </w:pPr>
            <w:r>
              <w:rPr>
                <w:rFonts w:ascii="Trebuchet MS"/>
                <w:sz w:val="18"/>
              </w:rPr>
              <w:t>&lt;VAT_FOREA&gt;</w:t>
            </w:r>
          </w:p>
        </w:tc>
      </w:tr>
      <w:tr>
        <w:trPr>
          <w:trHeight w:val="443" w:hRule="exact"/>
        </w:trPr>
        <w:tc>
          <w:tcPr>
            <w:tcW w:w="4642" w:type="dxa"/>
            <w:gridSpan w:val="6"/>
            <w:shd w:val="clear" w:color="auto" w:fill="D9D9D9"/>
          </w:tcPr>
          <w:p>
            <w:pPr>
              <w:pStyle w:val="TableParagraph"/>
              <w:spacing w:before="107"/>
              <w:ind w:left="2006"/>
              <w:rPr>
                <w:rFonts w:ascii="Trebuchet MS" w:hAnsi="Trebuchet MS"/>
                <w:b/>
                <w:sz w:val="18"/>
              </w:rPr>
            </w:pPr>
            <w:r>
              <w:rPr>
                <w:rFonts w:ascii="Trebuchet MS" w:hAnsi="Trebuchet MS"/>
                <w:b/>
                <w:sz w:val="18"/>
              </w:rPr>
              <w:t>1.1.2 ΕΠΩΝΥΜΙΑ ΕΠΙΧΕΙΡΗΣΗΣ</w:t>
            </w:r>
          </w:p>
        </w:tc>
        <w:tc>
          <w:tcPr>
            <w:tcW w:w="3971" w:type="dxa"/>
            <w:gridSpan w:val="2"/>
          </w:tcPr>
          <w:p>
            <w:pPr>
              <w:pStyle w:val="TableParagraph"/>
              <w:spacing w:before="107"/>
              <w:ind w:left="103"/>
              <w:rPr>
                <w:rFonts w:ascii="Trebuchet MS"/>
                <w:sz w:val="18"/>
              </w:rPr>
            </w:pPr>
            <w:r>
              <w:rPr>
                <w:rFonts w:ascii="Trebuchet MS"/>
                <w:sz w:val="18"/>
              </w:rPr>
              <w:t>&lt;ANADOXOI_EPONYMIA&gt;</w:t>
            </w:r>
          </w:p>
        </w:tc>
      </w:tr>
      <w:tr>
        <w:trPr>
          <w:trHeight w:val="443" w:hRule="exact"/>
        </w:trPr>
        <w:tc>
          <w:tcPr>
            <w:tcW w:w="4642" w:type="dxa"/>
            <w:gridSpan w:val="6"/>
            <w:shd w:val="clear" w:color="auto" w:fill="D9D9D9"/>
          </w:tcPr>
          <w:p>
            <w:pPr>
              <w:pStyle w:val="TableParagraph"/>
              <w:spacing w:before="108"/>
              <w:ind w:left="1171"/>
              <w:rPr>
                <w:rFonts w:ascii="Trebuchet MS" w:hAnsi="Trebuchet MS"/>
                <w:b/>
                <w:sz w:val="18"/>
              </w:rPr>
            </w:pPr>
            <w:r>
              <w:rPr>
                <w:rFonts w:ascii="Trebuchet MS" w:hAnsi="Trebuchet MS"/>
                <w:b/>
                <w:sz w:val="18"/>
              </w:rPr>
              <w:t>1.1.3 ΔΙΑΚΡΙΤΙΚΟΣ ΤΙΤΛΟΣ ΕΠΙΧΕΙΡΗΣΗΣ</w:t>
            </w:r>
          </w:p>
        </w:tc>
        <w:tc>
          <w:tcPr>
            <w:tcW w:w="3971" w:type="dxa"/>
            <w:gridSpan w:val="2"/>
          </w:tcPr>
          <w:p>
            <w:pPr/>
          </w:p>
        </w:tc>
      </w:tr>
      <w:tr>
        <w:trPr>
          <w:trHeight w:val="444" w:hRule="exact"/>
        </w:trPr>
        <w:tc>
          <w:tcPr>
            <w:tcW w:w="4642" w:type="dxa"/>
            <w:gridSpan w:val="6"/>
            <w:shd w:val="clear" w:color="auto" w:fill="D9D9D9"/>
          </w:tcPr>
          <w:p>
            <w:pPr>
              <w:pStyle w:val="TableParagraph"/>
              <w:spacing w:before="107"/>
              <w:ind w:left="2388"/>
              <w:rPr>
                <w:rFonts w:ascii="Trebuchet MS" w:hAnsi="Trebuchet MS"/>
                <w:b/>
                <w:sz w:val="18"/>
              </w:rPr>
            </w:pPr>
            <w:r>
              <w:rPr>
                <w:rFonts w:ascii="Trebuchet MS" w:hAnsi="Trebuchet MS"/>
                <w:b/>
                <w:sz w:val="18"/>
              </w:rPr>
              <w:t>1.1.4 ΕΙΔΟΣ ΕΠΙΧΕΙΡΗΣΗΣ</w:t>
            </w:r>
          </w:p>
        </w:tc>
        <w:tc>
          <w:tcPr>
            <w:tcW w:w="3971" w:type="dxa"/>
            <w:gridSpan w:val="2"/>
          </w:tcPr>
          <w:p>
            <w:pPr>
              <w:pStyle w:val="TableParagraph"/>
              <w:spacing w:before="107"/>
              <w:ind w:left="103"/>
              <w:rPr>
                <w:rFonts w:ascii="Trebuchet MS" w:hAnsi="Trebuchet MS"/>
                <w:b/>
                <w:sz w:val="18"/>
              </w:rPr>
            </w:pPr>
            <w:r>
              <w:rPr>
                <w:rFonts w:ascii="Trebuchet MS" w:hAnsi="Trebuchet MS"/>
                <w:b/>
                <w:sz w:val="18"/>
              </w:rPr>
              <w:t>ΥΦΙΣΤΑΜΕΝΗ</w:t>
            </w:r>
          </w:p>
        </w:tc>
      </w:tr>
      <w:tr>
        <w:trPr>
          <w:trHeight w:val="757" w:hRule="exact"/>
        </w:trPr>
        <w:tc>
          <w:tcPr>
            <w:tcW w:w="4642" w:type="dxa"/>
            <w:gridSpan w:val="6"/>
            <w:shd w:val="clear" w:color="auto" w:fill="D9D9D9"/>
          </w:tcPr>
          <w:p>
            <w:pPr>
              <w:pStyle w:val="TableParagraph"/>
              <w:spacing w:before="107"/>
              <w:ind w:right="101"/>
              <w:jc w:val="right"/>
              <w:rPr>
                <w:rFonts w:ascii="Trebuchet MS" w:hAnsi="Trebuchet MS"/>
                <w:b/>
                <w:sz w:val="18"/>
              </w:rPr>
            </w:pPr>
            <w:r>
              <w:rPr>
                <w:rFonts w:ascii="Trebuchet MS" w:hAnsi="Trebuchet MS"/>
                <w:b/>
                <w:sz w:val="18"/>
              </w:rPr>
              <w:t>1.1.5 ΗΜΕΡΟΜΗΝΙΑ ΕΝΑΡΞΗΣ ΕΡΓΑΣΙΩΝ</w:t>
            </w:r>
          </w:p>
          <w:p>
            <w:pPr>
              <w:pStyle w:val="TableParagraph"/>
              <w:spacing w:before="105"/>
              <w:ind w:right="99"/>
              <w:jc w:val="right"/>
              <w:rPr>
                <w:rFonts w:ascii="Trebuchet MS" w:hAnsi="Trebuchet MS"/>
                <w:b/>
                <w:sz w:val="18"/>
              </w:rPr>
            </w:pPr>
            <w:r>
              <w:rPr>
                <w:rFonts w:ascii="Trebuchet MS" w:hAnsi="Trebuchet MS"/>
                <w:b/>
                <w:sz w:val="18"/>
              </w:rPr>
              <w:t>ΕΠΙΧΕΙΡΗΣΗΣ</w:t>
            </w:r>
          </w:p>
        </w:tc>
        <w:tc>
          <w:tcPr>
            <w:tcW w:w="3971" w:type="dxa"/>
            <w:gridSpan w:val="2"/>
          </w:tcPr>
          <w:p>
            <w:pPr>
              <w:pStyle w:val="TableParagraph"/>
              <w:spacing w:before="107"/>
              <w:ind w:left="103"/>
              <w:rPr>
                <w:rFonts w:ascii="Trebuchet MS" w:hAnsi="Trebuchet MS"/>
                <w:sz w:val="18"/>
              </w:rPr>
            </w:pPr>
            <w:r>
              <w:rPr>
                <w:rFonts w:ascii="Trebuchet MS" w:hAnsi="Trebuchet MS"/>
                <w:sz w:val="18"/>
              </w:rPr>
              <w:t>ΒΑΣΕΙ ΕΝΑΡΞΗΣ ΑΠΟ Δ.Ο.Υ.</w:t>
            </w:r>
          </w:p>
        </w:tc>
      </w:tr>
      <w:tr>
        <w:trPr>
          <w:trHeight w:val="1072" w:hRule="exact"/>
        </w:trPr>
        <w:tc>
          <w:tcPr>
            <w:tcW w:w="4642" w:type="dxa"/>
            <w:gridSpan w:val="6"/>
            <w:shd w:val="clear" w:color="auto" w:fill="D9D9D9"/>
          </w:tcPr>
          <w:p>
            <w:pPr>
              <w:pStyle w:val="TableParagraph"/>
              <w:rPr>
                <w:rFonts w:ascii="Trebuchet MS"/>
                <w:b/>
                <w:sz w:val="20"/>
              </w:rPr>
            </w:pPr>
          </w:p>
          <w:p>
            <w:pPr>
              <w:pStyle w:val="TableParagraph"/>
              <w:spacing w:before="2"/>
              <w:rPr>
                <w:rFonts w:ascii="Trebuchet MS"/>
                <w:b/>
                <w:sz w:val="16"/>
              </w:rPr>
            </w:pPr>
          </w:p>
          <w:p>
            <w:pPr>
              <w:pStyle w:val="TableParagraph"/>
              <w:ind w:left="2674"/>
              <w:rPr>
                <w:rFonts w:ascii="Trebuchet MS" w:hAnsi="Trebuchet MS"/>
                <w:b/>
                <w:sz w:val="18"/>
              </w:rPr>
            </w:pPr>
            <w:r>
              <w:rPr>
                <w:rFonts w:ascii="Trebuchet MS" w:hAnsi="Trebuchet MS"/>
                <w:b/>
                <w:sz w:val="18"/>
              </w:rPr>
              <w:t>1.1.6 ΝΟΜΙΚΗ ΜΟΡΦΗ</w:t>
            </w:r>
          </w:p>
        </w:tc>
        <w:tc>
          <w:tcPr>
            <w:tcW w:w="3971" w:type="dxa"/>
            <w:gridSpan w:val="2"/>
          </w:tcPr>
          <w:p>
            <w:pPr>
              <w:pStyle w:val="TableParagraph"/>
              <w:tabs>
                <w:tab w:pos="991" w:val="left" w:leader="none"/>
              </w:tabs>
              <w:spacing w:line="360" w:lineRule="auto" w:before="108"/>
              <w:ind w:left="103" w:right="101"/>
              <w:rPr>
                <w:rFonts w:ascii="Trebuchet MS" w:hAnsi="Trebuchet MS"/>
                <w:sz w:val="18"/>
              </w:rPr>
            </w:pPr>
            <w:r>
              <w:rPr>
                <w:rFonts w:ascii="Trebuchet MS" w:hAnsi="Trebuchet MS"/>
                <w:sz w:val="18"/>
              </w:rPr>
              <w:t>ΑΕ/ΟΕ/ΕΕ/ΙΚΕ/ΕΠΕ/ΑΕ/Συνεταιρισμός/ Ατομική</w:t>
              <w:tab/>
              <w:t>Επιχείρηση/ΚΟΙΝ.Σ.ΕΠ./Ναυτιλιακή Εταιρεία Πλοίων Αναψυχής</w:t>
            </w:r>
            <w:r>
              <w:rPr>
                <w:rFonts w:ascii="Trebuchet MS" w:hAnsi="Trebuchet MS"/>
                <w:spacing w:val="-14"/>
                <w:sz w:val="18"/>
              </w:rPr>
              <w:t> </w:t>
            </w:r>
            <w:r>
              <w:rPr>
                <w:rFonts w:ascii="Trebuchet MS" w:hAnsi="Trebuchet MS"/>
                <w:sz w:val="18"/>
              </w:rPr>
              <w:t>(Ν.Ε.Π.Α.)</w:t>
            </w:r>
          </w:p>
        </w:tc>
      </w:tr>
      <w:tr>
        <w:trPr>
          <w:trHeight w:val="442" w:hRule="exact"/>
        </w:trPr>
        <w:tc>
          <w:tcPr>
            <w:tcW w:w="4642" w:type="dxa"/>
            <w:gridSpan w:val="6"/>
            <w:shd w:val="clear" w:color="auto" w:fill="D9D9D9"/>
          </w:tcPr>
          <w:p>
            <w:pPr>
              <w:pStyle w:val="TableParagraph"/>
              <w:spacing w:before="107"/>
              <w:ind w:right="100"/>
              <w:jc w:val="right"/>
              <w:rPr>
                <w:rFonts w:ascii="Trebuchet MS" w:hAnsi="Trebuchet MS"/>
                <w:b/>
                <w:sz w:val="18"/>
              </w:rPr>
            </w:pPr>
            <w:r>
              <w:rPr>
                <w:rFonts w:ascii="Trebuchet MS" w:hAnsi="Trebuchet MS"/>
                <w:b/>
                <w:sz w:val="18"/>
              </w:rPr>
              <w:t>1.1.7 Δ.Ο.Υ.</w:t>
            </w:r>
          </w:p>
        </w:tc>
        <w:tc>
          <w:tcPr>
            <w:tcW w:w="3971" w:type="dxa"/>
            <w:gridSpan w:val="2"/>
          </w:tcPr>
          <w:p>
            <w:pPr>
              <w:pStyle w:val="TableParagraph"/>
              <w:spacing w:before="107"/>
              <w:ind w:left="103"/>
              <w:rPr>
                <w:rFonts w:ascii="Trebuchet MS" w:hAnsi="Trebuchet MS"/>
                <w:sz w:val="18"/>
              </w:rPr>
            </w:pPr>
            <w:r>
              <w:rPr>
                <w:rFonts w:ascii="Trebuchet MS" w:hAnsi="Trebuchet MS"/>
                <w:sz w:val="18"/>
              </w:rPr>
              <w:t>ΕΠΙΛΟΓΗ ΑΠΟ ΛΙΣΤΑ</w:t>
            </w:r>
          </w:p>
        </w:tc>
      </w:tr>
      <w:tr>
        <w:trPr>
          <w:trHeight w:val="445" w:hRule="exact"/>
        </w:trPr>
        <w:tc>
          <w:tcPr>
            <w:tcW w:w="4642" w:type="dxa"/>
            <w:gridSpan w:val="6"/>
            <w:shd w:val="clear" w:color="auto" w:fill="D9D9D9"/>
          </w:tcPr>
          <w:p>
            <w:pPr>
              <w:pStyle w:val="TableParagraph"/>
              <w:spacing w:before="107"/>
              <w:ind w:left="2815"/>
              <w:rPr>
                <w:rFonts w:ascii="Trebuchet MS" w:hAnsi="Trebuchet MS"/>
                <w:b/>
                <w:sz w:val="18"/>
              </w:rPr>
            </w:pPr>
            <w:r>
              <w:rPr>
                <w:rFonts w:ascii="Trebuchet MS" w:hAnsi="Trebuchet MS"/>
                <w:b/>
                <w:sz w:val="18"/>
              </w:rPr>
              <w:t>1.1.8 ΕΙΔΟΣ ΒΙΒΛΙΩΝ</w:t>
            </w:r>
          </w:p>
        </w:tc>
        <w:tc>
          <w:tcPr>
            <w:tcW w:w="3971" w:type="dxa"/>
            <w:gridSpan w:val="2"/>
          </w:tcPr>
          <w:p>
            <w:pPr>
              <w:pStyle w:val="TableParagraph"/>
              <w:spacing w:before="107"/>
              <w:ind w:left="103"/>
              <w:rPr>
                <w:rFonts w:ascii="Trebuchet MS" w:hAnsi="Trebuchet MS"/>
                <w:sz w:val="18"/>
              </w:rPr>
            </w:pPr>
            <w:r>
              <w:rPr>
                <w:rFonts w:ascii="Trebuchet MS" w:hAnsi="Trebuchet MS"/>
                <w:sz w:val="18"/>
              </w:rPr>
              <w:t>Απλογραφικά/διπλογραφικά</w:t>
            </w:r>
          </w:p>
        </w:tc>
      </w:tr>
      <w:tr>
        <w:trPr>
          <w:trHeight w:val="444" w:hRule="exact"/>
        </w:trPr>
        <w:tc>
          <w:tcPr>
            <w:tcW w:w="4642" w:type="dxa"/>
            <w:gridSpan w:val="6"/>
            <w:shd w:val="clear" w:color="auto" w:fill="D9D9D9"/>
          </w:tcPr>
          <w:p>
            <w:pPr>
              <w:pStyle w:val="TableParagraph"/>
              <w:spacing w:before="107"/>
              <w:ind w:left="1322"/>
              <w:rPr>
                <w:rFonts w:ascii="Trebuchet MS" w:hAnsi="Trebuchet MS"/>
                <w:b/>
                <w:sz w:val="18"/>
              </w:rPr>
            </w:pPr>
            <w:r>
              <w:rPr>
                <w:rFonts w:ascii="Trebuchet MS" w:hAnsi="Trebuchet MS"/>
                <w:b/>
                <w:sz w:val="18"/>
              </w:rPr>
              <w:t>1.1.9 ΑΝΤΙΚΕΙΜΕΝΟ ΔΡΑΣΤΗΡΙΟΤΗΤΑΣ</w:t>
            </w:r>
          </w:p>
        </w:tc>
        <w:tc>
          <w:tcPr>
            <w:tcW w:w="3971" w:type="dxa"/>
            <w:gridSpan w:val="2"/>
          </w:tcPr>
          <w:p>
            <w:pPr>
              <w:pStyle w:val="TableParagraph"/>
              <w:spacing w:before="107"/>
              <w:ind w:left="103"/>
              <w:rPr>
                <w:rFonts w:ascii="Trebuchet MS" w:hAnsi="Trebuchet MS"/>
                <w:sz w:val="18"/>
              </w:rPr>
            </w:pPr>
            <w:r>
              <w:rPr>
                <w:rFonts w:ascii="Trebuchet MS" w:hAnsi="Trebuchet MS"/>
                <w:sz w:val="18"/>
              </w:rPr>
              <w:t>ΠΕΡΙΓΡΑΦΗ ΒΑΣΕΙ ΔΟΥ Ή ΑΔΕΙΑΣ ΛΕΙΤΟΥΡΓΙΑΣ</w:t>
            </w:r>
          </w:p>
        </w:tc>
      </w:tr>
      <w:tr>
        <w:trPr>
          <w:trHeight w:val="2131" w:hRule="exact"/>
        </w:trPr>
        <w:tc>
          <w:tcPr>
            <w:tcW w:w="4642" w:type="dxa"/>
            <w:gridSpan w:val="6"/>
            <w:shd w:val="clear" w:color="auto" w:fill="D9D9D9"/>
          </w:tcPr>
          <w:p>
            <w:pPr>
              <w:pStyle w:val="TableParagraph"/>
              <w:rPr>
                <w:rFonts w:ascii="Trebuchet MS"/>
                <w:b/>
                <w:sz w:val="20"/>
              </w:rPr>
            </w:pPr>
          </w:p>
          <w:p>
            <w:pPr>
              <w:pStyle w:val="TableParagraph"/>
              <w:rPr>
                <w:rFonts w:ascii="Trebuchet MS"/>
                <w:b/>
                <w:sz w:val="20"/>
              </w:rPr>
            </w:pPr>
          </w:p>
          <w:p>
            <w:pPr>
              <w:pStyle w:val="TableParagraph"/>
              <w:rPr>
                <w:rFonts w:ascii="Trebuchet MS"/>
                <w:b/>
                <w:sz w:val="20"/>
              </w:rPr>
            </w:pPr>
          </w:p>
          <w:p>
            <w:pPr>
              <w:pStyle w:val="TableParagraph"/>
              <w:spacing w:before="11"/>
              <w:rPr>
                <w:rFonts w:ascii="Trebuchet MS"/>
                <w:b/>
                <w:sz w:val="21"/>
              </w:rPr>
            </w:pPr>
          </w:p>
          <w:p>
            <w:pPr>
              <w:pStyle w:val="TableParagraph"/>
              <w:ind w:left="1972"/>
              <w:rPr>
                <w:rFonts w:ascii="Trebuchet MS" w:hAnsi="Trebuchet MS"/>
                <w:b/>
                <w:sz w:val="18"/>
              </w:rPr>
            </w:pPr>
            <w:r>
              <w:rPr>
                <w:rFonts w:ascii="Trebuchet MS" w:hAnsi="Trebuchet MS"/>
                <w:b/>
                <w:sz w:val="18"/>
              </w:rPr>
              <w:t>1.1.10 ΜΕΓΕΘΟΣ ΕΠΙΧΕΙΡΗΣΗΣ</w:t>
            </w:r>
          </w:p>
        </w:tc>
        <w:tc>
          <w:tcPr>
            <w:tcW w:w="3971" w:type="dxa"/>
            <w:gridSpan w:val="2"/>
          </w:tcPr>
          <w:p>
            <w:pPr>
              <w:pStyle w:val="TableParagraph"/>
              <w:spacing w:before="107"/>
              <w:ind w:left="103"/>
              <w:jc w:val="both"/>
              <w:rPr>
                <w:rFonts w:ascii="Trebuchet MS" w:hAnsi="Trebuchet MS"/>
                <w:sz w:val="18"/>
              </w:rPr>
            </w:pPr>
            <w:r>
              <w:rPr>
                <w:rFonts w:ascii="Trebuchet MS" w:hAnsi="Trebuchet MS"/>
                <w:sz w:val="18"/>
              </w:rPr>
              <w:t>ΠΟΛΥ ΜΙΚΡΗ/ΜΙΚΡΗ/ΜΕΣΑΙΑ</w:t>
            </w:r>
          </w:p>
          <w:p>
            <w:pPr>
              <w:pStyle w:val="TableParagraph"/>
              <w:spacing w:before="4"/>
              <w:rPr>
                <w:rFonts w:ascii="Trebuchet MS"/>
                <w:b/>
                <w:sz w:val="19"/>
              </w:rPr>
            </w:pPr>
          </w:p>
          <w:p>
            <w:pPr>
              <w:pStyle w:val="TableParagraph"/>
              <w:ind w:left="103"/>
              <w:jc w:val="both"/>
              <w:rPr>
                <w:rFonts w:ascii="Trebuchet MS" w:hAnsi="Trebuchet MS"/>
                <w:sz w:val="18"/>
              </w:rPr>
            </w:pPr>
            <w:r>
              <w:rPr>
                <w:rFonts w:ascii="Trebuchet MS" w:hAnsi="Trebuchet MS"/>
                <w:sz w:val="18"/>
              </w:rPr>
              <w:t>Σύμφωνα με τον ορισμό της ΜΜΕ  (Παράρτημα</w:t>
            </w:r>
          </w:p>
          <w:p>
            <w:pPr>
              <w:pStyle w:val="TableParagraph"/>
              <w:spacing w:line="360" w:lineRule="auto" w:before="103"/>
              <w:ind w:left="103" w:right="99"/>
              <w:jc w:val="both"/>
              <w:rPr>
                <w:rFonts w:ascii="Trebuchet MS" w:hAnsi="Trebuchet MS"/>
                <w:sz w:val="18"/>
              </w:rPr>
            </w:pPr>
            <w:r>
              <w:rPr>
                <w:rFonts w:ascii="Trebuchet MS" w:hAnsi="Trebuchet MS"/>
                <w:sz w:val="18"/>
              </w:rPr>
              <w:t>IV) και την δήλωση ΜΜΕ η οποία αποτελεί τυπικό δικαιολογητικό (Παράρτημα V) συμπληρώνεται    το    αντίστοιχο    πεδίο    </w:t>
            </w:r>
            <w:r>
              <w:rPr>
                <w:rFonts w:ascii="Trebuchet MS" w:hAnsi="Trebuchet MS"/>
                <w:spacing w:val="51"/>
                <w:sz w:val="18"/>
              </w:rPr>
              <w:t> </w:t>
            </w:r>
            <w:r>
              <w:rPr>
                <w:rFonts w:ascii="Trebuchet MS" w:hAnsi="Trebuchet MS"/>
                <w:sz w:val="18"/>
              </w:rPr>
              <w:t>-</w:t>
            </w:r>
          </w:p>
          <w:p>
            <w:pPr>
              <w:pStyle w:val="TableParagraph"/>
              <w:spacing w:line="207" w:lineRule="exact"/>
              <w:ind w:left="103"/>
              <w:jc w:val="both"/>
              <w:rPr>
                <w:rFonts w:ascii="Trebuchet MS"/>
                <w:sz w:val="18"/>
              </w:rPr>
            </w:pPr>
            <w:r>
              <w:rPr>
                <w:rFonts w:ascii="Trebuchet MS"/>
                <w:sz w:val="18"/>
              </w:rPr>
              <w:t>&lt;ANADOXOI_MEGETHOS_VALUE&gt;</w:t>
            </w:r>
          </w:p>
        </w:tc>
      </w:tr>
      <w:tr>
        <w:trPr>
          <w:trHeight w:val="444" w:hRule="exact"/>
        </w:trPr>
        <w:tc>
          <w:tcPr>
            <w:tcW w:w="4642" w:type="dxa"/>
            <w:gridSpan w:val="6"/>
            <w:shd w:val="clear" w:color="auto" w:fill="D9D9D9"/>
          </w:tcPr>
          <w:p>
            <w:pPr>
              <w:pStyle w:val="TableParagraph"/>
              <w:spacing w:before="107"/>
              <w:ind w:left="230"/>
              <w:rPr>
                <w:rFonts w:ascii="Trebuchet MS" w:hAnsi="Trebuchet MS"/>
                <w:b/>
                <w:sz w:val="18"/>
              </w:rPr>
            </w:pPr>
            <w:r>
              <w:rPr>
                <w:rFonts w:ascii="Trebuchet MS" w:hAnsi="Trebuchet MS"/>
                <w:b/>
                <w:sz w:val="18"/>
              </w:rPr>
              <w:t>1.1.11. Η ΕΠΙΧΕΙΡΗΣΗ ΕΙΝΑΙ ΕΞΩΧΩΡΙΑ (OFFSHORE)</w:t>
            </w:r>
          </w:p>
        </w:tc>
        <w:tc>
          <w:tcPr>
            <w:tcW w:w="3971" w:type="dxa"/>
            <w:gridSpan w:val="2"/>
          </w:tcPr>
          <w:p>
            <w:pPr>
              <w:pStyle w:val="TableParagraph"/>
              <w:spacing w:before="107"/>
              <w:ind w:left="103"/>
              <w:rPr>
                <w:rFonts w:ascii="Trebuchet MS" w:hAnsi="Trebuchet MS"/>
                <w:sz w:val="18"/>
              </w:rPr>
            </w:pPr>
            <w:r>
              <w:rPr>
                <w:rFonts w:ascii="Trebuchet MS" w:hAnsi="Trebuchet MS"/>
                <w:sz w:val="18"/>
              </w:rPr>
              <w:t>ΝΑΙ/ΟΧΙ</w:t>
            </w:r>
          </w:p>
        </w:tc>
      </w:tr>
    </w:tbl>
    <w:p>
      <w:pPr>
        <w:spacing w:after="0"/>
        <w:rPr>
          <w:rFonts w:ascii="Trebuchet MS" w:hAnsi="Trebuchet MS"/>
          <w:sz w:val="18"/>
        </w:rPr>
        <w:sectPr>
          <w:headerReference w:type="default" r:id="rId39"/>
          <w:pgSz w:w="11910" w:h="16840"/>
          <w:pgMar w:header="275" w:footer="978" w:top="460" w:bottom="1160" w:left="940" w:right="1480"/>
          <w:pgBorders w:offsetFrom="page">
            <w:top w:val="single" w:color="000000" w:space="24" w:sz="4"/>
            <w:left w:val="single" w:color="000000" w:space="24" w:sz="4"/>
            <w:bottom w:val="single" w:color="000000" w:space="24" w:sz="4"/>
            <w:right w:val="single" w:color="000000" w:space="24" w:sz="4"/>
          </w:pgBorder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tbl>
      <w:tblPr>
        <w:tblW w:w="0" w:type="auto"/>
        <w:jc w:val="left"/>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
        <w:gridCol w:w="958"/>
        <w:gridCol w:w="2197"/>
        <w:gridCol w:w="4446"/>
      </w:tblGrid>
      <w:tr>
        <w:trPr>
          <w:trHeight w:val="365" w:hRule="exact"/>
        </w:trPr>
        <w:tc>
          <w:tcPr>
            <w:tcW w:w="924" w:type="dxa"/>
            <w:shd w:val="clear" w:color="auto" w:fill="999999"/>
          </w:tcPr>
          <w:p>
            <w:pPr>
              <w:pStyle w:val="TableParagraph"/>
              <w:spacing w:before="57"/>
              <w:ind w:left="244"/>
              <w:rPr>
                <w:rFonts w:ascii="Trebuchet MS"/>
                <w:b/>
                <w:sz w:val="20"/>
              </w:rPr>
            </w:pPr>
            <w:r>
              <w:rPr>
                <w:rFonts w:ascii="Trebuchet MS"/>
                <w:b/>
                <w:sz w:val="20"/>
              </w:rPr>
              <w:t>1.2</w:t>
            </w:r>
          </w:p>
        </w:tc>
        <w:tc>
          <w:tcPr>
            <w:tcW w:w="7600" w:type="dxa"/>
            <w:gridSpan w:val="3"/>
            <w:shd w:val="clear" w:color="auto" w:fill="D9D9D9"/>
          </w:tcPr>
          <w:p>
            <w:pPr>
              <w:pStyle w:val="TableParagraph"/>
              <w:spacing w:before="57"/>
              <w:ind w:left="103"/>
              <w:rPr>
                <w:rFonts w:ascii="Trebuchet MS" w:hAnsi="Trebuchet MS"/>
                <w:b/>
                <w:sz w:val="20"/>
              </w:rPr>
            </w:pPr>
            <w:r>
              <w:rPr>
                <w:rFonts w:ascii="Trebuchet MS" w:hAnsi="Trebuchet MS"/>
                <w:b/>
                <w:sz w:val="20"/>
              </w:rPr>
              <w:t>ΔΙΕΥΘΥΝΣΗ ΕΔΡΑΣ (ΣΥΜΦΩΝΑ ΜΕ ΤΗΝ NUTS Level II Κωδικοποίηση)</w:t>
            </w:r>
          </w:p>
        </w:tc>
      </w:tr>
      <w:tr>
        <w:trPr>
          <w:trHeight w:val="449" w:hRule="exact"/>
        </w:trPr>
        <w:tc>
          <w:tcPr>
            <w:tcW w:w="4078" w:type="dxa"/>
            <w:gridSpan w:val="3"/>
            <w:shd w:val="clear" w:color="auto" w:fill="D9D9D9"/>
          </w:tcPr>
          <w:p>
            <w:pPr>
              <w:pStyle w:val="TableParagraph"/>
              <w:spacing w:before="111"/>
              <w:ind w:right="98"/>
              <w:jc w:val="right"/>
              <w:rPr>
                <w:rFonts w:ascii="Trebuchet MS" w:hAnsi="Trebuchet MS"/>
                <w:b/>
                <w:sz w:val="18"/>
              </w:rPr>
            </w:pPr>
            <w:r>
              <w:rPr>
                <w:rFonts w:ascii="Trebuchet MS" w:hAnsi="Trebuchet MS"/>
                <w:b/>
                <w:sz w:val="18"/>
              </w:rPr>
              <w:t>1.2.0 ΧΩΡΑ</w:t>
            </w:r>
          </w:p>
        </w:tc>
        <w:tc>
          <w:tcPr>
            <w:tcW w:w="4446" w:type="dxa"/>
          </w:tcPr>
          <w:p>
            <w:pPr/>
          </w:p>
        </w:tc>
      </w:tr>
      <w:tr>
        <w:trPr>
          <w:trHeight w:val="444" w:hRule="exact"/>
        </w:trPr>
        <w:tc>
          <w:tcPr>
            <w:tcW w:w="4078" w:type="dxa"/>
            <w:gridSpan w:val="3"/>
            <w:shd w:val="clear" w:color="auto" w:fill="D9D9D9"/>
          </w:tcPr>
          <w:p>
            <w:pPr>
              <w:pStyle w:val="TableParagraph"/>
              <w:spacing w:before="107"/>
              <w:ind w:left="2400"/>
              <w:rPr>
                <w:rFonts w:ascii="Trebuchet MS" w:hAnsi="Trebuchet MS"/>
                <w:b/>
                <w:sz w:val="18"/>
              </w:rPr>
            </w:pPr>
            <w:r>
              <w:rPr>
                <w:rFonts w:ascii="Trebuchet MS" w:hAnsi="Trebuchet MS"/>
                <w:b/>
                <w:sz w:val="18"/>
              </w:rPr>
              <w:t>1.2.1. ΠΕΡΙΦΕΡΕΙΑ</w:t>
            </w:r>
          </w:p>
        </w:tc>
        <w:tc>
          <w:tcPr>
            <w:tcW w:w="4446" w:type="dxa"/>
          </w:tcPr>
          <w:p>
            <w:pPr/>
          </w:p>
        </w:tc>
      </w:tr>
      <w:tr>
        <w:trPr>
          <w:trHeight w:val="444" w:hRule="exact"/>
        </w:trPr>
        <w:tc>
          <w:tcPr>
            <w:tcW w:w="4078" w:type="dxa"/>
            <w:gridSpan w:val="3"/>
            <w:shd w:val="clear" w:color="auto" w:fill="D9D9D9"/>
          </w:tcPr>
          <w:p>
            <w:pPr>
              <w:pStyle w:val="TableParagraph"/>
              <w:spacing w:before="107"/>
              <w:ind w:left="1305"/>
              <w:rPr>
                <w:rFonts w:ascii="Trebuchet MS" w:hAnsi="Trebuchet MS"/>
                <w:b/>
                <w:sz w:val="18"/>
              </w:rPr>
            </w:pPr>
            <w:r>
              <w:rPr>
                <w:rFonts w:ascii="Trebuchet MS" w:hAnsi="Trebuchet MS"/>
                <w:b/>
                <w:sz w:val="18"/>
              </w:rPr>
              <w:t>1.2.2. ΠΕΡΙΦΕΡΕΙΑΚΗ ΕΝΟΤΗΤΑ</w:t>
            </w:r>
          </w:p>
        </w:tc>
        <w:tc>
          <w:tcPr>
            <w:tcW w:w="4446" w:type="dxa"/>
          </w:tcPr>
          <w:p>
            <w:pPr/>
          </w:p>
        </w:tc>
      </w:tr>
      <w:tr>
        <w:trPr>
          <w:trHeight w:val="443" w:hRule="exact"/>
        </w:trPr>
        <w:tc>
          <w:tcPr>
            <w:tcW w:w="4078" w:type="dxa"/>
            <w:gridSpan w:val="3"/>
            <w:shd w:val="clear" w:color="auto" w:fill="D9D9D9"/>
          </w:tcPr>
          <w:p>
            <w:pPr>
              <w:pStyle w:val="TableParagraph"/>
              <w:spacing w:before="107"/>
              <w:ind w:left="1636"/>
              <w:rPr>
                <w:rFonts w:ascii="Trebuchet MS" w:hAnsi="Trebuchet MS"/>
                <w:b/>
                <w:sz w:val="18"/>
              </w:rPr>
            </w:pPr>
            <w:r>
              <w:rPr>
                <w:rFonts w:ascii="Trebuchet MS" w:hAnsi="Trebuchet MS"/>
                <w:b/>
                <w:sz w:val="18"/>
              </w:rPr>
              <w:t>1.2.3. ΔΗΜΟΣ – ΚΟΙΝΟΤΗΤΑ</w:t>
            </w:r>
          </w:p>
        </w:tc>
        <w:tc>
          <w:tcPr>
            <w:tcW w:w="4446" w:type="dxa"/>
          </w:tcPr>
          <w:p>
            <w:pPr/>
          </w:p>
        </w:tc>
      </w:tr>
      <w:tr>
        <w:trPr>
          <w:trHeight w:val="443" w:hRule="exact"/>
        </w:trPr>
        <w:tc>
          <w:tcPr>
            <w:tcW w:w="4078" w:type="dxa"/>
            <w:gridSpan w:val="3"/>
            <w:shd w:val="clear" w:color="auto" w:fill="D9D9D9"/>
          </w:tcPr>
          <w:p>
            <w:pPr>
              <w:pStyle w:val="TableParagraph"/>
              <w:spacing w:before="108"/>
              <w:ind w:left="1651"/>
              <w:rPr>
                <w:rFonts w:ascii="Trebuchet MS" w:hAnsi="Trebuchet MS"/>
                <w:b/>
                <w:sz w:val="18"/>
              </w:rPr>
            </w:pPr>
            <w:r>
              <w:rPr>
                <w:rFonts w:ascii="Trebuchet MS" w:hAnsi="Trebuchet MS"/>
                <w:b/>
                <w:sz w:val="18"/>
              </w:rPr>
              <w:t>1.2.4. ΔΗΜΟΤΙΚΗ ENOTHTA</w:t>
            </w:r>
          </w:p>
        </w:tc>
        <w:tc>
          <w:tcPr>
            <w:tcW w:w="4446" w:type="dxa"/>
          </w:tcPr>
          <w:p>
            <w:pPr/>
          </w:p>
        </w:tc>
      </w:tr>
      <w:tr>
        <w:trPr>
          <w:trHeight w:val="444" w:hRule="exact"/>
        </w:trPr>
        <w:tc>
          <w:tcPr>
            <w:tcW w:w="1882" w:type="dxa"/>
            <w:gridSpan w:val="2"/>
            <w:vMerge w:val="restart"/>
            <w:shd w:val="clear" w:color="auto" w:fill="D9D9D9"/>
          </w:tcPr>
          <w:p>
            <w:pPr>
              <w:pStyle w:val="TableParagraph"/>
              <w:rPr>
                <w:rFonts w:ascii="Times New Roman"/>
                <w:sz w:val="20"/>
              </w:rPr>
            </w:pPr>
          </w:p>
          <w:p>
            <w:pPr>
              <w:pStyle w:val="TableParagraph"/>
              <w:spacing w:before="165"/>
              <w:ind w:left="242"/>
              <w:rPr>
                <w:rFonts w:ascii="Trebuchet MS" w:hAnsi="Trebuchet MS"/>
                <w:b/>
                <w:sz w:val="18"/>
              </w:rPr>
            </w:pPr>
            <w:r>
              <w:rPr>
                <w:rFonts w:ascii="Trebuchet MS" w:hAnsi="Trebuchet MS"/>
                <w:b/>
                <w:sz w:val="18"/>
              </w:rPr>
              <w:t>1.2.5. ΔΙΕΥΘΥΝΣΗ</w:t>
            </w:r>
          </w:p>
          <w:p>
            <w:pPr>
              <w:pStyle w:val="TableParagraph"/>
              <w:spacing w:before="103"/>
              <w:ind w:left="1235"/>
              <w:rPr>
                <w:rFonts w:ascii="Trebuchet MS" w:hAnsi="Trebuchet MS"/>
                <w:b/>
                <w:sz w:val="18"/>
              </w:rPr>
            </w:pPr>
            <w:r>
              <w:rPr>
                <w:rFonts w:ascii="Trebuchet MS" w:hAnsi="Trebuchet MS"/>
                <w:b/>
                <w:sz w:val="18"/>
              </w:rPr>
              <w:t>ΕΔΡΑΣ</w:t>
            </w:r>
          </w:p>
        </w:tc>
        <w:tc>
          <w:tcPr>
            <w:tcW w:w="2197" w:type="dxa"/>
            <w:shd w:val="clear" w:color="auto" w:fill="D9D9D9"/>
          </w:tcPr>
          <w:p>
            <w:pPr>
              <w:pStyle w:val="TableParagraph"/>
              <w:spacing w:before="107"/>
              <w:ind w:right="99"/>
              <w:jc w:val="right"/>
              <w:rPr>
                <w:rFonts w:ascii="Trebuchet MS" w:hAnsi="Trebuchet MS"/>
                <w:sz w:val="18"/>
              </w:rPr>
            </w:pPr>
            <w:r>
              <w:rPr>
                <w:rFonts w:ascii="Trebuchet MS" w:hAnsi="Trebuchet MS"/>
                <w:sz w:val="18"/>
              </w:rPr>
              <w:t>1.2.5.1 ΟΔΟΣ – ΑΡΙΘΜΟΣ</w:t>
            </w:r>
          </w:p>
        </w:tc>
        <w:tc>
          <w:tcPr>
            <w:tcW w:w="4446" w:type="dxa"/>
          </w:tcPr>
          <w:p>
            <w:pPr/>
          </w:p>
        </w:tc>
      </w:tr>
      <w:tr>
        <w:trPr>
          <w:trHeight w:val="444" w:hRule="exact"/>
        </w:trPr>
        <w:tc>
          <w:tcPr>
            <w:tcW w:w="1882" w:type="dxa"/>
            <w:gridSpan w:val="2"/>
            <w:vMerge/>
            <w:shd w:val="clear" w:color="auto" w:fill="D9D9D9"/>
          </w:tcPr>
          <w:p>
            <w:pPr/>
          </w:p>
        </w:tc>
        <w:tc>
          <w:tcPr>
            <w:tcW w:w="2197" w:type="dxa"/>
            <w:shd w:val="clear" w:color="auto" w:fill="D9D9D9"/>
          </w:tcPr>
          <w:p>
            <w:pPr>
              <w:pStyle w:val="TableParagraph"/>
              <w:spacing w:before="107"/>
              <w:ind w:right="101"/>
              <w:jc w:val="right"/>
              <w:rPr>
                <w:rFonts w:ascii="Trebuchet MS" w:hAnsi="Trebuchet MS"/>
                <w:sz w:val="18"/>
              </w:rPr>
            </w:pPr>
            <w:r>
              <w:rPr>
                <w:rFonts w:ascii="Trebuchet MS" w:hAnsi="Trebuchet MS"/>
                <w:sz w:val="18"/>
              </w:rPr>
              <w:t>1.2.5.2 ΤΟΠΟΘΕΣΙΑ</w:t>
            </w:r>
          </w:p>
        </w:tc>
        <w:tc>
          <w:tcPr>
            <w:tcW w:w="4446" w:type="dxa"/>
          </w:tcPr>
          <w:p>
            <w:pPr/>
          </w:p>
        </w:tc>
      </w:tr>
      <w:tr>
        <w:trPr>
          <w:trHeight w:val="444" w:hRule="exact"/>
        </w:trPr>
        <w:tc>
          <w:tcPr>
            <w:tcW w:w="1882" w:type="dxa"/>
            <w:gridSpan w:val="2"/>
            <w:vMerge/>
            <w:shd w:val="clear" w:color="auto" w:fill="D9D9D9"/>
          </w:tcPr>
          <w:p>
            <w:pPr/>
          </w:p>
        </w:tc>
        <w:tc>
          <w:tcPr>
            <w:tcW w:w="2197" w:type="dxa"/>
            <w:shd w:val="clear" w:color="auto" w:fill="D9D9D9"/>
          </w:tcPr>
          <w:p>
            <w:pPr>
              <w:pStyle w:val="TableParagraph"/>
              <w:spacing w:before="107"/>
              <w:ind w:right="100"/>
              <w:jc w:val="right"/>
              <w:rPr>
                <w:rFonts w:ascii="Trebuchet MS" w:hAnsi="Trebuchet MS"/>
                <w:sz w:val="18"/>
              </w:rPr>
            </w:pPr>
            <w:r>
              <w:rPr>
                <w:rFonts w:ascii="Trebuchet MS" w:hAnsi="Trebuchet MS"/>
                <w:sz w:val="18"/>
              </w:rPr>
              <w:t>1.2.5.3 ΤΑΧ. ΚΩΔΙΚΟΣ</w:t>
            </w:r>
          </w:p>
        </w:tc>
        <w:tc>
          <w:tcPr>
            <w:tcW w:w="4446" w:type="dxa"/>
          </w:tcPr>
          <w:p>
            <w:pPr/>
          </w:p>
        </w:tc>
      </w:tr>
      <w:tr>
        <w:trPr>
          <w:trHeight w:val="443" w:hRule="exact"/>
        </w:trPr>
        <w:tc>
          <w:tcPr>
            <w:tcW w:w="4078" w:type="dxa"/>
            <w:gridSpan w:val="3"/>
            <w:shd w:val="clear" w:color="auto" w:fill="D9D9D9"/>
          </w:tcPr>
          <w:p>
            <w:pPr>
              <w:pStyle w:val="TableParagraph"/>
              <w:spacing w:before="107"/>
              <w:ind w:left="1192"/>
              <w:rPr>
                <w:rFonts w:ascii="Trebuchet MS" w:hAnsi="Trebuchet MS"/>
                <w:b/>
                <w:sz w:val="18"/>
              </w:rPr>
            </w:pPr>
            <w:r>
              <w:rPr>
                <w:rFonts w:ascii="Trebuchet MS" w:hAnsi="Trebuchet MS"/>
                <w:b/>
                <w:sz w:val="18"/>
              </w:rPr>
              <w:t>1.2.6. ΤΗΛΕΦΩΝΟ ΕΠΙΚΟΙΝΩΝΙΑΣ</w:t>
            </w:r>
          </w:p>
        </w:tc>
        <w:tc>
          <w:tcPr>
            <w:tcW w:w="4446" w:type="dxa"/>
          </w:tcPr>
          <w:p>
            <w:pPr/>
          </w:p>
        </w:tc>
      </w:tr>
      <w:tr>
        <w:trPr>
          <w:trHeight w:val="443" w:hRule="exact"/>
        </w:trPr>
        <w:tc>
          <w:tcPr>
            <w:tcW w:w="4078" w:type="dxa"/>
            <w:gridSpan w:val="3"/>
            <w:shd w:val="clear" w:color="auto" w:fill="D9D9D9"/>
          </w:tcPr>
          <w:p>
            <w:pPr>
              <w:pStyle w:val="TableParagraph"/>
              <w:spacing w:before="108"/>
              <w:ind w:left="1528"/>
              <w:rPr>
                <w:rFonts w:ascii="Trebuchet MS" w:hAnsi="Trebuchet MS"/>
                <w:b/>
                <w:sz w:val="18"/>
              </w:rPr>
            </w:pPr>
            <w:r>
              <w:rPr>
                <w:rFonts w:ascii="Trebuchet MS" w:hAnsi="Trebuchet MS"/>
                <w:b/>
                <w:sz w:val="18"/>
              </w:rPr>
              <w:t>1.2.7. ΙΣΤΟΧΩΡΟΣ (WEBSITE)</w:t>
            </w:r>
          </w:p>
        </w:tc>
        <w:tc>
          <w:tcPr>
            <w:tcW w:w="4446" w:type="dxa"/>
          </w:tcPr>
          <w:p>
            <w:pPr/>
          </w:p>
        </w:tc>
      </w:tr>
      <w:tr>
        <w:trPr>
          <w:trHeight w:val="444" w:hRule="exact"/>
        </w:trPr>
        <w:tc>
          <w:tcPr>
            <w:tcW w:w="4078" w:type="dxa"/>
            <w:gridSpan w:val="3"/>
            <w:shd w:val="clear" w:color="auto" w:fill="D9D9D9"/>
          </w:tcPr>
          <w:p>
            <w:pPr>
              <w:pStyle w:val="TableParagraph"/>
              <w:spacing w:before="107"/>
              <w:ind w:left="436"/>
              <w:rPr>
                <w:rFonts w:ascii="Trebuchet MS" w:hAnsi="Trebuchet MS"/>
                <w:b/>
                <w:sz w:val="18"/>
              </w:rPr>
            </w:pPr>
            <w:r>
              <w:rPr>
                <w:rFonts w:ascii="Trebuchet MS" w:hAnsi="Trebuchet MS"/>
                <w:b/>
                <w:sz w:val="18"/>
              </w:rPr>
              <w:t>1.2.8. ΗΛΕΚΤΡΟΝΙΚΗ ΔΙΕΥΘΥΝΣΗ (E-MAIL)</w:t>
            </w:r>
          </w:p>
        </w:tc>
        <w:tc>
          <w:tcPr>
            <w:tcW w:w="4446" w:type="dxa"/>
          </w:tcPr>
          <w:p>
            <w:pPr/>
          </w:p>
        </w:tc>
      </w:tr>
    </w:tbl>
    <w:p>
      <w:pPr>
        <w:pStyle w:val="BodyText"/>
        <w:rPr>
          <w:rFonts w:ascii="Times New Roman"/>
          <w:sz w:val="20"/>
        </w:rPr>
      </w:pPr>
    </w:p>
    <w:p>
      <w:pPr>
        <w:pStyle w:val="BodyText"/>
        <w:spacing w:before="9"/>
        <w:rPr>
          <w:rFonts w:ascii="Times New Roman"/>
          <w:sz w:val="12"/>
        </w:rPr>
      </w:pPr>
    </w:p>
    <w:tbl>
      <w:tblPr>
        <w:tblW w:w="0" w:type="auto"/>
        <w:jc w:val="left"/>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
        <w:gridCol w:w="1066"/>
        <w:gridCol w:w="2218"/>
        <w:gridCol w:w="4442"/>
      </w:tblGrid>
      <w:tr>
        <w:trPr>
          <w:trHeight w:val="370" w:hRule="exact"/>
        </w:trPr>
        <w:tc>
          <w:tcPr>
            <w:tcW w:w="794" w:type="dxa"/>
            <w:shd w:val="clear" w:color="auto" w:fill="A6A6A6"/>
          </w:tcPr>
          <w:p>
            <w:pPr>
              <w:pStyle w:val="TableParagraph"/>
              <w:spacing w:before="57"/>
              <w:ind w:left="103"/>
              <w:rPr>
                <w:rFonts w:ascii="Trebuchet MS"/>
                <w:b/>
                <w:sz w:val="20"/>
              </w:rPr>
            </w:pPr>
            <w:r>
              <w:rPr>
                <w:rFonts w:ascii="Trebuchet MS"/>
                <w:b/>
                <w:sz w:val="20"/>
              </w:rPr>
              <w:t>1.3</w:t>
            </w:r>
          </w:p>
        </w:tc>
        <w:tc>
          <w:tcPr>
            <w:tcW w:w="7726" w:type="dxa"/>
            <w:gridSpan w:val="3"/>
            <w:shd w:val="clear" w:color="auto" w:fill="D9D9D9"/>
          </w:tcPr>
          <w:p>
            <w:pPr>
              <w:pStyle w:val="TableParagraph"/>
              <w:spacing w:before="57"/>
              <w:ind w:left="103"/>
              <w:rPr>
                <w:rFonts w:ascii="Trebuchet MS" w:hAnsi="Trebuchet MS"/>
                <w:b/>
                <w:sz w:val="20"/>
              </w:rPr>
            </w:pPr>
            <w:r>
              <w:rPr>
                <w:rFonts w:ascii="Trebuchet MS" w:hAnsi="Trebuchet MS"/>
                <w:b/>
                <w:sz w:val="20"/>
              </w:rPr>
              <w:t>ΣΤΟΙΧΕΙΑ ΕΚΠΡΟΣΩΠΩΝ</w:t>
            </w:r>
          </w:p>
        </w:tc>
      </w:tr>
      <w:tr>
        <w:trPr>
          <w:trHeight w:val="444" w:hRule="exact"/>
        </w:trPr>
        <w:tc>
          <w:tcPr>
            <w:tcW w:w="4078" w:type="dxa"/>
            <w:gridSpan w:val="3"/>
            <w:shd w:val="clear" w:color="auto" w:fill="D9D9D9"/>
          </w:tcPr>
          <w:p>
            <w:pPr>
              <w:pStyle w:val="TableParagraph"/>
              <w:spacing w:before="107"/>
              <w:ind w:left="1972"/>
              <w:rPr>
                <w:rFonts w:ascii="Trebuchet MS" w:hAnsi="Trebuchet MS"/>
                <w:b/>
                <w:sz w:val="18"/>
              </w:rPr>
            </w:pPr>
            <w:r>
              <w:rPr>
                <w:rFonts w:ascii="Trebuchet MS" w:hAnsi="Trebuchet MS"/>
                <w:b/>
                <w:sz w:val="18"/>
              </w:rPr>
              <w:t>ΝΟΜΙΜΟΣ ΕΚΠΡΟΣΩΠΟΣ</w:t>
            </w:r>
          </w:p>
        </w:tc>
        <w:tc>
          <w:tcPr>
            <w:tcW w:w="4442" w:type="dxa"/>
          </w:tcPr>
          <w:p>
            <w:pPr>
              <w:pStyle w:val="TableParagraph"/>
              <w:spacing w:before="107"/>
              <w:ind w:left="103"/>
              <w:rPr>
                <w:rFonts w:ascii="Trebuchet MS" w:hAnsi="Trebuchet MS"/>
                <w:sz w:val="18"/>
              </w:rPr>
            </w:pPr>
            <w:r>
              <w:rPr>
                <w:rFonts w:ascii="Trebuchet MS" w:hAnsi="Trebuchet MS"/>
                <w:sz w:val="18"/>
              </w:rPr>
              <w:t>(ονοματεπώνυμο)</w:t>
            </w:r>
          </w:p>
        </w:tc>
      </w:tr>
      <w:tr>
        <w:trPr>
          <w:trHeight w:val="442" w:hRule="exact"/>
        </w:trPr>
        <w:tc>
          <w:tcPr>
            <w:tcW w:w="4078" w:type="dxa"/>
            <w:gridSpan w:val="3"/>
            <w:shd w:val="clear" w:color="auto" w:fill="D9D9D9"/>
          </w:tcPr>
          <w:p>
            <w:pPr>
              <w:pStyle w:val="TableParagraph"/>
              <w:spacing w:before="107"/>
              <w:ind w:left="2335"/>
              <w:rPr>
                <w:rFonts w:ascii="Trebuchet MS" w:hAnsi="Trebuchet MS"/>
                <w:b/>
                <w:sz w:val="18"/>
              </w:rPr>
            </w:pPr>
            <w:r>
              <w:rPr>
                <w:rFonts w:ascii="Trebuchet MS" w:hAnsi="Trebuchet MS"/>
                <w:b/>
                <w:sz w:val="18"/>
              </w:rPr>
              <w:t>ΥΠΕΥΘΥΝΟΣ ΕΡΓΟΥ</w:t>
            </w:r>
          </w:p>
        </w:tc>
        <w:tc>
          <w:tcPr>
            <w:tcW w:w="4442" w:type="dxa"/>
          </w:tcPr>
          <w:p>
            <w:pPr>
              <w:pStyle w:val="TableParagraph"/>
              <w:spacing w:before="107"/>
              <w:ind w:left="103"/>
              <w:rPr>
                <w:rFonts w:ascii="Trebuchet MS" w:hAnsi="Trebuchet MS"/>
                <w:sz w:val="18"/>
              </w:rPr>
            </w:pPr>
            <w:r>
              <w:rPr>
                <w:rFonts w:ascii="Trebuchet MS" w:hAnsi="Trebuchet MS"/>
                <w:sz w:val="18"/>
              </w:rPr>
              <w:t>ΝΑΙ / ΟΧΙ</w:t>
            </w:r>
          </w:p>
        </w:tc>
      </w:tr>
      <w:tr>
        <w:trPr>
          <w:trHeight w:val="444" w:hRule="exact"/>
        </w:trPr>
        <w:tc>
          <w:tcPr>
            <w:tcW w:w="4078" w:type="dxa"/>
            <w:gridSpan w:val="3"/>
            <w:shd w:val="clear" w:color="auto" w:fill="D9D9D9"/>
          </w:tcPr>
          <w:p>
            <w:pPr>
              <w:pStyle w:val="TableParagraph"/>
              <w:spacing w:before="107"/>
              <w:ind w:left="938"/>
              <w:rPr>
                <w:rFonts w:ascii="Trebuchet MS" w:hAnsi="Trebuchet MS"/>
                <w:b/>
                <w:sz w:val="18"/>
              </w:rPr>
            </w:pPr>
            <w:r>
              <w:rPr>
                <w:rFonts w:ascii="Trebuchet MS" w:hAnsi="Trebuchet MS"/>
                <w:b/>
                <w:sz w:val="18"/>
              </w:rPr>
              <w:t>1.3.1 ΕΠΩΝΥΜΟ ΥΠΕΥΘΥΝΟΥ ΕΡΓΟΥ</w:t>
            </w:r>
          </w:p>
        </w:tc>
        <w:tc>
          <w:tcPr>
            <w:tcW w:w="4442" w:type="dxa"/>
          </w:tcPr>
          <w:p>
            <w:pPr/>
          </w:p>
        </w:tc>
      </w:tr>
      <w:tr>
        <w:trPr>
          <w:trHeight w:val="444" w:hRule="exact"/>
        </w:trPr>
        <w:tc>
          <w:tcPr>
            <w:tcW w:w="4078" w:type="dxa"/>
            <w:gridSpan w:val="3"/>
            <w:shd w:val="clear" w:color="auto" w:fill="D9D9D9"/>
          </w:tcPr>
          <w:p>
            <w:pPr>
              <w:pStyle w:val="TableParagraph"/>
              <w:spacing w:before="107"/>
              <w:ind w:left="1149"/>
              <w:rPr>
                <w:rFonts w:ascii="Trebuchet MS" w:hAnsi="Trebuchet MS"/>
                <w:b/>
                <w:sz w:val="18"/>
              </w:rPr>
            </w:pPr>
            <w:r>
              <w:rPr>
                <w:rFonts w:ascii="Trebuchet MS" w:hAnsi="Trebuchet MS"/>
                <w:b/>
                <w:sz w:val="18"/>
              </w:rPr>
              <w:t>1.3.2 ΟΝΟΜΑ ΥΠΕΥΘΥΝΟΥ ΕΡΓΟΥ</w:t>
            </w:r>
          </w:p>
        </w:tc>
        <w:tc>
          <w:tcPr>
            <w:tcW w:w="4442" w:type="dxa"/>
          </w:tcPr>
          <w:p>
            <w:pPr/>
          </w:p>
        </w:tc>
      </w:tr>
      <w:tr>
        <w:trPr>
          <w:trHeight w:val="444" w:hRule="exact"/>
        </w:trPr>
        <w:tc>
          <w:tcPr>
            <w:tcW w:w="4078" w:type="dxa"/>
            <w:gridSpan w:val="3"/>
            <w:shd w:val="clear" w:color="auto" w:fill="D9D9D9"/>
          </w:tcPr>
          <w:p>
            <w:pPr>
              <w:pStyle w:val="TableParagraph"/>
              <w:spacing w:before="107"/>
              <w:ind w:left="2467"/>
              <w:rPr>
                <w:rFonts w:ascii="Trebuchet MS" w:hAnsi="Trebuchet MS"/>
                <w:b/>
                <w:sz w:val="18"/>
              </w:rPr>
            </w:pPr>
            <w:r>
              <w:rPr>
                <w:rFonts w:ascii="Trebuchet MS" w:hAnsi="Trebuchet MS"/>
                <w:b/>
                <w:sz w:val="18"/>
              </w:rPr>
              <w:t>1.3.3 Α.Φ.Μ./VAT</w:t>
            </w:r>
          </w:p>
        </w:tc>
        <w:tc>
          <w:tcPr>
            <w:tcW w:w="4442" w:type="dxa"/>
          </w:tcPr>
          <w:p>
            <w:pPr>
              <w:pStyle w:val="TableParagraph"/>
              <w:spacing w:before="107"/>
              <w:ind w:left="103"/>
              <w:rPr>
                <w:rFonts w:ascii="Trebuchet MS"/>
                <w:sz w:val="18"/>
              </w:rPr>
            </w:pPr>
            <w:r>
              <w:rPr>
                <w:rFonts w:ascii="Trebuchet MS"/>
                <w:sz w:val="18"/>
              </w:rPr>
              <w:t>&lt;VAT_LEGAL_REP&gt;</w:t>
            </w:r>
          </w:p>
        </w:tc>
      </w:tr>
      <w:tr>
        <w:trPr>
          <w:trHeight w:val="443" w:hRule="exact"/>
        </w:trPr>
        <w:tc>
          <w:tcPr>
            <w:tcW w:w="4078" w:type="dxa"/>
            <w:gridSpan w:val="3"/>
            <w:shd w:val="clear" w:color="auto" w:fill="D9D9D9"/>
          </w:tcPr>
          <w:p>
            <w:pPr>
              <w:pStyle w:val="TableParagraph"/>
              <w:spacing w:before="107"/>
              <w:ind w:left="1749"/>
              <w:rPr>
                <w:rFonts w:ascii="Trebuchet MS" w:hAnsi="Trebuchet MS"/>
                <w:b/>
                <w:sz w:val="18"/>
              </w:rPr>
            </w:pPr>
            <w:r>
              <w:rPr>
                <w:rFonts w:ascii="Trebuchet MS" w:hAnsi="Trebuchet MS"/>
                <w:b/>
                <w:sz w:val="18"/>
              </w:rPr>
              <w:t>1.3.4 ΘΕΣΗ ΣΤΟΝ ΦΟΡΕΑ</w:t>
            </w:r>
          </w:p>
        </w:tc>
        <w:tc>
          <w:tcPr>
            <w:tcW w:w="4442" w:type="dxa"/>
          </w:tcPr>
          <w:p>
            <w:pPr>
              <w:pStyle w:val="TableParagraph"/>
              <w:spacing w:before="107"/>
              <w:ind w:left="103"/>
              <w:rPr>
                <w:rFonts w:ascii="Trebuchet MS"/>
                <w:sz w:val="18"/>
              </w:rPr>
            </w:pPr>
            <w:r>
              <w:rPr>
                <w:rFonts w:ascii="Trebuchet MS"/>
                <w:sz w:val="18"/>
              </w:rPr>
              <w:t>&lt;THESH_YPEYTHINOY_PRAXIS&gt;</w:t>
            </w:r>
          </w:p>
        </w:tc>
      </w:tr>
      <w:tr>
        <w:trPr>
          <w:trHeight w:val="443" w:hRule="exact"/>
        </w:trPr>
        <w:tc>
          <w:tcPr>
            <w:tcW w:w="4078" w:type="dxa"/>
            <w:gridSpan w:val="3"/>
            <w:shd w:val="clear" w:color="auto" w:fill="D9D9D9"/>
          </w:tcPr>
          <w:p>
            <w:pPr>
              <w:pStyle w:val="TableParagraph"/>
              <w:spacing w:before="108"/>
              <w:ind w:left="1372"/>
              <w:rPr>
                <w:rFonts w:ascii="Trebuchet MS" w:hAnsi="Trebuchet MS"/>
                <w:b/>
                <w:sz w:val="18"/>
              </w:rPr>
            </w:pPr>
            <w:r>
              <w:rPr>
                <w:rFonts w:ascii="Trebuchet MS" w:hAnsi="Trebuchet MS"/>
                <w:b/>
                <w:sz w:val="18"/>
              </w:rPr>
              <w:t>1.3.5 ΠΕΡΙΦΕΡΕΙΑΚΗ ΕΝΟΤΗΤΑ</w:t>
            </w:r>
          </w:p>
        </w:tc>
        <w:tc>
          <w:tcPr>
            <w:tcW w:w="4442" w:type="dxa"/>
          </w:tcPr>
          <w:p>
            <w:pPr/>
          </w:p>
        </w:tc>
      </w:tr>
      <w:tr>
        <w:trPr>
          <w:trHeight w:val="758" w:hRule="exact"/>
        </w:trPr>
        <w:tc>
          <w:tcPr>
            <w:tcW w:w="1860" w:type="dxa"/>
            <w:gridSpan w:val="2"/>
            <w:vMerge w:val="restart"/>
            <w:shd w:val="clear" w:color="auto" w:fill="D9D9D9"/>
          </w:tcPr>
          <w:p>
            <w:pPr>
              <w:pStyle w:val="TableParagraph"/>
              <w:rPr>
                <w:rFonts w:ascii="Times New Roman"/>
                <w:sz w:val="20"/>
              </w:rPr>
            </w:pPr>
          </w:p>
          <w:p>
            <w:pPr>
              <w:pStyle w:val="TableParagraph"/>
              <w:spacing w:before="10"/>
              <w:rPr>
                <w:rFonts w:ascii="Times New Roman"/>
                <w:sz w:val="27"/>
              </w:rPr>
            </w:pPr>
          </w:p>
          <w:p>
            <w:pPr>
              <w:pStyle w:val="TableParagraph"/>
              <w:spacing w:line="360" w:lineRule="auto"/>
              <w:ind w:left="559" w:right="82" w:hanging="272"/>
              <w:rPr>
                <w:rFonts w:ascii="Trebuchet MS" w:hAnsi="Trebuchet MS"/>
                <w:b/>
                <w:sz w:val="18"/>
              </w:rPr>
            </w:pPr>
            <w:r>
              <w:rPr>
                <w:rFonts w:ascii="Trebuchet MS" w:hAnsi="Trebuchet MS"/>
                <w:b/>
                <w:sz w:val="18"/>
              </w:rPr>
              <w:t>1.3.6 ΔΙΕΥΘΥΝΣΗ ΕΠΙΚΟΙΝΩΝΙΑΣ</w:t>
            </w:r>
          </w:p>
        </w:tc>
        <w:tc>
          <w:tcPr>
            <w:tcW w:w="2218" w:type="dxa"/>
            <w:shd w:val="clear" w:color="auto" w:fill="D9D9D9"/>
          </w:tcPr>
          <w:p>
            <w:pPr>
              <w:pStyle w:val="TableParagraph"/>
              <w:spacing w:before="107"/>
              <w:ind w:left="864"/>
              <w:rPr>
                <w:rFonts w:ascii="Trebuchet MS" w:hAnsi="Trebuchet MS"/>
                <w:sz w:val="18"/>
              </w:rPr>
            </w:pPr>
            <w:r>
              <w:rPr>
                <w:rFonts w:ascii="Trebuchet MS" w:hAnsi="Trebuchet MS"/>
                <w:b/>
                <w:sz w:val="18"/>
              </w:rPr>
              <w:t>1.3.6.1 </w:t>
            </w:r>
            <w:r>
              <w:rPr>
                <w:rFonts w:ascii="Trebuchet MS" w:hAnsi="Trebuchet MS"/>
                <w:sz w:val="18"/>
              </w:rPr>
              <w:t>ΟΔΟΣ –</w:t>
            </w:r>
          </w:p>
          <w:p>
            <w:pPr>
              <w:pStyle w:val="TableParagraph"/>
              <w:spacing w:before="105"/>
              <w:ind w:left="1378"/>
              <w:rPr>
                <w:rFonts w:ascii="Trebuchet MS" w:hAnsi="Trebuchet MS"/>
                <w:sz w:val="18"/>
              </w:rPr>
            </w:pPr>
            <w:r>
              <w:rPr>
                <w:rFonts w:ascii="Trebuchet MS" w:hAnsi="Trebuchet MS"/>
                <w:sz w:val="18"/>
              </w:rPr>
              <w:t>ΑΡΙΘΜΟΣ</w:t>
            </w:r>
          </w:p>
        </w:tc>
        <w:tc>
          <w:tcPr>
            <w:tcW w:w="4442" w:type="dxa"/>
          </w:tcPr>
          <w:p>
            <w:pPr>
              <w:pStyle w:val="TableParagraph"/>
              <w:spacing w:before="107"/>
              <w:ind w:left="103"/>
              <w:rPr>
                <w:rFonts w:ascii="Trebuchet MS"/>
                <w:sz w:val="18"/>
              </w:rPr>
            </w:pPr>
            <w:r>
              <w:rPr>
                <w:rFonts w:ascii="Trebuchet MS"/>
                <w:sz w:val="18"/>
              </w:rPr>
              <w:t>&lt;DIEYTHYNSH_YPEYTHINOY_PRAXIS&gt;</w:t>
            </w:r>
          </w:p>
        </w:tc>
      </w:tr>
      <w:tr>
        <w:trPr>
          <w:trHeight w:val="442" w:hRule="exact"/>
        </w:trPr>
        <w:tc>
          <w:tcPr>
            <w:tcW w:w="1860" w:type="dxa"/>
            <w:gridSpan w:val="2"/>
            <w:vMerge/>
            <w:shd w:val="clear" w:color="auto" w:fill="D9D9D9"/>
          </w:tcPr>
          <w:p>
            <w:pPr/>
          </w:p>
        </w:tc>
        <w:tc>
          <w:tcPr>
            <w:tcW w:w="2218" w:type="dxa"/>
            <w:shd w:val="clear" w:color="auto" w:fill="D9D9D9"/>
          </w:tcPr>
          <w:p>
            <w:pPr>
              <w:pStyle w:val="TableParagraph"/>
              <w:spacing w:before="107"/>
              <w:ind w:right="99"/>
              <w:jc w:val="right"/>
              <w:rPr>
                <w:rFonts w:ascii="Trebuchet MS" w:hAnsi="Trebuchet MS"/>
                <w:sz w:val="18"/>
              </w:rPr>
            </w:pPr>
            <w:r>
              <w:rPr>
                <w:rFonts w:ascii="Trebuchet MS" w:hAnsi="Trebuchet MS"/>
                <w:b/>
                <w:sz w:val="18"/>
              </w:rPr>
              <w:t>1.3.6.2 </w:t>
            </w:r>
            <w:r>
              <w:rPr>
                <w:rFonts w:ascii="Trebuchet MS" w:hAnsi="Trebuchet MS"/>
                <w:sz w:val="18"/>
              </w:rPr>
              <w:t>ΤΟΠΟΘΕΣΙΑ</w:t>
            </w:r>
          </w:p>
        </w:tc>
        <w:tc>
          <w:tcPr>
            <w:tcW w:w="4442" w:type="dxa"/>
          </w:tcPr>
          <w:p>
            <w:pPr/>
          </w:p>
        </w:tc>
      </w:tr>
      <w:tr>
        <w:trPr>
          <w:trHeight w:val="444" w:hRule="exact"/>
        </w:trPr>
        <w:tc>
          <w:tcPr>
            <w:tcW w:w="1860" w:type="dxa"/>
            <w:gridSpan w:val="2"/>
            <w:vMerge/>
            <w:shd w:val="clear" w:color="auto" w:fill="D9D9D9"/>
          </w:tcPr>
          <w:p>
            <w:pPr/>
          </w:p>
        </w:tc>
        <w:tc>
          <w:tcPr>
            <w:tcW w:w="2218" w:type="dxa"/>
            <w:shd w:val="clear" w:color="auto" w:fill="D9D9D9"/>
          </w:tcPr>
          <w:p>
            <w:pPr>
              <w:pStyle w:val="TableParagraph"/>
              <w:spacing w:before="109"/>
              <w:ind w:right="99"/>
              <w:jc w:val="right"/>
              <w:rPr>
                <w:rFonts w:ascii="Trebuchet MS" w:hAnsi="Trebuchet MS"/>
                <w:sz w:val="18"/>
              </w:rPr>
            </w:pPr>
            <w:r>
              <w:rPr>
                <w:rFonts w:ascii="Trebuchet MS" w:hAnsi="Trebuchet MS"/>
                <w:b/>
                <w:sz w:val="18"/>
              </w:rPr>
              <w:t>1.3.6.3 </w:t>
            </w:r>
            <w:r>
              <w:rPr>
                <w:rFonts w:ascii="Trebuchet MS" w:hAnsi="Trebuchet MS"/>
                <w:sz w:val="18"/>
              </w:rPr>
              <w:t>ΤΑΧ. ΚΩΔΙΚΟΣ</w:t>
            </w:r>
          </w:p>
        </w:tc>
        <w:tc>
          <w:tcPr>
            <w:tcW w:w="4442" w:type="dxa"/>
          </w:tcPr>
          <w:p>
            <w:pPr/>
          </w:p>
        </w:tc>
      </w:tr>
      <w:tr>
        <w:trPr>
          <w:trHeight w:val="444" w:hRule="exact"/>
        </w:trPr>
        <w:tc>
          <w:tcPr>
            <w:tcW w:w="4078" w:type="dxa"/>
            <w:gridSpan w:val="3"/>
            <w:shd w:val="clear" w:color="auto" w:fill="D9D9D9"/>
          </w:tcPr>
          <w:p>
            <w:pPr>
              <w:pStyle w:val="TableParagraph"/>
              <w:spacing w:before="107"/>
              <w:ind w:left="1550"/>
              <w:rPr>
                <w:rFonts w:ascii="Trebuchet MS" w:hAnsi="Trebuchet MS"/>
                <w:b/>
                <w:sz w:val="18"/>
              </w:rPr>
            </w:pPr>
            <w:r>
              <w:rPr>
                <w:rFonts w:ascii="Trebuchet MS" w:hAnsi="Trebuchet MS"/>
                <w:b/>
                <w:sz w:val="18"/>
              </w:rPr>
              <w:t>1.3.7. ΤΗΛΕΦΩΝΟ (Σταθερό)</w:t>
            </w:r>
          </w:p>
        </w:tc>
        <w:tc>
          <w:tcPr>
            <w:tcW w:w="4442" w:type="dxa"/>
          </w:tcPr>
          <w:p>
            <w:pPr>
              <w:pStyle w:val="TableParagraph"/>
              <w:spacing w:before="107"/>
              <w:ind w:left="103"/>
              <w:rPr>
                <w:rFonts w:ascii="Trebuchet MS"/>
                <w:sz w:val="18"/>
              </w:rPr>
            </w:pPr>
            <w:r>
              <w:rPr>
                <w:rFonts w:ascii="Trebuchet MS"/>
                <w:sz w:val="18"/>
              </w:rPr>
              <w:t>&lt;THL_YPEYTHINOY_PRAXIS&gt;</w:t>
            </w:r>
          </w:p>
        </w:tc>
      </w:tr>
      <w:tr>
        <w:trPr>
          <w:trHeight w:val="444" w:hRule="exact"/>
        </w:trPr>
        <w:tc>
          <w:tcPr>
            <w:tcW w:w="4078" w:type="dxa"/>
            <w:gridSpan w:val="3"/>
            <w:shd w:val="clear" w:color="auto" w:fill="D9D9D9"/>
          </w:tcPr>
          <w:p>
            <w:pPr>
              <w:pStyle w:val="TableParagraph"/>
              <w:spacing w:before="107"/>
              <w:ind w:left="1763"/>
              <w:rPr>
                <w:rFonts w:ascii="Trebuchet MS" w:hAnsi="Trebuchet MS"/>
                <w:b/>
                <w:sz w:val="18"/>
              </w:rPr>
            </w:pPr>
            <w:r>
              <w:rPr>
                <w:rFonts w:ascii="Trebuchet MS" w:hAnsi="Trebuchet MS"/>
                <w:b/>
                <w:sz w:val="18"/>
              </w:rPr>
              <w:t>1.3.8 ΤΗΛΕΦΩΝΟ (Κινητό)</w:t>
            </w:r>
          </w:p>
        </w:tc>
        <w:tc>
          <w:tcPr>
            <w:tcW w:w="4442" w:type="dxa"/>
          </w:tcPr>
          <w:p>
            <w:pPr/>
          </w:p>
        </w:tc>
      </w:tr>
      <w:tr>
        <w:trPr>
          <w:trHeight w:val="444" w:hRule="exact"/>
        </w:trPr>
        <w:tc>
          <w:tcPr>
            <w:tcW w:w="4078" w:type="dxa"/>
            <w:gridSpan w:val="3"/>
            <w:shd w:val="clear" w:color="auto" w:fill="D9D9D9"/>
          </w:tcPr>
          <w:p>
            <w:pPr>
              <w:pStyle w:val="TableParagraph"/>
              <w:spacing w:before="107"/>
              <w:ind w:left="501"/>
              <w:rPr>
                <w:rFonts w:ascii="Trebuchet MS" w:hAnsi="Trebuchet MS"/>
                <w:b/>
                <w:sz w:val="18"/>
              </w:rPr>
            </w:pPr>
            <w:r>
              <w:rPr>
                <w:rFonts w:ascii="Trebuchet MS" w:hAnsi="Trebuchet MS"/>
                <w:b/>
                <w:sz w:val="18"/>
              </w:rPr>
              <w:t>1.3.9 </w:t>
            </w:r>
            <w:r>
              <w:rPr>
                <w:rFonts w:ascii="Trebuchet MS" w:hAnsi="Trebuchet MS"/>
                <w:b/>
                <w:color w:val="FF0000"/>
                <w:sz w:val="18"/>
              </w:rPr>
              <w:t>ΗΛΕΚΤΡΟΝΙΚΗ ΔΙΕΥΘΥΝΣΗ (E-MAIL)</w:t>
            </w:r>
          </w:p>
        </w:tc>
        <w:tc>
          <w:tcPr>
            <w:tcW w:w="4442" w:type="dxa"/>
          </w:tcPr>
          <w:p>
            <w:pPr>
              <w:pStyle w:val="TableParagraph"/>
              <w:spacing w:before="107"/>
              <w:ind w:left="103"/>
              <w:rPr>
                <w:rFonts w:ascii="Trebuchet MS"/>
                <w:sz w:val="18"/>
              </w:rPr>
            </w:pPr>
            <w:r>
              <w:rPr>
                <w:rFonts w:ascii="Trebuchet MS"/>
                <w:sz w:val="18"/>
              </w:rPr>
              <w:t>&lt;EMAIL_YPEYTHINOY_PRAXIS&gt;</w:t>
            </w:r>
          </w:p>
        </w:tc>
      </w:tr>
    </w:tbl>
    <w:p>
      <w:pPr>
        <w:spacing w:after="0"/>
        <w:rPr>
          <w:rFonts w:ascii="Trebuchet MS"/>
          <w:sz w:val="18"/>
        </w:rPr>
        <w:sectPr>
          <w:pgSz w:w="11910" w:h="16840"/>
          <w:pgMar w:header="275" w:footer="978" w:top="460" w:bottom="1160" w:left="940" w:right="1580"/>
          <w:pgBorders w:offsetFrom="page">
            <w:top w:val="single" w:color="000000" w:space="24" w:sz="4"/>
            <w:left w:val="single" w:color="000000" w:space="24" w:sz="4"/>
            <w:bottom w:val="single" w:color="000000" w:space="24" w:sz="4"/>
            <w:right w:val="single" w:color="000000" w:space="24" w:sz="4"/>
          </w:pgBorder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5"/>
        </w:rPr>
      </w:pPr>
    </w:p>
    <w:tbl>
      <w:tblPr>
        <w:tblW w:w="0" w:type="auto"/>
        <w:jc w:val="left"/>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8"/>
        <w:gridCol w:w="660"/>
        <w:gridCol w:w="482"/>
        <w:gridCol w:w="2694"/>
        <w:gridCol w:w="1090"/>
        <w:gridCol w:w="2739"/>
      </w:tblGrid>
      <w:tr>
        <w:trPr>
          <w:trHeight w:val="722" w:hRule="exact"/>
        </w:trPr>
        <w:tc>
          <w:tcPr>
            <w:tcW w:w="808" w:type="dxa"/>
            <w:shd w:val="clear" w:color="auto" w:fill="A6A6A6"/>
          </w:tcPr>
          <w:p>
            <w:pPr>
              <w:pStyle w:val="TableParagraph"/>
              <w:spacing w:before="2"/>
              <w:rPr>
                <w:rFonts w:ascii="Times New Roman"/>
                <w:sz w:val="20"/>
              </w:rPr>
            </w:pPr>
          </w:p>
          <w:p>
            <w:pPr>
              <w:pStyle w:val="TableParagraph"/>
              <w:ind w:left="89"/>
              <w:rPr>
                <w:rFonts w:ascii="Trebuchet MS"/>
                <w:b/>
                <w:sz w:val="20"/>
              </w:rPr>
            </w:pPr>
            <w:r>
              <w:rPr>
                <w:rFonts w:ascii="Trebuchet MS"/>
                <w:b/>
                <w:sz w:val="20"/>
              </w:rPr>
              <w:t>1.4</w:t>
            </w:r>
          </w:p>
        </w:tc>
        <w:tc>
          <w:tcPr>
            <w:tcW w:w="7665" w:type="dxa"/>
            <w:gridSpan w:val="5"/>
            <w:shd w:val="clear" w:color="auto" w:fill="D9D9D9"/>
          </w:tcPr>
          <w:p>
            <w:pPr>
              <w:pStyle w:val="TableParagraph"/>
              <w:spacing w:before="107"/>
              <w:ind w:left="103"/>
              <w:rPr>
                <w:rFonts w:ascii="Trebuchet MS" w:hAnsi="Trebuchet MS"/>
                <w:b/>
                <w:sz w:val="20"/>
              </w:rPr>
            </w:pPr>
            <w:r>
              <w:rPr>
                <w:rFonts w:ascii="Trebuchet MS" w:hAnsi="Trebuchet MS"/>
                <w:b/>
                <w:sz w:val="20"/>
              </w:rPr>
              <w:t>ΣΤΟΙΧΕΙΑ ΕΤΑΙΡΩΝ Ή ΜΕΤΟΧΩΝ ΤΟΥ ΦΟΡΕΑ ΤΗΣ ΕΠΕΝΔΥΣΗΣ</w:t>
            </w:r>
          </w:p>
          <w:p>
            <w:pPr>
              <w:pStyle w:val="TableParagraph"/>
              <w:spacing w:before="70"/>
              <w:ind w:left="103"/>
              <w:rPr>
                <w:rFonts w:ascii="Trebuchet MS" w:hAnsi="Trebuchet MS"/>
                <w:b/>
                <w:sz w:val="20"/>
              </w:rPr>
            </w:pPr>
            <w:r>
              <w:rPr>
                <w:rFonts w:ascii="Trebuchet MS" w:hAnsi="Trebuchet MS"/>
                <w:b/>
                <w:sz w:val="20"/>
              </w:rPr>
              <w:t>(Συμπληρώνεται για κάθε μέτοχο / εταίρο)</w:t>
            </w:r>
          </w:p>
        </w:tc>
      </w:tr>
      <w:tr>
        <w:trPr>
          <w:trHeight w:val="444" w:hRule="exact"/>
        </w:trPr>
        <w:tc>
          <w:tcPr>
            <w:tcW w:w="1950" w:type="dxa"/>
            <w:gridSpan w:val="3"/>
            <w:shd w:val="clear" w:color="auto" w:fill="D9D9D9"/>
          </w:tcPr>
          <w:p>
            <w:pPr>
              <w:pStyle w:val="TableParagraph"/>
              <w:spacing w:before="107"/>
              <w:ind w:left="101"/>
              <w:rPr>
                <w:rFonts w:ascii="Trebuchet MS" w:hAnsi="Trebuchet MS"/>
                <w:b/>
                <w:sz w:val="18"/>
              </w:rPr>
            </w:pPr>
            <w:r>
              <w:rPr>
                <w:rFonts w:ascii="Trebuchet MS" w:hAnsi="Trebuchet MS"/>
                <w:b/>
                <w:sz w:val="18"/>
              </w:rPr>
              <w:t>1.4.1. ΠΟΣΟΣΤΟ%</w:t>
            </w:r>
          </w:p>
        </w:tc>
        <w:tc>
          <w:tcPr>
            <w:tcW w:w="3783" w:type="dxa"/>
            <w:gridSpan w:val="2"/>
            <w:shd w:val="clear" w:color="auto" w:fill="D9D9D9"/>
          </w:tcPr>
          <w:p>
            <w:pPr>
              <w:pStyle w:val="TableParagraph"/>
              <w:spacing w:before="107"/>
              <w:ind w:left="103"/>
              <w:rPr>
                <w:rFonts w:ascii="Trebuchet MS" w:hAnsi="Trebuchet MS"/>
                <w:b/>
                <w:sz w:val="18"/>
              </w:rPr>
            </w:pPr>
            <w:r>
              <w:rPr>
                <w:rFonts w:ascii="Trebuchet MS" w:hAnsi="Trebuchet MS"/>
                <w:b/>
                <w:sz w:val="18"/>
              </w:rPr>
              <w:t>1.4.2. ΟΝΟΜΑΤΕΠΩΝΥΜΟ Ή ΕΠΩΝΥΜΙΑ</w:t>
            </w:r>
          </w:p>
        </w:tc>
        <w:tc>
          <w:tcPr>
            <w:tcW w:w="2739" w:type="dxa"/>
            <w:shd w:val="clear" w:color="auto" w:fill="D9D9D9"/>
          </w:tcPr>
          <w:p>
            <w:pPr>
              <w:pStyle w:val="TableParagraph"/>
              <w:spacing w:before="107"/>
              <w:ind w:left="103"/>
              <w:rPr>
                <w:rFonts w:ascii="Trebuchet MS" w:hAnsi="Trebuchet MS"/>
                <w:b/>
                <w:sz w:val="18"/>
              </w:rPr>
            </w:pPr>
            <w:r>
              <w:rPr>
                <w:rFonts w:ascii="Trebuchet MS" w:hAnsi="Trebuchet MS"/>
                <w:b/>
                <w:sz w:val="18"/>
              </w:rPr>
              <w:t>1.4.3 ΕΙΔΟΣ ΠΡΟΣΩΠΟΥ</w:t>
            </w:r>
          </w:p>
        </w:tc>
      </w:tr>
      <w:tr>
        <w:trPr>
          <w:trHeight w:val="746" w:hRule="exact"/>
        </w:trPr>
        <w:tc>
          <w:tcPr>
            <w:tcW w:w="1950" w:type="dxa"/>
            <w:gridSpan w:val="3"/>
          </w:tcPr>
          <w:p>
            <w:pPr/>
          </w:p>
        </w:tc>
        <w:tc>
          <w:tcPr>
            <w:tcW w:w="3783" w:type="dxa"/>
            <w:gridSpan w:val="2"/>
          </w:tcPr>
          <w:p>
            <w:pPr/>
          </w:p>
        </w:tc>
        <w:tc>
          <w:tcPr>
            <w:tcW w:w="2739" w:type="dxa"/>
          </w:tcPr>
          <w:p>
            <w:pPr>
              <w:pStyle w:val="TableParagraph"/>
              <w:spacing w:before="107"/>
              <w:ind w:left="103"/>
              <w:rPr>
                <w:rFonts w:ascii="Trebuchet MS" w:hAnsi="Trebuchet MS"/>
                <w:b/>
                <w:sz w:val="18"/>
              </w:rPr>
            </w:pPr>
            <w:r>
              <w:rPr>
                <w:rFonts w:ascii="Trebuchet MS" w:hAnsi="Trebuchet MS"/>
                <w:b/>
                <w:sz w:val="18"/>
              </w:rPr>
              <w:t>ΦΥΣΙΚΟ / ΝΟΜΙΚΟ</w:t>
            </w:r>
          </w:p>
        </w:tc>
      </w:tr>
      <w:tr>
        <w:trPr>
          <w:trHeight w:val="444" w:hRule="exact"/>
        </w:trPr>
        <w:tc>
          <w:tcPr>
            <w:tcW w:w="4644" w:type="dxa"/>
            <w:gridSpan w:val="4"/>
            <w:shd w:val="clear" w:color="auto" w:fill="D9D9D9"/>
          </w:tcPr>
          <w:p>
            <w:pPr>
              <w:pStyle w:val="TableParagraph"/>
              <w:spacing w:before="107"/>
              <w:ind w:left="1705"/>
              <w:rPr>
                <w:rFonts w:ascii="Trebuchet MS" w:hAnsi="Trebuchet MS"/>
                <w:b/>
                <w:sz w:val="18"/>
              </w:rPr>
            </w:pPr>
            <w:r>
              <w:rPr>
                <w:rFonts w:ascii="Trebuchet MS" w:hAnsi="Trebuchet MS"/>
                <w:b/>
                <w:sz w:val="18"/>
              </w:rPr>
              <w:t>1.4.4. ΜΕΤΟΧΟΣ ΕΚΤΟΣ ΕΛΛΑΔΟΣ</w:t>
            </w:r>
          </w:p>
        </w:tc>
        <w:tc>
          <w:tcPr>
            <w:tcW w:w="3829" w:type="dxa"/>
            <w:gridSpan w:val="2"/>
          </w:tcPr>
          <w:p>
            <w:pPr>
              <w:pStyle w:val="TableParagraph"/>
              <w:spacing w:before="107"/>
              <w:ind w:left="103"/>
              <w:rPr>
                <w:rFonts w:ascii="Trebuchet MS" w:hAnsi="Trebuchet MS"/>
                <w:b/>
                <w:sz w:val="18"/>
              </w:rPr>
            </w:pPr>
            <w:r>
              <w:rPr>
                <w:rFonts w:ascii="Trebuchet MS" w:hAnsi="Trebuchet MS"/>
                <w:b/>
                <w:sz w:val="18"/>
              </w:rPr>
              <w:t>ΝΑΙ/ΟΧΙ</w:t>
            </w:r>
          </w:p>
        </w:tc>
      </w:tr>
      <w:tr>
        <w:trPr>
          <w:trHeight w:val="443" w:hRule="exact"/>
        </w:trPr>
        <w:tc>
          <w:tcPr>
            <w:tcW w:w="4644" w:type="dxa"/>
            <w:gridSpan w:val="4"/>
            <w:shd w:val="clear" w:color="auto" w:fill="D9D9D9"/>
          </w:tcPr>
          <w:p>
            <w:pPr>
              <w:pStyle w:val="TableParagraph"/>
              <w:spacing w:before="107"/>
              <w:ind w:left="2965"/>
              <w:rPr>
                <w:rFonts w:ascii="Trebuchet MS" w:hAnsi="Trebuchet MS"/>
                <w:b/>
                <w:sz w:val="18"/>
              </w:rPr>
            </w:pPr>
            <w:r>
              <w:rPr>
                <w:rFonts w:ascii="Trebuchet MS" w:hAnsi="Trebuchet MS"/>
                <w:b/>
                <w:sz w:val="18"/>
              </w:rPr>
              <w:t>1.4.5. Α.Φ.Μ./VAT</w:t>
            </w:r>
          </w:p>
        </w:tc>
        <w:tc>
          <w:tcPr>
            <w:tcW w:w="3829" w:type="dxa"/>
            <w:gridSpan w:val="2"/>
          </w:tcPr>
          <w:p>
            <w:pPr/>
          </w:p>
        </w:tc>
      </w:tr>
      <w:tr>
        <w:trPr>
          <w:trHeight w:val="443" w:hRule="exact"/>
        </w:trPr>
        <w:tc>
          <w:tcPr>
            <w:tcW w:w="4644" w:type="dxa"/>
            <w:gridSpan w:val="4"/>
            <w:shd w:val="clear" w:color="auto" w:fill="D9D9D9"/>
          </w:tcPr>
          <w:p>
            <w:pPr>
              <w:pStyle w:val="TableParagraph"/>
              <w:spacing w:before="108"/>
              <w:ind w:right="99"/>
              <w:jc w:val="right"/>
              <w:rPr>
                <w:rFonts w:ascii="Trebuchet MS" w:hAnsi="Trebuchet MS"/>
                <w:b/>
                <w:sz w:val="18"/>
              </w:rPr>
            </w:pPr>
            <w:r>
              <w:rPr>
                <w:rFonts w:ascii="Trebuchet MS" w:hAnsi="Trebuchet MS"/>
                <w:b/>
                <w:sz w:val="18"/>
              </w:rPr>
              <w:t>1.4.6 Δ.Ο.Υ</w:t>
            </w:r>
          </w:p>
        </w:tc>
        <w:tc>
          <w:tcPr>
            <w:tcW w:w="3829" w:type="dxa"/>
            <w:gridSpan w:val="2"/>
          </w:tcPr>
          <w:p>
            <w:pPr/>
          </w:p>
        </w:tc>
      </w:tr>
      <w:tr>
        <w:trPr>
          <w:trHeight w:val="444" w:hRule="exact"/>
        </w:trPr>
        <w:tc>
          <w:tcPr>
            <w:tcW w:w="4644" w:type="dxa"/>
            <w:gridSpan w:val="4"/>
            <w:shd w:val="clear" w:color="auto" w:fill="D9D9D9"/>
          </w:tcPr>
          <w:p>
            <w:pPr>
              <w:pStyle w:val="TableParagraph"/>
              <w:spacing w:before="107"/>
              <w:ind w:right="100"/>
              <w:jc w:val="right"/>
              <w:rPr>
                <w:rFonts w:ascii="Trebuchet MS" w:hAnsi="Trebuchet MS"/>
                <w:b/>
                <w:sz w:val="18"/>
              </w:rPr>
            </w:pPr>
            <w:r>
              <w:rPr>
                <w:rFonts w:ascii="Trebuchet MS" w:hAnsi="Trebuchet MS"/>
                <w:b/>
                <w:sz w:val="18"/>
              </w:rPr>
              <w:t>1.4.7. ΧΩΡΑ</w:t>
            </w:r>
          </w:p>
        </w:tc>
        <w:tc>
          <w:tcPr>
            <w:tcW w:w="3829" w:type="dxa"/>
            <w:gridSpan w:val="2"/>
          </w:tcPr>
          <w:p>
            <w:pPr/>
          </w:p>
        </w:tc>
      </w:tr>
      <w:tr>
        <w:trPr>
          <w:trHeight w:val="444" w:hRule="exact"/>
        </w:trPr>
        <w:tc>
          <w:tcPr>
            <w:tcW w:w="1468" w:type="dxa"/>
            <w:gridSpan w:val="2"/>
            <w:vMerge w:val="restart"/>
            <w:shd w:val="clear" w:color="auto" w:fill="D9D9D9"/>
          </w:tcPr>
          <w:p>
            <w:pPr>
              <w:pStyle w:val="TableParagraph"/>
              <w:spacing w:before="107"/>
              <w:ind w:left="229" w:right="231"/>
              <w:jc w:val="center"/>
              <w:rPr>
                <w:rFonts w:ascii="Trebuchet MS"/>
                <w:b/>
                <w:sz w:val="18"/>
              </w:rPr>
            </w:pPr>
            <w:r>
              <w:rPr>
                <w:rFonts w:ascii="Trebuchet MS"/>
                <w:b/>
                <w:sz w:val="18"/>
              </w:rPr>
              <w:t>1.4.8.</w:t>
            </w:r>
          </w:p>
          <w:p>
            <w:pPr>
              <w:pStyle w:val="TableParagraph"/>
              <w:spacing w:before="105"/>
              <w:ind w:left="230" w:right="231"/>
              <w:jc w:val="center"/>
              <w:rPr>
                <w:rFonts w:ascii="Trebuchet MS" w:hAnsi="Trebuchet MS"/>
                <w:b/>
                <w:sz w:val="18"/>
              </w:rPr>
            </w:pPr>
            <w:r>
              <w:rPr>
                <w:rFonts w:ascii="Trebuchet MS" w:hAnsi="Trebuchet MS"/>
                <w:b/>
                <w:sz w:val="18"/>
              </w:rPr>
              <w:t>ΔΙΕΥΘΥΝΣΗ</w:t>
            </w:r>
          </w:p>
        </w:tc>
        <w:tc>
          <w:tcPr>
            <w:tcW w:w="3176" w:type="dxa"/>
            <w:gridSpan w:val="2"/>
            <w:shd w:val="clear" w:color="auto" w:fill="D9D9D9"/>
          </w:tcPr>
          <w:p>
            <w:pPr>
              <w:pStyle w:val="TableParagraph"/>
              <w:spacing w:before="107"/>
              <w:ind w:left="1327"/>
              <w:rPr>
                <w:rFonts w:ascii="Trebuchet MS" w:hAnsi="Trebuchet MS"/>
                <w:b/>
                <w:sz w:val="18"/>
              </w:rPr>
            </w:pPr>
            <w:r>
              <w:rPr>
                <w:rFonts w:ascii="Trebuchet MS" w:hAnsi="Trebuchet MS"/>
                <w:b/>
                <w:sz w:val="18"/>
              </w:rPr>
              <w:t>1.4.8.1. ΠΕΡΙΦΕΡΕΙΑ</w:t>
            </w:r>
          </w:p>
        </w:tc>
        <w:tc>
          <w:tcPr>
            <w:tcW w:w="3829" w:type="dxa"/>
            <w:gridSpan w:val="2"/>
          </w:tcPr>
          <w:p>
            <w:pPr/>
          </w:p>
        </w:tc>
      </w:tr>
      <w:tr>
        <w:trPr>
          <w:trHeight w:val="444" w:hRule="exact"/>
        </w:trPr>
        <w:tc>
          <w:tcPr>
            <w:tcW w:w="1468" w:type="dxa"/>
            <w:gridSpan w:val="2"/>
            <w:vMerge/>
            <w:shd w:val="clear" w:color="auto" w:fill="D9D9D9"/>
          </w:tcPr>
          <w:p>
            <w:pPr/>
          </w:p>
        </w:tc>
        <w:tc>
          <w:tcPr>
            <w:tcW w:w="3176" w:type="dxa"/>
            <w:gridSpan w:val="2"/>
            <w:shd w:val="clear" w:color="auto" w:fill="D9D9D9"/>
          </w:tcPr>
          <w:p>
            <w:pPr>
              <w:pStyle w:val="TableParagraph"/>
              <w:spacing w:before="107"/>
              <w:ind w:left="448"/>
              <w:rPr>
                <w:rFonts w:ascii="Trebuchet MS" w:hAnsi="Trebuchet MS"/>
                <w:sz w:val="18"/>
              </w:rPr>
            </w:pPr>
            <w:r>
              <w:rPr>
                <w:rFonts w:ascii="Trebuchet MS" w:hAnsi="Trebuchet MS"/>
                <w:b/>
                <w:sz w:val="18"/>
              </w:rPr>
              <w:t>1.4.8.2. </w:t>
            </w:r>
            <w:r>
              <w:rPr>
                <w:rFonts w:ascii="Trebuchet MS" w:hAnsi="Trebuchet MS"/>
                <w:sz w:val="18"/>
              </w:rPr>
              <w:t>ΔΗΜΟΤΙΚΟ ΔΙΑΜΕΡΙΣΜΑ</w:t>
            </w:r>
          </w:p>
        </w:tc>
        <w:tc>
          <w:tcPr>
            <w:tcW w:w="3829" w:type="dxa"/>
            <w:gridSpan w:val="2"/>
          </w:tcPr>
          <w:p>
            <w:pPr/>
          </w:p>
        </w:tc>
      </w:tr>
      <w:tr>
        <w:trPr>
          <w:trHeight w:val="443" w:hRule="exact"/>
        </w:trPr>
        <w:tc>
          <w:tcPr>
            <w:tcW w:w="1468" w:type="dxa"/>
            <w:gridSpan w:val="2"/>
            <w:vMerge/>
            <w:shd w:val="clear" w:color="auto" w:fill="D9D9D9"/>
          </w:tcPr>
          <w:p>
            <w:pPr/>
          </w:p>
        </w:tc>
        <w:tc>
          <w:tcPr>
            <w:tcW w:w="3176" w:type="dxa"/>
            <w:gridSpan w:val="2"/>
            <w:shd w:val="clear" w:color="auto" w:fill="D9D9D9"/>
          </w:tcPr>
          <w:p>
            <w:pPr>
              <w:pStyle w:val="TableParagraph"/>
              <w:spacing w:before="107"/>
              <w:ind w:left="1039"/>
              <w:rPr>
                <w:rFonts w:ascii="Trebuchet MS" w:hAnsi="Trebuchet MS"/>
                <w:sz w:val="18"/>
              </w:rPr>
            </w:pPr>
            <w:r>
              <w:rPr>
                <w:rFonts w:ascii="Trebuchet MS" w:hAnsi="Trebuchet MS"/>
                <w:b/>
                <w:sz w:val="18"/>
              </w:rPr>
              <w:t>1.4.8.3 </w:t>
            </w:r>
            <w:r>
              <w:rPr>
                <w:rFonts w:ascii="Trebuchet MS" w:hAnsi="Trebuchet MS"/>
                <w:sz w:val="18"/>
              </w:rPr>
              <w:t>ΟΔΟΣ – ΑΡΙΘΜΟΣ</w:t>
            </w:r>
          </w:p>
        </w:tc>
        <w:tc>
          <w:tcPr>
            <w:tcW w:w="3829" w:type="dxa"/>
            <w:gridSpan w:val="2"/>
          </w:tcPr>
          <w:p>
            <w:pPr/>
          </w:p>
        </w:tc>
      </w:tr>
      <w:tr>
        <w:trPr>
          <w:trHeight w:val="443" w:hRule="exact"/>
        </w:trPr>
        <w:tc>
          <w:tcPr>
            <w:tcW w:w="1468" w:type="dxa"/>
            <w:gridSpan w:val="2"/>
            <w:vMerge/>
            <w:shd w:val="clear" w:color="auto" w:fill="D9D9D9"/>
          </w:tcPr>
          <w:p>
            <w:pPr/>
          </w:p>
        </w:tc>
        <w:tc>
          <w:tcPr>
            <w:tcW w:w="3176" w:type="dxa"/>
            <w:gridSpan w:val="2"/>
            <w:shd w:val="clear" w:color="auto" w:fill="D9D9D9"/>
          </w:tcPr>
          <w:p>
            <w:pPr>
              <w:pStyle w:val="TableParagraph"/>
              <w:spacing w:before="108"/>
              <w:ind w:left="1270"/>
              <w:rPr>
                <w:rFonts w:ascii="Trebuchet MS" w:hAnsi="Trebuchet MS"/>
                <w:sz w:val="18"/>
              </w:rPr>
            </w:pPr>
            <w:r>
              <w:rPr>
                <w:rFonts w:ascii="Trebuchet MS" w:hAnsi="Trebuchet MS"/>
                <w:b/>
                <w:sz w:val="18"/>
              </w:rPr>
              <w:t>1.4.8.4 </w:t>
            </w:r>
            <w:r>
              <w:rPr>
                <w:rFonts w:ascii="Trebuchet MS" w:hAnsi="Trebuchet MS"/>
                <w:sz w:val="18"/>
              </w:rPr>
              <w:t>ΤΑΧ. ΚΩΔΙΚΑΣ</w:t>
            </w:r>
          </w:p>
        </w:tc>
        <w:tc>
          <w:tcPr>
            <w:tcW w:w="3829" w:type="dxa"/>
            <w:gridSpan w:val="2"/>
          </w:tcPr>
          <w:p>
            <w:pPr/>
          </w:p>
        </w:tc>
      </w:tr>
      <w:tr>
        <w:trPr>
          <w:trHeight w:val="444" w:hRule="exact"/>
        </w:trPr>
        <w:tc>
          <w:tcPr>
            <w:tcW w:w="4644" w:type="dxa"/>
            <w:gridSpan w:val="4"/>
            <w:shd w:val="clear" w:color="auto" w:fill="D9D9D9"/>
          </w:tcPr>
          <w:p>
            <w:pPr>
              <w:pStyle w:val="TableParagraph"/>
              <w:spacing w:before="107"/>
              <w:ind w:left="1757"/>
              <w:rPr>
                <w:rFonts w:ascii="Trebuchet MS" w:hAnsi="Trebuchet MS"/>
                <w:b/>
                <w:sz w:val="18"/>
              </w:rPr>
            </w:pPr>
            <w:r>
              <w:rPr>
                <w:rFonts w:ascii="Trebuchet MS" w:hAnsi="Trebuchet MS"/>
                <w:b/>
                <w:sz w:val="18"/>
              </w:rPr>
              <w:t>1.4.9. ΤΗΛΕΦΩΝΟ ΕΠΙΚΟΙΝΩΝΙΑΣ</w:t>
            </w:r>
          </w:p>
        </w:tc>
        <w:tc>
          <w:tcPr>
            <w:tcW w:w="3829" w:type="dxa"/>
            <w:gridSpan w:val="2"/>
          </w:tcPr>
          <w:p>
            <w:pPr/>
          </w:p>
        </w:tc>
      </w:tr>
      <w:tr>
        <w:trPr>
          <w:trHeight w:val="444" w:hRule="exact"/>
        </w:trPr>
        <w:tc>
          <w:tcPr>
            <w:tcW w:w="4644" w:type="dxa"/>
            <w:gridSpan w:val="4"/>
            <w:shd w:val="clear" w:color="auto" w:fill="D9D9D9"/>
          </w:tcPr>
          <w:p>
            <w:pPr>
              <w:pStyle w:val="TableParagraph"/>
              <w:spacing w:before="107"/>
              <w:ind w:left="961"/>
              <w:rPr>
                <w:rFonts w:ascii="Trebuchet MS" w:hAnsi="Trebuchet MS"/>
                <w:b/>
                <w:sz w:val="18"/>
              </w:rPr>
            </w:pPr>
            <w:r>
              <w:rPr>
                <w:rFonts w:ascii="Trebuchet MS" w:hAnsi="Trebuchet MS"/>
                <w:b/>
                <w:sz w:val="18"/>
              </w:rPr>
              <w:t>1.4.10 ΗΛΕΚΤΡΟΝΙΚΗ ΔΙΕΥΘΥΝΣΗ (E-MAIL)</w:t>
            </w:r>
          </w:p>
        </w:tc>
        <w:tc>
          <w:tcPr>
            <w:tcW w:w="3829" w:type="dxa"/>
            <w:gridSpan w:val="2"/>
          </w:tcPr>
          <w:p>
            <w:pPr/>
          </w:p>
        </w:tc>
      </w:tr>
      <w:tr>
        <w:trPr>
          <w:trHeight w:val="444" w:hRule="exact"/>
        </w:trPr>
        <w:tc>
          <w:tcPr>
            <w:tcW w:w="4644" w:type="dxa"/>
            <w:gridSpan w:val="4"/>
            <w:shd w:val="clear" w:color="auto" w:fill="D9D9D9"/>
          </w:tcPr>
          <w:p>
            <w:pPr>
              <w:pStyle w:val="TableParagraph"/>
              <w:spacing w:before="107"/>
              <w:ind w:left="1493"/>
              <w:rPr>
                <w:rFonts w:ascii="Trebuchet MS" w:hAnsi="Trebuchet MS"/>
                <w:b/>
                <w:sz w:val="18"/>
              </w:rPr>
            </w:pPr>
            <w:r>
              <w:rPr>
                <w:rFonts w:ascii="Trebuchet MS" w:hAnsi="Trebuchet MS"/>
                <w:b/>
                <w:sz w:val="18"/>
              </w:rPr>
              <w:t>ΣΕ ΠΕΡΙΠΤΩΣΗ ΝΟΜΙΚΟΥ ΠΡΟΣΩΠΟΥ</w:t>
            </w:r>
          </w:p>
        </w:tc>
        <w:tc>
          <w:tcPr>
            <w:tcW w:w="3829" w:type="dxa"/>
            <w:gridSpan w:val="2"/>
          </w:tcPr>
          <w:p>
            <w:pPr/>
          </w:p>
        </w:tc>
      </w:tr>
      <w:tr>
        <w:trPr>
          <w:trHeight w:val="443" w:hRule="exact"/>
        </w:trPr>
        <w:tc>
          <w:tcPr>
            <w:tcW w:w="4644" w:type="dxa"/>
            <w:gridSpan w:val="4"/>
            <w:shd w:val="clear" w:color="auto" w:fill="D9D9D9"/>
          </w:tcPr>
          <w:p>
            <w:pPr>
              <w:pStyle w:val="TableParagraph"/>
              <w:spacing w:before="107"/>
              <w:ind w:left="1570"/>
              <w:rPr>
                <w:rFonts w:ascii="Trebuchet MS" w:hAnsi="Trebuchet MS"/>
                <w:b/>
                <w:sz w:val="18"/>
              </w:rPr>
            </w:pPr>
            <w:r>
              <w:rPr>
                <w:rFonts w:ascii="Trebuchet MS" w:hAnsi="Trebuchet MS"/>
                <w:b/>
                <w:sz w:val="18"/>
              </w:rPr>
              <w:t>1.4.11 ΕΤΟΣ ΙΔΡΥΣΗΣ ΕΠΙΧΕΙΡΗΣΗΣ</w:t>
            </w:r>
          </w:p>
        </w:tc>
        <w:tc>
          <w:tcPr>
            <w:tcW w:w="3829" w:type="dxa"/>
            <w:gridSpan w:val="2"/>
          </w:tcPr>
          <w:p>
            <w:pPr/>
          </w:p>
        </w:tc>
      </w:tr>
      <w:tr>
        <w:trPr>
          <w:trHeight w:val="443" w:hRule="exact"/>
        </w:trPr>
        <w:tc>
          <w:tcPr>
            <w:tcW w:w="4644" w:type="dxa"/>
            <w:gridSpan w:val="4"/>
            <w:shd w:val="clear" w:color="auto" w:fill="D9D9D9"/>
          </w:tcPr>
          <w:p>
            <w:pPr>
              <w:pStyle w:val="TableParagraph"/>
              <w:spacing w:before="108"/>
              <w:ind w:left="1275"/>
              <w:rPr>
                <w:rFonts w:ascii="Trebuchet MS" w:hAnsi="Trebuchet MS"/>
                <w:b/>
                <w:sz w:val="18"/>
              </w:rPr>
            </w:pPr>
            <w:r>
              <w:rPr>
                <w:rFonts w:ascii="Trebuchet MS" w:hAnsi="Trebuchet MS"/>
                <w:b/>
                <w:sz w:val="18"/>
              </w:rPr>
              <w:t>1.4.12 Α.Φ.Μ. ΝΟΜΙΜΟΥ ΕΚΠΡΟΣΩΠΟΥ</w:t>
            </w:r>
          </w:p>
        </w:tc>
        <w:tc>
          <w:tcPr>
            <w:tcW w:w="3829" w:type="dxa"/>
            <w:gridSpan w:val="2"/>
          </w:tcPr>
          <w:p>
            <w:pPr/>
          </w:p>
        </w:tc>
      </w:tr>
      <w:tr>
        <w:trPr>
          <w:trHeight w:val="444" w:hRule="exact"/>
        </w:trPr>
        <w:tc>
          <w:tcPr>
            <w:tcW w:w="4644" w:type="dxa"/>
            <w:gridSpan w:val="4"/>
            <w:shd w:val="clear" w:color="auto" w:fill="D9D9D9"/>
          </w:tcPr>
          <w:p>
            <w:pPr>
              <w:pStyle w:val="TableParagraph"/>
              <w:spacing w:before="107"/>
              <w:ind w:left="298"/>
              <w:rPr>
                <w:rFonts w:ascii="Trebuchet MS" w:hAnsi="Trebuchet MS"/>
                <w:b/>
                <w:sz w:val="18"/>
              </w:rPr>
            </w:pPr>
            <w:r>
              <w:rPr>
                <w:rFonts w:ascii="Trebuchet MS" w:hAnsi="Trebuchet MS"/>
                <w:b/>
                <w:sz w:val="18"/>
              </w:rPr>
              <w:t>1.4.13 ΟΝΟΜΑΤΕΠΩΝΥΜΟ ΝΟΜΙΜΟΥ ΕΚΠΡΟΣΩΠΟΥ</w:t>
            </w:r>
          </w:p>
        </w:tc>
        <w:tc>
          <w:tcPr>
            <w:tcW w:w="3829" w:type="dxa"/>
            <w:gridSpan w:val="2"/>
          </w:tcPr>
          <w:p>
            <w:pPr/>
          </w:p>
        </w:tc>
      </w:tr>
      <w:tr>
        <w:trPr>
          <w:trHeight w:val="444" w:hRule="exact"/>
        </w:trPr>
        <w:tc>
          <w:tcPr>
            <w:tcW w:w="4644" w:type="dxa"/>
            <w:gridSpan w:val="4"/>
            <w:shd w:val="clear" w:color="auto" w:fill="D9D9D9"/>
          </w:tcPr>
          <w:p>
            <w:pPr>
              <w:pStyle w:val="TableParagraph"/>
              <w:spacing w:before="107"/>
              <w:ind w:left="637"/>
              <w:rPr>
                <w:rFonts w:ascii="Trebuchet MS" w:hAnsi="Trebuchet MS"/>
                <w:b/>
                <w:sz w:val="18"/>
              </w:rPr>
            </w:pPr>
            <w:r>
              <w:rPr>
                <w:rFonts w:ascii="Trebuchet MS" w:hAnsi="Trebuchet MS"/>
                <w:b/>
                <w:sz w:val="18"/>
              </w:rPr>
              <w:t>1.4.14 ΘΕΣΗ ΕΤΑΙΡΟΥ/ΜΕΤΟΧΟΥ ΣΤΟΝ ΦΟΡΕΑ</w:t>
            </w:r>
          </w:p>
        </w:tc>
        <w:tc>
          <w:tcPr>
            <w:tcW w:w="3829" w:type="dxa"/>
            <w:gridSpan w:val="2"/>
          </w:tcPr>
          <w:p>
            <w:pPr/>
          </w:p>
        </w:tc>
      </w:tr>
    </w:tbl>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tbl>
      <w:tblPr>
        <w:tblW w:w="0" w:type="auto"/>
        <w:jc w:val="left"/>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263"/>
        <w:gridCol w:w="3525"/>
        <w:gridCol w:w="4151"/>
      </w:tblGrid>
      <w:tr>
        <w:trPr>
          <w:trHeight w:val="595" w:hRule="exact"/>
        </w:trPr>
        <w:tc>
          <w:tcPr>
            <w:tcW w:w="535" w:type="dxa"/>
            <w:tcBorders>
              <w:top w:val="nil"/>
              <w:left w:val="nil"/>
              <w:bottom w:val="nil"/>
              <w:right w:val="nil"/>
            </w:tcBorders>
            <w:shd w:val="clear" w:color="auto" w:fill="000000"/>
          </w:tcPr>
          <w:p>
            <w:pPr>
              <w:pStyle w:val="TableParagraph"/>
              <w:spacing w:before="112"/>
              <w:ind w:left="175"/>
              <w:rPr>
                <w:rFonts w:ascii="Trebuchet MS"/>
                <w:b/>
                <w:sz w:val="20"/>
              </w:rPr>
            </w:pPr>
            <w:r>
              <w:rPr>
                <w:rFonts w:ascii="Trebuchet MS"/>
                <w:b/>
                <w:color w:val="FFFFFF"/>
                <w:sz w:val="20"/>
              </w:rPr>
              <w:t>2.</w:t>
            </w:r>
          </w:p>
        </w:tc>
        <w:tc>
          <w:tcPr>
            <w:tcW w:w="7938" w:type="dxa"/>
            <w:gridSpan w:val="3"/>
            <w:shd w:val="clear" w:color="auto" w:fill="A6A6A6"/>
          </w:tcPr>
          <w:p>
            <w:pPr>
              <w:pStyle w:val="TableParagraph"/>
              <w:spacing w:before="107"/>
              <w:ind w:left="103"/>
              <w:rPr>
                <w:rFonts w:ascii="Trebuchet MS" w:hAnsi="Trebuchet MS"/>
                <w:b/>
                <w:sz w:val="20"/>
              </w:rPr>
            </w:pPr>
            <w:r>
              <w:rPr>
                <w:rFonts w:ascii="Trebuchet MS" w:hAnsi="Trebuchet MS"/>
                <w:b/>
                <w:sz w:val="20"/>
              </w:rPr>
              <w:t>ΣΤΟΙΧΕΙΑ ΕΠΕΝΔΥΤΙΚΟΥ ΣΧΕΔΙΟΥ</w:t>
            </w:r>
          </w:p>
        </w:tc>
      </w:tr>
      <w:tr>
        <w:trPr>
          <w:trHeight w:val="473" w:hRule="exact"/>
        </w:trPr>
        <w:tc>
          <w:tcPr>
            <w:tcW w:w="798" w:type="dxa"/>
            <w:gridSpan w:val="2"/>
            <w:shd w:val="clear" w:color="auto" w:fill="A6A6A6"/>
          </w:tcPr>
          <w:p>
            <w:pPr>
              <w:pStyle w:val="TableParagraph"/>
              <w:spacing w:before="50"/>
              <w:ind w:left="379"/>
              <w:rPr>
                <w:rFonts w:ascii="Trebuchet MS"/>
                <w:b/>
                <w:sz w:val="20"/>
              </w:rPr>
            </w:pPr>
            <w:r>
              <w:rPr>
                <w:rFonts w:ascii="Trebuchet MS"/>
                <w:b/>
                <w:sz w:val="20"/>
              </w:rPr>
              <w:t>2.1</w:t>
            </w:r>
          </w:p>
        </w:tc>
        <w:tc>
          <w:tcPr>
            <w:tcW w:w="7676" w:type="dxa"/>
            <w:gridSpan w:val="2"/>
            <w:shd w:val="clear" w:color="auto" w:fill="D9D9D9"/>
          </w:tcPr>
          <w:p>
            <w:pPr>
              <w:pStyle w:val="TableParagraph"/>
              <w:spacing w:before="50"/>
              <w:ind w:left="101"/>
              <w:rPr>
                <w:rFonts w:ascii="Trebuchet MS" w:hAnsi="Trebuchet MS"/>
                <w:b/>
                <w:sz w:val="20"/>
              </w:rPr>
            </w:pPr>
            <w:r>
              <w:rPr>
                <w:rFonts w:ascii="Trebuchet MS" w:hAnsi="Trebuchet MS"/>
                <w:b/>
                <w:sz w:val="20"/>
              </w:rPr>
              <w:t>ΣΤΟΙΧΕΙΑ ΤΑΥΤΟΤΗΤΑΣ ΠΡΑΞΗΣ (ΕΠΕΝΔΥΣΗΣ)</w:t>
            </w:r>
          </w:p>
        </w:tc>
      </w:tr>
      <w:tr>
        <w:trPr>
          <w:trHeight w:val="449" w:hRule="exact"/>
        </w:trPr>
        <w:tc>
          <w:tcPr>
            <w:tcW w:w="4323" w:type="dxa"/>
            <w:gridSpan w:val="3"/>
            <w:shd w:val="clear" w:color="auto" w:fill="D9D9D9"/>
          </w:tcPr>
          <w:p>
            <w:pPr>
              <w:pStyle w:val="TableParagraph"/>
              <w:spacing w:before="51"/>
              <w:ind w:left="2357"/>
              <w:rPr>
                <w:rFonts w:ascii="Trebuchet MS" w:hAnsi="Trebuchet MS"/>
                <w:b/>
                <w:sz w:val="18"/>
              </w:rPr>
            </w:pPr>
            <w:r>
              <w:rPr>
                <w:rFonts w:ascii="Trebuchet MS" w:hAnsi="Trebuchet MS"/>
                <w:b/>
                <w:sz w:val="18"/>
              </w:rPr>
              <w:t>2.1.1 ΤΙΤΛΟΣ ΠΡΑΞΗΣ</w:t>
            </w:r>
          </w:p>
        </w:tc>
        <w:tc>
          <w:tcPr>
            <w:tcW w:w="4151" w:type="dxa"/>
          </w:tcPr>
          <w:p>
            <w:pPr>
              <w:pStyle w:val="TableParagraph"/>
              <w:spacing w:before="51"/>
              <w:ind w:left="103"/>
              <w:rPr>
                <w:rFonts w:ascii="Trebuchet MS"/>
                <w:sz w:val="18"/>
              </w:rPr>
            </w:pPr>
            <w:r>
              <w:rPr>
                <w:rFonts w:ascii="Trebuchet MS"/>
                <w:sz w:val="18"/>
              </w:rPr>
              <w:t>&lt;TITLOS&gt;</w:t>
            </w:r>
          </w:p>
        </w:tc>
      </w:tr>
      <w:tr>
        <w:trPr>
          <w:trHeight w:val="443" w:hRule="exact"/>
        </w:trPr>
        <w:tc>
          <w:tcPr>
            <w:tcW w:w="4323" w:type="dxa"/>
            <w:gridSpan w:val="3"/>
            <w:shd w:val="clear" w:color="auto" w:fill="D9D9D9"/>
          </w:tcPr>
          <w:p>
            <w:pPr>
              <w:pStyle w:val="TableParagraph"/>
              <w:spacing w:before="47"/>
              <w:ind w:left="1487"/>
              <w:rPr>
                <w:rFonts w:ascii="Trebuchet MS" w:hAnsi="Trebuchet MS"/>
                <w:b/>
                <w:sz w:val="18"/>
              </w:rPr>
            </w:pPr>
            <w:r>
              <w:rPr>
                <w:rFonts w:ascii="Trebuchet MS" w:hAnsi="Trebuchet MS"/>
                <w:b/>
                <w:sz w:val="18"/>
              </w:rPr>
              <w:t>2.1.2 ΤΙΤΛΟΣ ΠΡΑΞΗΣ (Αγγλικά)</w:t>
            </w:r>
          </w:p>
        </w:tc>
        <w:tc>
          <w:tcPr>
            <w:tcW w:w="4151" w:type="dxa"/>
          </w:tcPr>
          <w:p>
            <w:pPr>
              <w:pStyle w:val="TableParagraph"/>
              <w:spacing w:before="47"/>
              <w:ind w:left="103"/>
              <w:rPr>
                <w:rFonts w:ascii="Trebuchet MS"/>
                <w:sz w:val="18"/>
              </w:rPr>
            </w:pPr>
            <w:r>
              <w:rPr>
                <w:rFonts w:ascii="Trebuchet MS"/>
                <w:sz w:val="18"/>
              </w:rPr>
              <w:t>&lt;TITLOS_KSENOS&gt;</w:t>
            </w:r>
          </w:p>
        </w:tc>
      </w:tr>
      <w:tr>
        <w:trPr>
          <w:trHeight w:val="443" w:hRule="exact"/>
        </w:trPr>
        <w:tc>
          <w:tcPr>
            <w:tcW w:w="4323" w:type="dxa"/>
            <w:gridSpan w:val="3"/>
            <w:shd w:val="clear" w:color="auto" w:fill="D9D9D9"/>
          </w:tcPr>
          <w:p>
            <w:pPr>
              <w:pStyle w:val="TableParagraph"/>
              <w:spacing w:before="48"/>
              <w:ind w:left="2104"/>
              <w:rPr>
                <w:rFonts w:ascii="Trebuchet MS" w:hAnsi="Trebuchet MS"/>
                <w:b/>
                <w:sz w:val="18"/>
              </w:rPr>
            </w:pPr>
            <w:r>
              <w:rPr>
                <w:rFonts w:ascii="Trebuchet MS" w:hAnsi="Trebuchet MS"/>
                <w:b/>
                <w:sz w:val="18"/>
              </w:rPr>
              <w:t>3.1.3. ΕΙΔΟΣ ΕΠΕΝΔΥΣΗΣ</w:t>
            </w:r>
          </w:p>
        </w:tc>
        <w:tc>
          <w:tcPr>
            <w:tcW w:w="4151" w:type="dxa"/>
          </w:tcPr>
          <w:p>
            <w:pPr>
              <w:pStyle w:val="TableParagraph"/>
              <w:spacing w:before="48"/>
              <w:ind w:left="103"/>
              <w:rPr>
                <w:rFonts w:ascii="Trebuchet MS"/>
                <w:sz w:val="18"/>
              </w:rPr>
            </w:pPr>
            <w:r>
              <w:rPr>
                <w:rFonts w:ascii="Trebuchet MS"/>
                <w:sz w:val="18"/>
              </w:rPr>
              <w:t>&lt;EIDOS_EPENDYSH&gt;</w:t>
            </w:r>
          </w:p>
        </w:tc>
      </w:tr>
      <w:tr>
        <w:trPr>
          <w:trHeight w:val="444" w:hRule="exact"/>
        </w:trPr>
        <w:tc>
          <w:tcPr>
            <w:tcW w:w="4323" w:type="dxa"/>
            <w:gridSpan w:val="3"/>
            <w:shd w:val="clear" w:color="auto" w:fill="D9D9D9"/>
          </w:tcPr>
          <w:p>
            <w:pPr>
              <w:pStyle w:val="TableParagraph"/>
              <w:spacing w:before="47"/>
              <w:ind w:left="1987"/>
              <w:rPr>
                <w:rFonts w:ascii="Trebuchet MS" w:hAnsi="Trebuchet MS"/>
                <w:b/>
                <w:sz w:val="18"/>
              </w:rPr>
            </w:pPr>
            <w:r>
              <w:rPr>
                <w:rFonts w:ascii="Trebuchet MS" w:hAnsi="Trebuchet MS"/>
                <w:b/>
                <w:sz w:val="18"/>
              </w:rPr>
              <w:t>2.1.4. ΔΙΑΡΚΕΙΑ ΣΕ ΜΗΝΕΣ</w:t>
            </w:r>
          </w:p>
        </w:tc>
        <w:tc>
          <w:tcPr>
            <w:tcW w:w="4151" w:type="dxa"/>
          </w:tcPr>
          <w:p>
            <w:pPr/>
          </w:p>
        </w:tc>
      </w:tr>
    </w:tbl>
    <w:p>
      <w:pPr>
        <w:spacing w:after="0"/>
        <w:sectPr>
          <w:pgSz w:w="11910" w:h="16840"/>
          <w:pgMar w:header="275" w:footer="978" w:top="460" w:bottom="1160" w:left="940" w:right="1600"/>
          <w:pgBorders w:offsetFrom="page">
            <w:top w:val="single" w:color="000000" w:space="24" w:sz="4"/>
            <w:left w:val="single" w:color="000000" w:space="24" w:sz="4"/>
            <w:bottom w:val="single" w:color="000000" w:space="24" w:sz="4"/>
            <w:right w:val="single" w:color="000000" w:space="24" w:sz="4"/>
          </w:pgBorder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5"/>
        </w:rPr>
      </w:pPr>
    </w:p>
    <w:tbl>
      <w:tblPr>
        <w:tblW w:w="0" w:type="auto"/>
        <w:jc w:val="left"/>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1347"/>
        <w:gridCol w:w="2631"/>
        <w:gridCol w:w="3730"/>
      </w:tblGrid>
      <w:tr>
        <w:trPr>
          <w:trHeight w:val="827" w:hRule="exact"/>
        </w:trPr>
        <w:tc>
          <w:tcPr>
            <w:tcW w:w="816" w:type="dxa"/>
            <w:shd w:val="clear" w:color="auto" w:fill="9F9F9F"/>
          </w:tcPr>
          <w:p>
            <w:pPr>
              <w:pStyle w:val="TableParagraph"/>
              <w:spacing w:before="110"/>
              <w:ind w:left="103"/>
              <w:rPr>
                <w:rFonts w:ascii="Trebuchet MS"/>
                <w:b/>
                <w:sz w:val="20"/>
              </w:rPr>
            </w:pPr>
            <w:r>
              <w:rPr>
                <w:rFonts w:ascii="Trebuchet MS"/>
                <w:b/>
                <w:sz w:val="20"/>
              </w:rPr>
              <w:t>2.2</w:t>
            </w:r>
          </w:p>
        </w:tc>
        <w:tc>
          <w:tcPr>
            <w:tcW w:w="7708" w:type="dxa"/>
            <w:gridSpan w:val="3"/>
            <w:shd w:val="clear" w:color="auto" w:fill="D9D9D9"/>
          </w:tcPr>
          <w:p>
            <w:pPr>
              <w:pStyle w:val="TableParagraph"/>
              <w:spacing w:before="110"/>
              <w:ind w:left="103"/>
              <w:rPr>
                <w:rFonts w:ascii="Trebuchet MS" w:hAnsi="Trebuchet MS"/>
                <w:b/>
                <w:sz w:val="20"/>
              </w:rPr>
            </w:pPr>
            <w:r>
              <w:rPr>
                <w:rFonts w:ascii="Trebuchet MS" w:hAnsi="Trebuchet MS"/>
                <w:b/>
                <w:sz w:val="20"/>
              </w:rPr>
              <w:t>ΒΑΣΙΚΑ  ΣΤΟΙΧΕΙΑ  ΤΟΠΟΥ  ΥΛΟΠΟΙΗΣΗΣ  ΤΗΣ  ΕΠΕΝΔΥΣΗΣ  (ΣΥΜΦΩΝΑ  ΜΕ ΤΗΝ</w:t>
            </w:r>
          </w:p>
          <w:p>
            <w:pPr>
              <w:pStyle w:val="TableParagraph"/>
              <w:spacing w:before="115"/>
              <w:ind w:left="103"/>
              <w:rPr>
                <w:rFonts w:ascii="Trebuchet MS" w:hAnsi="Trebuchet MS"/>
                <w:b/>
                <w:sz w:val="20"/>
              </w:rPr>
            </w:pPr>
            <w:r>
              <w:rPr>
                <w:rFonts w:ascii="Trebuchet MS" w:hAnsi="Trebuchet MS"/>
                <w:b/>
                <w:sz w:val="20"/>
              </w:rPr>
              <w:t>NUTS Level II Κωδικοποίηση)</w:t>
            </w:r>
          </w:p>
        </w:tc>
      </w:tr>
      <w:tr>
        <w:trPr>
          <w:trHeight w:val="443" w:hRule="exact"/>
        </w:trPr>
        <w:tc>
          <w:tcPr>
            <w:tcW w:w="4794" w:type="dxa"/>
            <w:gridSpan w:val="3"/>
            <w:shd w:val="clear" w:color="auto" w:fill="D9D9D9"/>
          </w:tcPr>
          <w:p>
            <w:pPr>
              <w:pStyle w:val="TableParagraph"/>
              <w:spacing w:before="108"/>
              <w:ind w:left="2078"/>
              <w:rPr>
                <w:rFonts w:ascii="Trebuchet MS" w:hAnsi="Trebuchet MS"/>
                <w:b/>
                <w:sz w:val="18"/>
              </w:rPr>
            </w:pPr>
            <w:r>
              <w:rPr>
                <w:rFonts w:ascii="Trebuchet MS" w:hAnsi="Trebuchet MS"/>
                <w:b/>
                <w:sz w:val="18"/>
              </w:rPr>
              <w:t>2.2.1 ΑΑ. ΤΟΠΟΥ ΥΛΟΠΟΙΗΣΗΣ</w:t>
            </w:r>
          </w:p>
        </w:tc>
        <w:tc>
          <w:tcPr>
            <w:tcW w:w="3730" w:type="dxa"/>
          </w:tcPr>
          <w:p>
            <w:pPr/>
          </w:p>
        </w:tc>
      </w:tr>
      <w:tr>
        <w:trPr>
          <w:trHeight w:val="444" w:hRule="exact"/>
        </w:trPr>
        <w:tc>
          <w:tcPr>
            <w:tcW w:w="4794" w:type="dxa"/>
            <w:gridSpan w:val="3"/>
            <w:shd w:val="clear" w:color="auto" w:fill="D9D9D9"/>
          </w:tcPr>
          <w:p>
            <w:pPr>
              <w:pStyle w:val="TableParagraph"/>
              <w:spacing w:before="107"/>
              <w:ind w:left="3115"/>
              <w:rPr>
                <w:rFonts w:ascii="Trebuchet MS" w:hAnsi="Trebuchet MS"/>
                <w:b/>
                <w:sz w:val="18"/>
              </w:rPr>
            </w:pPr>
            <w:r>
              <w:rPr>
                <w:rFonts w:ascii="Trebuchet MS" w:hAnsi="Trebuchet MS"/>
                <w:b/>
                <w:sz w:val="18"/>
              </w:rPr>
              <w:t>2.2.2. ΠΕΡΙΦΕΡΕΙΑ</w:t>
            </w:r>
          </w:p>
        </w:tc>
        <w:tc>
          <w:tcPr>
            <w:tcW w:w="3730" w:type="dxa"/>
          </w:tcPr>
          <w:p>
            <w:pPr/>
          </w:p>
        </w:tc>
      </w:tr>
      <w:tr>
        <w:trPr>
          <w:trHeight w:val="444" w:hRule="exact"/>
        </w:trPr>
        <w:tc>
          <w:tcPr>
            <w:tcW w:w="4794" w:type="dxa"/>
            <w:gridSpan w:val="3"/>
            <w:shd w:val="clear" w:color="auto" w:fill="D9D9D9"/>
          </w:tcPr>
          <w:p>
            <w:pPr>
              <w:pStyle w:val="TableParagraph"/>
              <w:spacing w:before="107"/>
              <w:ind w:left="2087"/>
              <w:rPr>
                <w:rFonts w:ascii="Trebuchet MS" w:hAnsi="Trebuchet MS"/>
                <w:b/>
                <w:sz w:val="18"/>
              </w:rPr>
            </w:pPr>
            <w:r>
              <w:rPr>
                <w:rFonts w:ascii="Trebuchet MS" w:hAnsi="Trebuchet MS"/>
                <w:b/>
                <w:sz w:val="18"/>
              </w:rPr>
              <w:t>2.2.3 ΠΕΡΙΦΕΡΕΙΑΚΗ ΕΝΟΤΗΤΑ</w:t>
            </w:r>
          </w:p>
        </w:tc>
        <w:tc>
          <w:tcPr>
            <w:tcW w:w="3730" w:type="dxa"/>
          </w:tcPr>
          <w:p>
            <w:pPr/>
          </w:p>
        </w:tc>
      </w:tr>
      <w:tr>
        <w:trPr>
          <w:trHeight w:val="445" w:hRule="exact"/>
        </w:trPr>
        <w:tc>
          <w:tcPr>
            <w:tcW w:w="4794" w:type="dxa"/>
            <w:gridSpan w:val="3"/>
            <w:shd w:val="clear" w:color="auto" w:fill="D9D9D9"/>
          </w:tcPr>
          <w:p>
            <w:pPr>
              <w:pStyle w:val="TableParagraph"/>
              <w:spacing w:before="107"/>
              <w:ind w:left="2417"/>
              <w:rPr>
                <w:rFonts w:ascii="Trebuchet MS" w:hAnsi="Trebuchet MS"/>
                <w:b/>
                <w:sz w:val="18"/>
              </w:rPr>
            </w:pPr>
            <w:r>
              <w:rPr>
                <w:rFonts w:ascii="Trebuchet MS" w:hAnsi="Trebuchet MS"/>
                <w:b/>
                <w:sz w:val="18"/>
              </w:rPr>
              <w:t>2.2.4 ΔΗΜΟΣ – ΚΟΙΝΟΤΗΤΑ</w:t>
            </w:r>
          </w:p>
        </w:tc>
        <w:tc>
          <w:tcPr>
            <w:tcW w:w="3730" w:type="dxa"/>
          </w:tcPr>
          <w:p>
            <w:pPr/>
          </w:p>
        </w:tc>
      </w:tr>
      <w:tr>
        <w:trPr>
          <w:trHeight w:val="442" w:hRule="exact"/>
        </w:trPr>
        <w:tc>
          <w:tcPr>
            <w:tcW w:w="4794" w:type="dxa"/>
            <w:gridSpan w:val="3"/>
            <w:shd w:val="clear" w:color="auto" w:fill="D9D9D9"/>
          </w:tcPr>
          <w:p>
            <w:pPr>
              <w:pStyle w:val="TableParagraph"/>
              <w:spacing w:before="107"/>
              <w:ind w:left="2369"/>
              <w:rPr>
                <w:rFonts w:ascii="Trebuchet MS" w:hAnsi="Trebuchet MS"/>
                <w:b/>
                <w:sz w:val="18"/>
              </w:rPr>
            </w:pPr>
            <w:r>
              <w:rPr>
                <w:rFonts w:ascii="Trebuchet MS" w:hAnsi="Trebuchet MS"/>
                <w:b/>
                <w:sz w:val="18"/>
              </w:rPr>
              <w:t>2.2.5. ΔΗΜΟΤΙΚΗ ΕΝΟΤΗΤΑ</w:t>
            </w:r>
          </w:p>
        </w:tc>
        <w:tc>
          <w:tcPr>
            <w:tcW w:w="3730" w:type="dxa"/>
          </w:tcPr>
          <w:p>
            <w:pPr>
              <w:pStyle w:val="TableParagraph"/>
              <w:spacing w:before="107"/>
              <w:ind w:left="103"/>
              <w:rPr>
                <w:rFonts w:ascii="Trebuchet MS"/>
                <w:sz w:val="18"/>
              </w:rPr>
            </w:pPr>
            <w:r>
              <w:rPr>
                <w:rFonts w:ascii="Trebuchet MS"/>
                <w:sz w:val="18"/>
              </w:rPr>
              <w:t>&lt;GEOGRAFIKES_THESEIS&gt; &lt;ID&gt;</w:t>
            </w:r>
          </w:p>
        </w:tc>
      </w:tr>
      <w:tr>
        <w:trPr>
          <w:trHeight w:val="444" w:hRule="exact"/>
        </w:trPr>
        <w:tc>
          <w:tcPr>
            <w:tcW w:w="2163" w:type="dxa"/>
            <w:gridSpan w:val="2"/>
            <w:vMerge w:val="restart"/>
            <w:shd w:val="clear" w:color="auto" w:fill="D9D9D9"/>
          </w:tcPr>
          <w:p>
            <w:pPr>
              <w:pStyle w:val="TableParagraph"/>
              <w:rPr>
                <w:rFonts w:ascii="Times New Roman"/>
                <w:sz w:val="20"/>
              </w:rPr>
            </w:pPr>
          </w:p>
          <w:p>
            <w:pPr>
              <w:pStyle w:val="TableParagraph"/>
              <w:spacing w:before="3"/>
              <w:rPr>
                <w:rFonts w:ascii="Times New Roman"/>
                <w:sz w:val="17"/>
              </w:rPr>
            </w:pPr>
          </w:p>
          <w:p>
            <w:pPr>
              <w:pStyle w:val="TableParagraph"/>
              <w:spacing w:line="360" w:lineRule="auto"/>
              <w:ind w:left="199" w:right="184" w:firstLine="146"/>
              <w:rPr>
                <w:rFonts w:ascii="Trebuchet MS" w:hAnsi="Trebuchet MS"/>
                <w:b/>
                <w:sz w:val="18"/>
              </w:rPr>
            </w:pPr>
            <w:r>
              <w:rPr>
                <w:rFonts w:ascii="Trebuchet MS" w:hAnsi="Trebuchet MS"/>
                <w:b/>
                <w:sz w:val="18"/>
              </w:rPr>
              <w:t>2.2.6 ΔΙΕΥΘΥΝΣΗ ΤΟΠΟΥ ΥΛΟΠΟΙΗΣΗΣ</w:t>
            </w:r>
          </w:p>
        </w:tc>
        <w:tc>
          <w:tcPr>
            <w:tcW w:w="2631" w:type="dxa"/>
            <w:shd w:val="clear" w:color="auto" w:fill="D9D9D9"/>
          </w:tcPr>
          <w:p>
            <w:pPr>
              <w:pStyle w:val="TableParagraph"/>
              <w:spacing w:before="107"/>
              <w:ind w:right="100"/>
              <w:jc w:val="right"/>
              <w:rPr>
                <w:rFonts w:ascii="Trebuchet MS" w:hAnsi="Trebuchet MS"/>
                <w:sz w:val="18"/>
              </w:rPr>
            </w:pPr>
            <w:r>
              <w:rPr>
                <w:rFonts w:ascii="Trebuchet MS" w:hAnsi="Trebuchet MS"/>
                <w:b/>
                <w:sz w:val="18"/>
              </w:rPr>
              <w:t>2.2.6.1 </w:t>
            </w:r>
            <w:r>
              <w:rPr>
                <w:rFonts w:ascii="Trebuchet MS" w:hAnsi="Trebuchet MS"/>
                <w:sz w:val="18"/>
              </w:rPr>
              <w:t>ΟΔΟΣ – ΑΡΙΘΜΟΣ</w:t>
            </w:r>
          </w:p>
        </w:tc>
        <w:tc>
          <w:tcPr>
            <w:tcW w:w="3730" w:type="dxa"/>
          </w:tcPr>
          <w:p>
            <w:pPr/>
          </w:p>
        </w:tc>
      </w:tr>
      <w:tr>
        <w:trPr>
          <w:trHeight w:val="479" w:hRule="exact"/>
        </w:trPr>
        <w:tc>
          <w:tcPr>
            <w:tcW w:w="2163" w:type="dxa"/>
            <w:gridSpan w:val="2"/>
            <w:vMerge/>
            <w:shd w:val="clear" w:color="auto" w:fill="D9D9D9"/>
          </w:tcPr>
          <w:p>
            <w:pPr/>
          </w:p>
        </w:tc>
        <w:tc>
          <w:tcPr>
            <w:tcW w:w="2631" w:type="dxa"/>
            <w:shd w:val="clear" w:color="auto" w:fill="D9D9D9"/>
          </w:tcPr>
          <w:p>
            <w:pPr>
              <w:pStyle w:val="TableParagraph"/>
              <w:spacing w:before="126"/>
              <w:ind w:right="99"/>
              <w:jc w:val="right"/>
              <w:rPr>
                <w:rFonts w:ascii="Trebuchet MS" w:hAnsi="Trebuchet MS"/>
                <w:sz w:val="18"/>
              </w:rPr>
            </w:pPr>
            <w:r>
              <w:rPr>
                <w:rFonts w:ascii="Trebuchet MS" w:hAnsi="Trebuchet MS"/>
                <w:b/>
                <w:sz w:val="18"/>
              </w:rPr>
              <w:t>2.2.6.2 </w:t>
            </w:r>
            <w:r>
              <w:rPr>
                <w:rFonts w:ascii="Trebuchet MS" w:hAnsi="Trebuchet MS"/>
                <w:sz w:val="18"/>
              </w:rPr>
              <w:t>ΤΟΠΟΘΕΣΙΑ</w:t>
            </w:r>
          </w:p>
        </w:tc>
        <w:tc>
          <w:tcPr>
            <w:tcW w:w="3730" w:type="dxa"/>
          </w:tcPr>
          <w:p>
            <w:pPr/>
          </w:p>
        </w:tc>
      </w:tr>
      <w:tr>
        <w:trPr>
          <w:trHeight w:val="479" w:hRule="exact"/>
        </w:trPr>
        <w:tc>
          <w:tcPr>
            <w:tcW w:w="2163" w:type="dxa"/>
            <w:gridSpan w:val="2"/>
            <w:vMerge/>
            <w:shd w:val="clear" w:color="auto" w:fill="D9D9D9"/>
          </w:tcPr>
          <w:p>
            <w:pPr/>
          </w:p>
        </w:tc>
        <w:tc>
          <w:tcPr>
            <w:tcW w:w="2631" w:type="dxa"/>
            <w:shd w:val="clear" w:color="auto" w:fill="D9D9D9"/>
          </w:tcPr>
          <w:p>
            <w:pPr>
              <w:pStyle w:val="TableParagraph"/>
              <w:spacing w:before="125"/>
              <w:ind w:right="100"/>
              <w:jc w:val="right"/>
              <w:rPr>
                <w:rFonts w:ascii="Trebuchet MS" w:hAnsi="Trebuchet MS"/>
                <w:sz w:val="18"/>
              </w:rPr>
            </w:pPr>
            <w:r>
              <w:rPr>
                <w:rFonts w:ascii="Trebuchet MS" w:hAnsi="Trebuchet MS"/>
                <w:b/>
                <w:sz w:val="18"/>
              </w:rPr>
              <w:t>2.2.6.3 </w:t>
            </w:r>
            <w:r>
              <w:rPr>
                <w:rFonts w:ascii="Trebuchet MS" w:hAnsi="Trebuchet MS"/>
                <w:sz w:val="18"/>
              </w:rPr>
              <w:t>ΤΑΧ. ΚΩΔΙΚΟΣ</w:t>
            </w:r>
          </w:p>
        </w:tc>
        <w:tc>
          <w:tcPr>
            <w:tcW w:w="3730" w:type="dxa"/>
          </w:tcPr>
          <w:p>
            <w:pPr/>
          </w:p>
        </w:tc>
      </w:tr>
    </w:tbl>
    <w:p>
      <w:pPr>
        <w:spacing w:before="107"/>
        <w:ind w:left="860" w:right="0" w:firstLine="0"/>
        <w:jc w:val="left"/>
        <w:rPr>
          <w:rFonts w:ascii="Trebuchet MS" w:hAnsi="Trebuchet MS"/>
          <w:b/>
          <w:sz w:val="18"/>
        </w:rPr>
      </w:pPr>
      <w:r>
        <w:rPr>
          <w:rFonts w:ascii="Trebuchet MS" w:hAnsi="Trebuchet MS"/>
          <w:b/>
          <w:color w:val="6F2F9F"/>
          <w:sz w:val="18"/>
        </w:rPr>
        <w:t>(+) – Παραπάνω από ένα Τόπους Υλοποίησης</w:t>
      </w:r>
    </w:p>
    <w:p>
      <w:pPr>
        <w:pStyle w:val="BodyText"/>
        <w:spacing w:before="2"/>
        <w:rPr>
          <w:rFonts w:ascii="Trebuchet MS"/>
          <w:b/>
          <w:sz w:val="10"/>
        </w:rPr>
      </w:pPr>
    </w:p>
    <w:tbl>
      <w:tblPr>
        <w:tblW w:w="0" w:type="auto"/>
        <w:jc w:val="left"/>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2"/>
        <w:gridCol w:w="1786"/>
        <w:gridCol w:w="3687"/>
        <w:gridCol w:w="1217"/>
        <w:gridCol w:w="1193"/>
      </w:tblGrid>
      <w:tr>
        <w:trPr>
          <w:trHeight w:val="917" w:hRule="exact"/>
        </w:trPr>
        <w:tc>
          <w:tcPr>
            <w:tcW w:w="732" w:type="dxa"/>
            <w:shd w:val="clear" w:color="auto" w:fill="999999"/>
          </w:tcPr>
          <w:p>
            <w:pPr>
              <w:pStyle w:val="TableParagraph"/>
              <w:spacing w:before="110"/>
              <w:ind w:left="103"/>
              <w:rPr>
                <w:rFonts w:ascii="Trebuchet MS"/>
                <w:b/>
                <w:sz w:val="20"/>
              </w:rPr>
            </w:pPr>
            <w:r>
              <w:rPr>
                <w:rFonts w:ascii="Trebuchet MS"/>
                <w:b/>
                <w:sz w:val="20"/>
              </w:rPr>
              <w:t>2.3</w:t>
            </w:r>
          </w:p>
        </w:tc>
        <w:tc>
          <w:tcPr>
            <w:tcW w:w="7883" w:type="dxa"/>
            <w:gridSpan w:val="4"/>
            <w:shd w:val="clear" w:color="auto" w:fill="CCCCCC"/>
          </w:tcPr>
          <w:p>
            <w:pPr>
              <w:pStyle w:val="TableParagraph"/>
              <w:spacing w:before="110"/>
              <w:ind w:left="103"/>
              <w:rPr>
                <w:rFonts w:ascii="Trebuchet MS" w:hAnsi="Trebuchet MS"/>
                <w:b/>
                <w:sz w:val="20"/>
              </w:rPr>
            </w:pPr>
            <w:r>
              <w:rPr>
                <w:rFonts w:ascii="Trebuchet MS" w:hAnsi="Trebuchet MS"/>
                <w:b/>
                <w:sz w:val="20"/>
              </w:rPr>
              <w:t>Κ.Α.Δ. ΕΠΕΝΔΥΣΗΣ  (NACE Level Group)</w:t>
            </w:r>
          </w:p>
        </w:tc>
      </w:tr>
      <w:tr>
        <w:trPr>
          <w:trHeight w:val="876" w:hRule="exact"/>
        </w:trPr>
        <w:tc>
          <w:tcPr>
            <w:tcW w:w="732" w:type="dxa"/>
            <w:shd w:val="clear" w:color="auto" w:fill="D9D9D9"/>
          </w:tcPr>
          <w:p>
            <w:pPr>
              <w:pStyle w:val="TableParagraph"/>
              <w:spacing w:before="107"/>
              <w:ind w:left="103"/>
              <w:rPr>
                <w:rFonts w:ascii="Trebuchet MS"/>
                <w:b/>
                <w:sz w:val="18"/>
              </w:rPr>
            </w:pPr>
            <w:r>
              <w:rPr>
                <w:rFonts w:ascii="Trebuchet MS"/>
                <w:b/>
                <w:sz w:val="18"/>
              </w:rPr>
              <w:t>2.3.1.</w:t>
            </w:r>
          </w:p>
          <w:p>
            <w:pPr>
              <w:pStyle w:val="TableParagraph"/>
              <w:spacing w:before="2"/>
              <w:rPr>
                <w:rFonts w:ascii="Trebuchet MS"/>
                <w:b/>
                <w:sz w:val="19"/>
              </w:rPr>
            </w:pPr>
          </w:p>
          <w:p>
            <w:pPr>
              <w:pStyle w:val="TableParagraph"/>
              <w:ind w:left="103"/>
              <w:rPr>
                <w:rFonts w:ascii="Trebuchet MS" w:hAnsi="Trebuchet MS"/>
                <w:b/>
                <w:sz w:val="18"/>
              </w:rPr>
            </w:pPr>
            <w:r>
              <w:rPr>
                <w:rFonts w:ascii="Trebuchet MS" w:hAnsi="Trebuchet MS"/>
                <w:b/>
                <w:sz w:val="18"/>
              </w:rPr>
              <w:t>Α/Α</w:t>
            </w:r>
          </w:p>
        </w:tc>
        <w:tc>
          <w:tcPr>
            <w:tcW w:w="1786" w:type="dxa"/>
            <w:shd w:val="clear" w:color="auto" w:fill="D9D9D9"/>
          </w:tcPr>
          <w:p>
            <w:pPr>
              <w:pStyle w:val="TableParagraph"/>
              <w:spacing w:before="107"/>
              <w:ind w:left="240"/>
              <w:rPr>
                <w:rFonts w:ascii="Trebuchet MS" w:hAnsi="Trebuchet MS"/>
                <w:b/>
                <w:sz w:val="18"/>
              </w:rPr>
            </w:pPr>
            <w:r>
              <w:rPr>
                <w:rFonts w:ascii="Trebuchet MS" w:hAnsi="Trebuchet MS"/>
                <w:b/>
                <w:sz w:val="18"/>
              </w:rPr>
              <w:t>2.3.2. ΚΩΔΙΚΟΣ</w:t>
            </w:r>
          </w:p>
        </w:tc>
        <w:tc>
          <w:tcPr>
            <w:tcW w:w="3687" w:type="dxa"/>
            <w:shd w:val="clear" w:color="auto" w:fill="D9D9D9"/>
          </w:tcPr>
          <w:p>
            <w:pPr>
              <w:pStyle w:val="TableParagraph"/>
              <w:spacing w:before="107"/>
              <w:ind w:left="813"/>
              <w:rPr>
                <w:rFonts w:ascii="Trebuchet MS" w:hAnsi="Trebuchet MS"/>
                <w:b/>
                <w:sz w:val="18"/>
              </w:rPr>
            </w:pPr>
            <w:r>
              <w:rPr>
                <w:rFonts w:ascii="Trebuchet MS" w:hAnsi="Trebuchet MS"/>
                <w:b/>
                <w:sz w:val="18"/>
              </w:rPr>
              <w:t>2.3.3 ΠΕΡΙΓΡΑΦΗ Κ.Α.Δ.</w:t>
            </w:r>
          </w:p>
        </w:tc>
        <w:tc>
          <w:tcPr>
            <w:tcW w:w="2410" w:type="dxa"/>
            <w:gridSpan w:val="2"/>
            <w:shd w:val="clear" w:color="auto" w:fill="D9D9D9"/>
          </w:tcPr>
          <w:p>
            <w:pPr>
              <w:pStyle w:val="TableParagraph"/>
              <w:spacing w:line="357" w:lineRule="auto" w:before="107"/>
              <w:ind w:left="302" w:right="287" w:firstLine="79"/>
              <w:rPr>
                <w:rFonts w:ascii="Trebuchet MS" w:hAnsi="Trebuchet MS"/>
                <w:b/>
                <w:sz w:val="18"/>
              </w:rPr>
            </w:pPr>
            <w:r>
              <w:rPr>
                <w:rFonts w:ascii="Trebuchet MS" w:hAnsi="Trebuchet MS"/>
                <w:b/>
                <w:sz w:val="18"/>
              </w:rPr>
              <w:t>2.3.4 ΗΜΕΡΟΜΗΝΙΑ ΕΝΕΡΓΟΠΟΙΗΣΗΣ ΚΑΔ</w:t>
            </w:r>
          </w:p>
        </w:tc>
      </w:tr>
      <w:tr>
        <w:trPr>
          <w:trHeight w:val="1070" w:hRule="exact"/>
        </w:trPr>
        <w:tc>
          <w:tcPr>
            <w:tcW w:w="732" w:type="dxa"/>
            <w:shd w:val="clear" w:color="auto" w:fill="D9D9D9"/>
          </w:tcPr>
          <w:p>
            <w:pPr>
              <w:pStyle w:val="TableParagraph"/>
              <w:spacing w:before="107"/>
              <w:ind w:left="103"/>
              <w:rPr>
                <w:rFonts w:ascii="Trebuchet MS"/>
                <w:sz w:val="18"/>
              </w:rPr>
            </w:pPr>
            <w:r>
              <w:rPr>
                <w:rFonts w:ascii="Trebuchet MS"/>
                <w:sz w:val="18"/>
              </w:rPr>
              <w:t>1</w:t>
            </w:r>
          </w:p>
        </w:tc>
        <w:tc>
          <w:tcPr>
            <w:tcW w:w="1786" w:type="dxa"/>
          </w:tcPr>
          <w:p>
            <w:pPr>
              <w:pStyle w:val="TableParagraph"/>
              <w:spacing w:before="107"/>
              <w:ind w:left="152" w:right="152"/>
              <w:jc w:val="center"/>
              <w:rPr>
                <w:rFonts w:ascii="Trebuchet MS"/>
                <w:sz w:val="18"/>
              </w:rPr>
            </w:pPr>
            <w:r>
              <w:rPr>
                <w:rFonts w:ascii="Trebuchet MS"/>
                <w:color w:val="0000FF"/>
                <w:sz w:val="18"/>
              </w:rPr>
              <w:t>&lt;</w:t>
            </w:r>
            <w:r>
              <w:rPr>
                <w:rFonts w:ascii="Trebuchet MS"/>
                <w:color w:val="800000"/>
                <w:sz w:val="18"/>
              </w:rPr>
              <w:t>KAD_NACE</w:t>
            </w:r>
            <w:r>
              <w:rPr>
                <w:rFonts w:ascii="Trebuchet MS"/>
                <w:color w:val="0000FF"/>
                <w:sz w:val="18"/>
              </w:rPr>
              <w:t>&gt; &lt;ID&gt;</w:t>
            </w:r>
          </w:p>
        </w:tc>
        <w:tc>
          <w:tcPr>
            <w:tcW w:w="3687" w:type="dxa"/>
          </w:tcPr>
          <w:p>
            <w:pPr>
              <w:pStyle w:val="TableParagraph"/>
              <w:spacing w:line="360" w:lineRule="auto" w:before="107"/>
              <w:ind w:left="155" w:right="155"/>
              <w:jc w:val="center"/>
              <w:rPr>
                <w:rFonts w:ascii="Trebuchet MS" w:hAnsi="Trebuchet MS"/>
                <w:sz w:val="18"/>
              </w:rPr>
            </w:pPr>
            <w:r>
              <w:rPr>
                <w:rFonts w:ascii="Trebuchet MS" w:hAnsi="Trebuchet MS"/>
                <w:sz w:val="18"/>
              </w:rPr>
              <w:t>ΕΠΙΛΟΓΗ ΑΠΟ ΛΙΣΤΑ ΟΠΟΥ ΠΕΡΙΕΧΕΙ ΤΟΥΣ ΕΠΙΛΕΞΙΜΟΥΣ Κ.Α.Δ. ΒΑΣΕΙ ΤΗΣ ΠΡΟΚΗΡΥΞΗΣ</w:t>
            </w:r>
          </w:p>
        </w:tc>
        <w:tc>
          <w:tcPr>
            <w:tcW w:w="2410" w:type="dxa"/>
            <w:gridSpan w:val="2"/>
          </w:tcPr>
          <w:p>
            <w:pPr/>
          </w:p>
        </w:tc>
      </w:tr>
      <w:tr>
        <w:trPr>
          <w:trHeight w:val="444" w:hRule="exact"/>
        </w:trPr>
        <w:tc>
          <w:tcPr>
            <w:tcW w:w="732" w:type="dxa"/>
            <w:shd w:val="clear" w:color="auto" w:fill="D9D9D9"/>
          </w:tcPr>
          <w:p>
            <w:pPr>
              <w:pStyle w:val="TableParagraph"/>
              <w:spacing w:before="107"/>
              <w:ind w:left="103"/>
              <w:rPr>
                <w:rFonts w:ascii="Trebuchet MS"/>
                <w:b/>
                <w:sz w:val="18"/>
              </w:rPr>
            </w:pPr>
            <w:r>
              <w:rPr>
                <w:rFonts w:ascii="Trebuchet MS"/>
                <w:b/>
                <w:sz w:val="18"/>
              </w:rPr>
              <w:t>2.3.5</w:t>
            </w:r>
          </w:p>
        </w:tc>
        <w:tc>
          <w:tcPr>
            <w:tcW w:w="6690" w:type="dxa"/>
            <w:gridSpan w:val="3"/>
            <w:shd w:val="clear" w:color="auto" w:fill="D9D9D9"/>
          </w:tcPr>
          <w:p>
            <w:pPr>
              <w:pStyle w:val="TableParagraph"/>
              <w:spacing w:before="107"/>
              <w:ind w:left="103"/>
              <w:rPr>
                <w:rFonts w:ascii="Trebuchet MS" w:hAnsi="Trebuchet MS"/>
                <w:b/>
                <w:sz w:val="18"/>
              </w:rPr>
            </w:pPr>
            <w:r>
              <w:rPr>
                <w:rFonts w:ascii="Trebuchet MS" w:hAnsi="Trebuchet MS"/>
                <w:b/>
                <w:sz w:val="18"/>
              </w:rPr>
              <w:t>Είναι ο ΦΠΑ (που συνδέεται με τον ΚΑΔ επένδυσης) ανακτήσιμος;</w:t>
            </w:r>
          </w:p>
        </w:tc>
        <w:tc>
          <w:tcPr>
            <w:tcW w:w="1193" w:type="dxa"/>
          </w:tcPr>
          <w:p>
            <w:pPr>
              <w:pStyle w:val="TableParagraph"/>
              <w:spacing w:before="107"/>
              <w:ind w:left="103"/>
              <w:rPr>
                <w:rFonts w:ascii="Trebuchet MS" w:hAnsi="Trebuchet MS"/>
                <w:b/>
                <w:sz w:val="18"/>
              </w:rPr>
            </w:pPr>
            <w:r>
              <w:rPr>
                <w:rFonts w:ascii="Trebuchet MS" w:hAnsi="Trebuchet MS"/>
                <w:b/>
                <w:sz w:val="18"/>
              </w:rPr>
              <w:t>ΝΑΙ/ΟΧΙ</w:t>
            </w:r>
          </w:p>
        </w:tc>
      </w:tr>
    </w:tbl>
    <w:p>
      <w:pPr>
        <w:pStyle w:val="BodyText"/>
        <w:rPr>
          <w:rFonts w:ascii="Trebuchet MS"/>
          <w:b/>
          <w:sz w:val="20"/>
        </w:rPr>
      </w:pPr>
    </w:p>
    <w:p>
      <w:pPr>
        <w:pStyle w:val="BodyText"/>
        <w:spacing w:before="3"/>
        <w:rPr>
          <w:rFonts w:ascii="Trebuchet MS"/>
          <w:b/>
          <w:sz w:val="20"/>
        </w:rPr>
      </w:pPr>
    </w:p>
    <w:tbl>
      <w:tblPr>
        <w:tblW w:w="0" w:type="auto"/>
        <w:jc w:val="left"/>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7329"/>
      </w:tblGrid>
      <w:tr>
        <w:trPr>
          <w:trHeight w:val="362" w:hRule="exact"/>
        </w:trPr>
        <w:tc>
          <w:tcPr>
            <w:tcW w:w="1188" w:type="dxa"/>
            <w:shd w:val="clear" w:color="auto" w:fill="999999"/>
          </w:tcPr>
          <w:p>
            <w:pPr>
              <w:pStyle w:val="TableParagraph"/>
              <w:spacing w:before="107"/>
              <w:ind w:left="103"/>
              <w:rPr>
                <w:rFonts w:ascii="Trebuchet MS"/>
                <w:b/>
                <w:sz w:val="20"/>
              </w:rPr>
            </w:pPr>
            <w:r>
              <w:rPr>
                <w:rFonts w:ascii="Trebuchet MS"/>
                <w:b/>
                <w:sz w:val="20"/>
              </w:rPr>
              <w:t>2.4</w:t>
            </w:r>
          </w:p>
        </w:tc>
        <w:tc>
          <w:tcPr>
            <w:tcW w:w="7329" w:type="dxa"/>
            <w:shd w:val="clear" w:color="auto" w:fill="D9D9D9"/>
          </w:tcPr>
          <w:p>
            <w:pPr>
              <w:pStyle w:val="TableParagraph"/>
              <w:spacing w:before="107"/>
              <w:ind w:left="103"/>
              <w:rPr>
                <w:rFonts w:ascii="Trebuchet MS" w:hAnsi="Trebuchet MS"/>
                <w:b/>
                <w:sz w:val="20"/>
              </w:rPr>
            </w:pPr>
            <w:r>
              <w:rPr>
                <w:rFonts w:ascii="Trebuchet MS" w:hAnsi="Trebuchet MS"/>
                <w:b/>
                <w:sz w:val="20"/>
              </w:rPr>
              <w:t>ΦΥΣΙΚΟ ΑΝΤΙΚΕΙΜΕΝΟ</w:t>
            </w:r>
          </w:p>
        </w:tc>
      </w:tr>
      <w:tr>
        <w:trPr>
          <w:trHeight w:val="610" w:hRule="exact"/>
        </w:trPr>
        <w:tc>
          <w:tcPr>
            <w:tcW w:w="1188" w:type="dxa"/>
            <w:shd w:val="clear" w:color="auto" w:fill="BEBEBE"/>
          </w:tcPr>
          <w:p>
            <w:pPr>
              <w:pStyle w:val="TableParagraph"/>
              <w:spacing w:before="83"/>
              <w:ind w:left="103"/>
              <w:rPr>
                <w:rFonts w:ascii="Trebuchet MS"/>
                <w:b/>
                <w:sz w:val="18"/>
              </w:rPr>
            </w:pPr>
            <w:r>
              <w:rPr>
                <w:rFonts w:ascii="Trebuchet MS"/>
                <w:b/>
                <w:sz w:val="18"/>
              </w:rPr>
              <w:t>2.4.1</w:t>
            </w:r>
          </w:p>
        </w:tc>
        <w:tc>
          <w:tcPr>
            <w:tcW w:w="7329" w:type="dxa"/>
            <w:shd w:val="clear" w:color="auto" w:fill="D9D9D9"/>
          </w:tcPr>
          <w:p>
            <w:pPr>
              <w:pStyle w:val="TableParagraph"/>
              <w:tabs>
                <w:tab w:pos="1328" w:val="left" w:leader="none"/>
                <w:tab w:pos="1931" w:val="left" w:leader="none"/>
                <w:tab w:pos="3641" w:val="left" w:leader="none"/>
                <w:tab w:pos="4901" w:val="left" w:leader="none"/>
                <w:tab w:pos="5230" w:val="left" w:leader="none"/>
                <w:tab w:pos="6456" w:val="left" w:leader="none"/>
              </w:tabs>
              <w:spacing w:line="276" w:lineRule="auto" w:before="83"/>
              <w:ind w:left="103" w:right="105"/>
              <w:rPr>
                <w:rFonts w:ascii="Trebuchet MS" w:hAnsi="Trebuchet MS"/>
                <w:b/>
                <w:sz w:val="18"/>
              </w:rPr>
            </w:pPr>
            <w:r>
              <w:rPr>
                <w:rFonts w:ascii="Trebuchet MS" w:hAnsi="Trebuchet MS"/>
                <w:b/>
                <w:sz w:val="18"/>
              </w:rPr>
              <w:t>ΠΕΡΙΓΡΑΦΗ</w:t>
              <w:tab/>
              <w:t>ΤΗΣ</w:t>
              <w:tab/>
              <w:t>ΠΡΟΤΕΙΝΟΜΕΝΗΣ</w:t>
              <w:tab/>
              <w:t>ΕΠΕΝΔΥΣΗΣ</w:t>
              <w:tab/>
              <w:t>–</w:t>
              <w:tab/>
              <w:t>ΠΕΡΙΓΡΑΦΗ</w:t>
              <w:tab/>
              <w:t>ΦΥΣΙΚΟΥ ΑΝΤΙΚΕΙΜΕΝΟΥ</w:t>
            </w:r>
          </w:p>
        </w:tc>
      </w:tr>
      <w:tr>
        <w:trPr>
          <w:trHeight w:val="371" w:hRule="exact"/>
        </w:trPr>
        <w:tc>
          <w:tcPr>
            <w:tcW w:w="8517" w:type="dxa"/>
            <w:gridSpan w:val="2"/>
          </w:tcPr>
          <w:p>
            <w:pPr/>
          </w:p>
        </w:tc>
      </w:tr>
      <w:tr>
        <w:trPr>
          <w:trHeight w:val="371" w:hRule="exact"/>
        </w:trPr>
        <w:tc>
          <w:tcPr>
            <w:tcW w:w="1188" w:type="dxa"/>
            <w:shd w:val="clear" w:color="auto" w:fill="BEBEBE"/>
          </w:tcPr>
          <w:p>
            <w:pPr>
              <w:pStyle w:val="TableParagraph"/>
              <w:spacing w:before="84"/>
              <w:ind w:left="103"/>
              <w:rPr>
                <w:rFonts w:ascii="Trebuchet MS"/>
                <w:b/>
                <w:sz w:val="18"/>
              </w:rPr>
            </w:pPr>
            <w:r>
              <w:rPr>
                <w:rFonts w:ascii="Trebuchet MS"/>
                <w:b/>
                <w:sz w:val="18"/>
              </w:rPr>
              <w:t>2.4.2</w:t>
            </w:r>
          </w:p>
        </w:tc>
        <w:tc>
          <w:tcPr>
            <w:tcW w:w="7329" w:type="dxa"/>
            <w:shd w:val="clear" w:color="auto" w:fill="D9D9D9"/>
          </w:tcPr>
          <w:p>
            <w:pPr>
              <w:pStyle w:val="TableParagraph"/>
              <w:spacing w:before="84"/>
              <w:ind w:left="103"/>
              <w:rPr>
                <w:rFonts w:ascii="Trebuchet MS" w:hAnsi="Trebuchet MS"/>
                <w:b/>
                <w:sz w:val="18"/>
              </w:rPr>
            </w:pPr>
            <w:r>
              <w:rPr>
                <w:rFonts w:ascii="Trebuchet MS" w:hAnsi="Trebuchet MS"/>
                <w:b/>
                <w:sz w:val="18"/>
              </w:rPr>
              <w:t>ΕΠΙΚΟΙΝΩΝΙΑΚΗ ΠΕΡΙΓΡΑΦΗ ΤΗΣ ΕΠΕΝΔΥΣΗΣ – ΣΥΝΤΟΜΗ ΠΕΡΙΓΡΑΦΗ</w:t>
            </w:r>
          </w:p>
        </w:tc>
      </w:tr>
      <w:tr>
        <w:trPr>
          <w:trHeight w:val="370" w:hRule="exact"/>
        </w:trPr>
        <w:tc>
          <w:tcPr>
            <w:tcW w:w="8517" w:type="dxa"/>
            <w:gridSpan w:val="2"/>
          </w:tcPr>
          <w:p>
            <w:pP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2.4.3</w:t>
            </w:r>
          </w:p>
        </w:tc>
        <w:tc>
          <w:tcPr>
            <w:tcW w:w="7329" w:type="dxa"/>
            <w:shd w:val="clear" w:color="auto" w:fill="D9D9D9"/>
          </w:tcPr>
          <w:p>
            <w:pPr>
              <w:pStyle w:val="TableParagraph"/>
              <w:spacing w:before="83"/>
              <w:ind w:left="103"/>
              <w:rPr>
                <w:rFonts w:ascii="Trebuchet MS" w:hAnsi="Trebuchet MS"/>
                <w:b/>
                <w:sz w:val="18"/>
              </w:rPr>
            </w:pPr>
            <w:r>
              <w:rPr>
                <w:rFonts w:ascii="Trebuchet MS" w:hAnsi="Trebuchet MS"/>
                <w:b/>
                <w:sz w:val="18"/>
              </w:rPr>
              <w:t>ΜΕΘΟΔΟΛΟΓΙΑ ΥΛΟΠΟΙΗΣΗΣ ΕΡΓΟΥ</w:t>
            </w:r>
          </w:p>
        </w:tc>
      </w:tr>
      <w:tr>
        <w:trPr>
          <w:trHeight w:val="370" w:hRule="exact"/>
        </w:trPr>
        <w:tc>
          <w:tcPr>
            <w:tcW w:w="8517" w:type="dxa"/>
            <w:gridSpan w:val="2"/>
          </w:tcPr>
          <w:p>
            <w:pP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2.4.4</w:t>
            </w:r>
          </w:p>
        </w:tc>
        <w:tc>
          <w:tcPr>
            <w:tcW w:w="7329" w:type="dxa"/>
            <w:shd w:val="clear" w:color="auto" w:fill="D9D9D9"/>
          </w:tcPr>
          <w:p>
            <w:pPr>
              <w:pStyle w:val="TableParagraph"/>
              <w:spacing w:before="83"/>
              <w:ind w:left="103"/>
              <w:rPr>
                <w:rFonts w:ascii="Trebuchet MS" w:hAnsi="Trebuchet MS"/>
                <w:b/>
                <w:sz w:val="18"/>
              </w:rPr>
            </w:pPr>
            <w:r>
              <w:rPr>
                <w:rFonts w:ascii="Trebuchet MS" w:hAnsi="Trebuchet MS"/>
                <w:b/>
                <w:sz w:val="18"/>
              </w:rPr>
              <w:t>ΑΝΑΜΕΝΟΜΕΝΑ ΑΠΟΤΕΛΕΣΜΑΤΑ</w:t>
            </w:r>
          </w:p>
        </w:tc>
      </w:tr>
      <w:tr>
        <w:trPr>
          <w:trHeight w:val="371" w:hRule="exact"/>
        </w:trPr>
        <w:tc>
          <w:tcPr>
            <w:tcW w:w="8517" w:type="dxa"/>
            <w:gridSpan w:val="2"/>
          </w:tcPr>
          <w:p>
            <w:pPr/>
          </w:p>
        </w:tc>
      </w:tr>
      <w:tr>
        <w:trPr>
          <w:trHeight w:val="371" w:hRule="exact"/>
        </w:trPr>
        <w:tc>
          <w:tcPr>
            <w:tcW w:w="1188" w:type="dxa"/>
            <w:shd w:val="clear" w:color="auto" w:fill="BEBEBE"/>
          </w:tcPr>
          <w:p>
            <w:pPr>
              <w:pStyle w:val="TableParagraph"/>
              <w:spacing w:before="84"/>
              <w:ind w:left="103"/>
              <w:rPr>
                <w:rFonts w:ascii="Trebuchet MS"/>
                <w:b/>
                <w:sz w:val="18"/>
              </w:rPr>
            </w:pPr>
            <w:r>
              <w:rPr>
                <w:rFonts w:ascii="Trebuchet MS"/>
                <w:b/>
                <w:sz w:val="18"/>
              </w:rPr>
              <w:t>2.4.5</w:t>
            </w:r>
          </w:p>
        </w:tc>
        <w:tc>
          <w:tcPr>
            <w:tcW w:w="7329" w:type="dxa"/>
            <w:shd w:val="clear" w:color="auto" w:fill="D9D9D9"/>
          </w:tcPr>
          <w:p>
            <w:pPr>
              <w:pStyle w:val="TableParagraph"/>
              <w:spacing w:before="84"/>
              <w:ind w:left="103"/>
              <w:rPr>
                <w:rFonts w:ascii="Trebuchet MS" w:hAnsi="Trebuchet MS"/>
                <w:b/>
                <w:sz w:val="18"/>
              </w:rPr>
            </w:pPr>
            <w:r>
              <w:rPr>
                <w:rFonts w:ascii="Trebuchet MS" w:hAnsi="Trebuchet MS"/>
                <w:b/>
                <w:sz w:val="18"/>
              </w:rPr>
              <w:t>ΣΤΟΧΟΣ ΤΗΣ ΕΠΕΝΔΥΣΗΣ</w:t>
            </w:r>
          </w:p>
        </w:tc>
      </w:tr>
      <w:tr>
        <w:trPr>
          <w:trHeight w:val="370" w:hRule="exact"/>
        </w:trPr>
        <w:tc>
          <w:tcPr>
            <w:tcW w:w="8517" w:type="dxa"/>
            <w:gridSpan w:val="2"/>
          </w:tcPr>
          <w:p>
            <w:pPr/>
          </w:p>
        </w:tc>
      </w:tr>
    </w:tbl>
    <w:p>
      <w:pPr>
        <w:spacing w:after="0"/>
        <w:sectPr>
          <w:pgSz w:w="11910" w:h="16840"/>
          <w:pgMar w:header="275" w:footer="978" w:top="460" w:bottom="1160" w:left="940" w:right="1480"/>
          <w:pgBorders w:offsetFrom="page">
            <w:top w:val="single" w:color="000000" w:space="24" w:sz="4"/>
            <w:left w:val="single" w:color="000000" w:space="24" w:sz="4"/>
            <w:bottom w:val="single" w:color="000000" w:space="24" w:sz="4"/>
            <w:right w:val="single" w:color="000000" w:space="24" w:sz="4"/>
          </w:pgBorders>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1846"/>
        <w:gridCol w:w="1378"/>
        <w:gridCol w:w="1318"/>
        <w:gridCol w:w="1208"/>
        <w:gridCol w:w="943"/>
        <w:gridCol w:w="593"/>
        <w:gridCol w:w="1081"/>
        <w:gridCol w:w="1135"/>
        <w:gridCol w:w="975"/>
      </w:tblGrid>
      <w:tr>
        <w:trPr>
          <w:trHeight w:val="7311" w:hRule="exact"/>
        </w:trPr>
        <w:tc>
          <w:tcPr>
            <w:tcW w:w="10939" w:type="dxa"/>
            <w:gridSpan w:val="10"/>
          </w:tcPr>
          <w:p>
            <w:pPr>
              <w:pStyle w:val="TableParagraph"/>
              <w:rPr>
                <w:rFonts w:ascii="Trebuchet MS"/>
                <w:b/>
                <w:sz w:val="18"/>
              </w:rPr>
            </w:pPr>
          </w:p>
          <w:p>
            <w:pPr>
              <w:pStyle w:val="TableParagraph"/>
              <w:spacing w:before="3"/>
              <w:rPr>
                <w:rFonts w:ascii="Trebuchet MS"/>
                <w:b/>
                <w:sz w:val="26"/>
              </w:rPr>
            </w:pPr>
          </w:p>
          <w:p>
            <w:pPr>
              <w:pStyle w:val="TableParagraph"/>
              <w:ind w:left="559"/>
              <w:rPr>
                <w:rFonts w:ascii="Trebuchet MS" w:hAnsi="Trebuchet MS"/>
                <w:i/>
                <w:sz w:val="16"/>
              </w:rPr>
            </w:pPr>
            <w:r>
              <w:rPr>
                <w:rFonts w:ascii="Trebuchet MS" w:hAnsi="Trebuchet MS"/>
                <w:i/>
                <w:sz w:val="16"/>
              </w:rPr>
              <w:t>ΠΑΡΑΡΤΗΜΑ Ι.1: ΕΝΤΥΠΟ ΥΠΟΒΟΛΗΣ ΑΙΤΗΣΗΣ ΧΡΗΜΑΤΟΔΟΤΗΣΗΣ ΜΕΡΟΣ 1</w:t>
            </w:r>
          </w:p>
        </w:tc>
      </w:tr>
      <w:tr>
        <w:trPr>
          <w:trHeight w:val="362" w:hRule="exact"/>
        </w:trPr>
        <w:tc>
          <w:tcPr>
            <w:tcW w:w="2309" w:type="dxa"/>
            <w:gridSpan w:val="2"/>
            <w:tcBorders>
              <w:left w:val="double" w:sz="6" w:space="0" w:color="000000"/>
            </w:tcBorders>
            <w:shd w:val="clear" w:color="auto" w:fill="999999"/>
          </w:tcPr>
          <w:p>
            <w:pPr>
              <w:pStyle w:val="TableParagraph"/>
              <w:spacing w:before="107"/>
              <w:ind w:left="122"/>
              <w:rPr>
                <w:rFonts w:ascii="Trebuchet MS"/>
                <w:b/>
                <w:sz w:val="20"/>
              </w:rPr>
            </w:pPr>
            <w:r>
              <w:rPr>
                <w:rFonts w:ascii="Trebuchet MS"/>
                <w:b/>
                <w:sz w:val="20"/>
              </w:rPr>
              <w:t>2.5</w:t>
            </w:r>
          </w:p>
        </w:tc>
        <w:tc>
          <w:tcPr>
            <w:tcW w:w="8630" w:type="dxa"/>
            <w:gridSpan w:val="8"/>
            <w:tcBorders>
              <w:right w:val="double" w:sz="4" w:space="0" w:color="000000"/>
            </w:tcBorders>
            <w:shd w:val="clear" w:color="auto" w:fill="D9D9D9"/>
          </w:tcPr>
          <w:p>
            <w:pPr>
              <w:pStyle w:val="TableParagraph"/>
              <w:spacing w:before="107"/>
              <w:ind w:left="103"/>
              <w:rPr>
                <w:rFonts w:ascii="Trebuchet MS" w:hAnsi="Trebuchet MS"/>
                <w:b/>
                <w:sz w:val="20"/>
              </w:rPr>
            </w:pPr>
            <w:r>
              <w:rPr>
                <w:rFonts w:ascii="Trebuchet MS" w:hAnsi="Trebuchet MS"/>
                <w:b/>
                <w:sz w:val="20"/>
              </w:rPr>
              <w:t>ΟΙΚΟΝΟΜΙΚΟ ΑΝΤΙΚΕΙΜΕΝΟ</w:t>
            </w:r>
          </w:p>
        </w:tc>
      </w:tr>
      <w:tr>
        <w:trPr>
          <w:trHeight w:val="479" w:hRule="exact"/>
        </w:trPr>
        <w:tc>
          <w:tcPr>
            <w:tcW w:w="2309" w:type="dxa"/>
            <w:gridSpan w:val="2"/>
            <w:tcBorders>
              <w:left w:val="double" w:sz="6" w:space="0" w:color="000000"/>
            </w:tcBorders>
            <w:shd w:val="clear" w:color="auto" w:fill="A6A6A6"/>
          </w:tcPr>
          <w:p>
            <w:pPr>
              <w:pStyle w:val="TableParagraph"/>
              <w:spacing w:before="110"/>
              <w:ind w:left="122"/>
              <w:rPr>
                <w:rFonts w:ascii="Trebuchet MS"/>
                <w:b/>
                <w:sz w:val="20"/>
              </w:rPr>
            </w:pPr>
            <w:r>
              <w:rPr>
                <w:rFonts w:ascii="Trebuchet MS"/>
                <w:b/>
                <w:sz w:val="20"/>
              </w:rPr>
              <w:t>2.5.1</w:t>
            </w:r>
          </w:p>
        </w:tc>
        <w:tc>
          <w:tcPr>
            <w:tcW w:w="8630" w:type="dxa"/>
            <w:gridSpan w:val="8"/>
            <w:tcBorders>
              <w:right w:val="double" w:sz="4" w:space="0" w:color="000000"/>
            </w:tcBorders>
            <w:shd w:val="clear" w:color="auto" w:fill="D9D9D9"/>
          </w:tcPr>
          <w:p>
            <w:pPr>
              <w:pStyle w:val="TableParagraph"/>
              <w:spacing w:before="110"/>
              <w:ind w:left="103"/>
              <w:rPr>
                <w:rFonts w:ascii="Trebuchet MS" w:hAnsi="Trebuchet MS"/>
                <w:b/>
                <w:sz w:val="20"/>
              </w:rPr>
            </w:pPr>
            <w:r>
              <w:rPr>
                <w:rFonts w:ascii="Trebuchet MS" w:hAnsi="Trebuchet MS"/>
                <w:b/>
                <w:sz w:val="20"/>
              </w:rPr>
              <w:t>ΠΙΝΑΚΑΣ ΔΑΠΑΝΩΝ</w:t>
            </w:r>
          </w:p>
        </w:tc>
      </w:tr>
      <w:tr>
        <w:trPr>
          <w:trHeight w:val="1031" w:hRule="exact"/>
        </w:trPr>
        <w:tc>
          <w:tcPr>
            <w:tcW w:w="463" w:type="dxa"/>
            <w:tcBorders>
              <w:left w:val="double" w:sz="6" w:space="0" w:color="000000"/>
            </w:tcBorders>
            <w:shd w:val="clear" w:color="auto" w:fill="D9D9D9"/>
          </w:tcPr>
          <w:p>
            <w:pPr>
              <w:pStyle w:val="TableParagraph"/>
              <w:rPr>
                <w:rFonts w:ascii="Trebuchet MS"/>
                <w:b/>
                <w:sz w:val="25"/>
              </w:rPr>
            </w:pPr>
          </w:p>
          <w:p>
            <w:pPr>
              <w:pStyle w:val="TableParagraph"/>
              <w:spacing w:line="276" w:lineRule="auto"/>
              <w:ind w:left="170" w:right="96" w:hanging="36"/>
              <w:rPr>
                <w:rFonts w:ascii="Trebuchet MS" w:hAnsi="Trebuchet MS"/>
                <w:b/>
                <w:sz w:val="18"/>
              </w:rPr>
            </w:pPr>
            <w:r>
              <w:rPr>
                <w:rFonts w:ascii="Trebuchet MS" w:hAnsi="Trebuchet MS"/>
                <w:b/>
                <w:sz w:val="18"/>
              </w:rPr>
              <w:t>Α/ Α</w:t>
            </w:r>
          </w:p>
        </w:tc>
        <w:tc>
          <w:tcPr>
            <w:tcW w:w="1846" w:type="dxa"/>
            <w:shd w:val="clear" w:color="auto" w:fill="D9D9D9"/>
          </w:tcPr>
          <w:p>
            <w:pPr>
              <w:pStyle w:val="TableParagraph"/>
              <w:rPr>
                <w:rFonts w:ascii="Trebuchet MS"/>
                <w:b/>
                <w:sz w:val="25"/>
              </w:rPr>
            </w:pPr>
          </w:p>
          <w:p>
            <w:pPr>
              <w:pStyle w:val="TableParagraph"/>
              <w:spacing w:line="276" w:lineRule="auto"/>
              <w:ind w:left="516" w:right="422" w:hanging="75"/>
              <w:rPr>
                <w:rFonts w:ascii="Trebuchet MS" w:hAnsi="Trebuchet MS"/>
                <w:b/>
                <w:sz w:val="18"/>
              </w:rPr>
            </w:pPr>
            <w:r>
              <w:rPr>
                <w:rFonts w:ascii="Trebuchet MS" w:hAnsi="Trebuchet MS"/>
                <w:b/>
                <w:sz w:val="18"/>
              </w:rPr>
              <w:t>ΚΑΤΗΓΟΡΙΑ</w:t>
            </w:r>
            <w:r>
              <w:rPr>
                <w:rFonts w:ascii="Trebuchet MS" w:hAnsi="Trebuchet MS"/>
                <w:b/>
                <w:w w:val="100"/>
                <w:sz w:val="18"/>
              </w:rPr>
              <w:t> </w:t>
            </w:r>
            <w:r>
              <w:rPr>
                <w:rFonts w:ascii="Trebuchet MS" w:hAnsi="Trebuchet MS"/>
                <w:b/>
                <w:sz w:val="18"/>
              </w:rPr>
              <w:t>ΔΑΠΑΝΗΣ</w:t>
            </w:r>
          </w:p>
        </w:tc>
        <w:tc>
          <w:tcPr>
            <w:tcW w:w="1378" w:type="dxa"/>
            <w:shd w:val="clear" w:color="auto" w:fill="D9D9D9"/>
          </w:tcPr>
          <w:p>
            <w:pPr>
              <w:pStyle w:val="TableParagraph"/>
              <w:spacing w:line="276" w:lineRule="auto" w:before="81"/>
              <w:ind w:left="218" w:right="202" w:firstLine="16"/>
              <w:rPr>
                <w:rFonts w:ascii="Trebuchet MS" w:hAnsi="Trebuchet MS"/>
                <w:b/>
                <w:sz w:val="18"/>
              </w:rPr>
            </w:pPr>
            <w:r>
              <w:rPr>
                <w:rFonts w:ascii="Trebuchet MS" w:hAnsi="Trebuchet MS"/>
                <w:b/>
                <w:sz w:val="18"/>
              </w:rPr>
              <w:t>ΚΑΘΕΣΤΩΣ ΕΝΙΣΧΥΣΗΣ</w:t>
            </w:r>
          </w:p>
        </w:tc>
        <w:tc>
          <w:tcPr>
            <w:tcW w:w="1318" w:type="dxa"/>
            <w:shd w:val="clear" w:color="auto" w:fill="D9D9D9"/>
          </w:tcPr>
          <w:p>
            <w:pPr>
              <w:pStyle w:val="TableParagraph"/>
              <w:spacing w:line="276" w:lineRule="auto" w:before="81"/>
              <w:ind w:left="100" w:right="86" w:firstLine="256"/>
              <w:rPr>
                <w:rFonts w:ascii="Trebuchet MS" w:hAnsi="Trebuchet MS"/>
                <w:b/>
                <w:sz w:val="18"/>
              </w:rPr>
            </w:pPr>
            <w:r>
              <w:rPr>
                <w:rFonts w:ascii="Trebuchet MS" w:hAnsi="Trebuchet MS"/>
                <w:b/>
                <w:sz w:val="18"/>
              </w:rPr>
              <w:t>ΤΟΠΟΣ ΥΛΟΠΟΙΗΣΗΣ</w:t>
            </w:r>
          </w:p>
        </w:tc>
        <w:tc>
          <w:tcPr>
            <w:tcW w:w="1208" w:type="dxa"/>
            <w:shd w:val="clear" w:color="auto" w:fill="D9D9D9"/>
          </w:tcPr>
          <w:p>
            <w:pPr>
              <w:pStyle w:val="TableParagraph"/>
              <w:spacing w:line="276" w:lineRule="auto" w:before="81"/>
              <w:ind w:left="103" w:right="82" w:firstLine="331"/>
              <w:rPr>
                <w:rFonts w:ascii="Trebuchet MS" w:hAnsi="Trebuchet MS"/>
                <w:b/>
                <w:sz w:val="18"/>
              </w:rPr>
            </w:pPr>
            <w:r>
              <w:rPr>
                <w:rFonts w:ascii="Trebuchet MS" w:hAnsi="Trebuchet MS"/>
                <w:b/>
                <w:sz w:val="18"/>
              </w:rPr>
              <w:t>ΚΑΔ ΕΠΕΝΔΥΣΗΣ</w:t>
            </w:r>
          </w:p>
        </w:tc>
        <w:tc>
          <w:tcPr>
            <w:tcW w:w="943" w:type="dxa"/>
            <w:shd w:val="clear" w:color="auto" w:fill="D9D9D9"/>
          </w:tcPr>
          <w:p>
            <w:pPr>
              <w:pStyle w:val="TableParagraph"/>
              <w:spacing w:line="276" w:lineRule="auto" w:before="170"/>
              <w:ind w:left="220" w:right="222" w:firstLine="4"/>
              <w:jc w:val="both"/>
              <w:rPr>
                <w:rFonts w:ascii="Trebuchet MS" w:hAnsi="Trebuchet MS"/>
                <w:b/>
                <w:sz w:val="18"/>
              </w:rPr>
            </w:pPr>
            <w:r>
              <w:rPr>
                <w:rFonts w:ascii="Trebuchet MS" w:hAnsi="Trebuchet MS"/>
                <w:b/>
                <w:sz w:val="18"/>
              </w:rPr>
              <w:t>ΠΟΣΟ ΧΩΡΙΣ ΦΠΑ</w:t>
            </w:r>
          </w:p>
        </w:tc>
        <w:tc>
          <w:tcPr>
            <w:tcW w:w="593" w:type="dxa"/>
            <w:shd w:val="clear" w:color="auto" w:fill="D9D9D9"/>
          </w:tcPr>
          <w:p>
            <w:pPr>
              <w:pStyle w:val="TableParagraph"/>
              <w:rPr>
                <w:rFonts w:ascii="Trebuchet MS"/>
                <w:b/>
                <w:sz w:val="20"/>
              </w:rPr>
            </w:pPr>
          </w:p>
          <w:p>
            <w:pPr>
              <w:pStyle w:val="TableParagraph"/>
              <w:spacing w:before="178"/>
              <w:ind w:left="103"/>
              <w:rPr>
                <w:rFonts w:ascii="Trebuchet MS" w:hAnsi="Trebuchet MS"/>
                <w:b/>
                <w:sz w:val="18"/>
              </w:rPr>
            </w:pPr>
            <w:r>
              <w:rPr>
                <w:rFonts w:ascii="Trebuchet MS" w:hAnsi="Trebuchet MS"/>
                <w:b/>
                <w:sz w:val="18"/>
              </w:rPr>
              <w:t>ΦΠΑ</w:t>
            </w:r>
          </w:p>
        </w:tc>
        <w:tc>
          <w:tcPr>
            <w:tcW w:w="1081" w:type="dxa"/>
            <w:shd w:val="clear" w:color="auto" w:fill="D9D9D9"/>
          </w:tcPr>
          <w:p>
            <w:pPr>
              <w:pStyle w:val="TableParagraph"/>
              <w:rPr>
                <w:rFonts w:ascii="Trebuchet MS"/>
                <w:b/>
                <w:sz w:val="25"/>
              </w:rPr>
            </w:pPr>
          </w:p>
          <w:p>
            <w:pPr>
              <w:pStyle w:val="TableParagraph"/>
              <w:spacing w:line="276" w:lineRule="auto"/>
              <w:ind w:left="295" w:right="85" w:hanging="192"/>
              <w:rPr>
                <w:rFonts w:ascii="Trebuchet MS" w:hAnsi="Trebuchet MS"/>
                <w:b/>
                <w:sz w:val="18"/>
              </w:rPr>
            </w:pPr>
            <w:r>
              <w:rPr>
                <w:rFonts w:ascii="Trebuchet MS" w:hAnsi="Trebuchet MS"/>
                <w:b/>
                <w:sz w:val="18"/>
              </w:rPr>
              <w:t>ΣΥΝΟΛΙΚΟ ΠΟΣΟ</w:t>
            </w:r>
          </w:p>
        </w:tc>
        <w:tc>
          <w:tcPr>
            <w:tcW w:w="1135" w:type="dxa"/>
            <w:shd w:val="clear" w:color="auto" w:fill="D9D9D9"/>
          </w:tcPr>
          <w:p>
            <w:pPr>
              <w:pStyle w:val="TableParagraph"/>
              <w:spacing w:line="276" w:lineRule="auto" w:before="81"/>
              <w:ind w:left="158" w:right="157" w:hanging="3"/>
              <w:jc w:val="center"/>
              <w:rPr>
                <w:rFonts w:ascii="Trebuchet MS" w:hAnsi="Trebuchet MS"/>
                <w:b/>
                <w:sz w:val="18"/>
              </w:rPr>
            </w:pPr>
            <w:r>
              <w:rPr>
                <w:rFonts w:ascii="Trebuchet MS" w:hAnsi="Trebuchet MS"/>
                <w:b/>
                <w:sz w:val="18"/>
              </w:rPr>
              <w:t>ΕΝΤΑΣΗ ΕΝΙΣΧΣΥΣ ΗΣ</w:t>
            </w:r>
          </w:p>
        </w:tc>
        <w:tc>
          <w:tcPr>
            <w:tcW w:w="975" w:type="dxa"/>
            <w:tcBorders>
              <w:right w:val="double" w:sz="4" w:space="0" w:color="000000"/>
            </w:tcBorders>
            <w:shd w:val="clear" w:color="auto" w:fill="D9D9D9"/>
          </w:tcPr>
          <w:p>
            <w:pPr>
              <w:pStyle w:val="TableParagraph"/>
              <w:spacing w:line="276" w:lineRule="auto" w:before="81"/>
              <w:ind w:left="141" w:right="70" w:hanging="32"/>
              <w:rPr>
                <w:rFonts w:ascii="Trebuchet MS" w:hAnsi="Trebuchet MS"/>
                <w:b/>
                <w:sz w:val="18"/>
              </w:rPr>
            </w:pPr>
            <w:r>
              <w:rPr>
                <w:rFonts w:ascii="Trebuchet MS" w:hAnsi="Trebuchet MS"/>
                <w:b/>
                <w:sz w:val="18"/>
              </w:rPr>
              <w:t>ΔΗΜΟΣΙΑ ΔΑΠΑΝΗ</w:t>
            </w:r>
          </w:p>
        </w:tc>
      </w:tr>
      <w:tr>
        <w:trPr>
          <w:trHeight w:val="1106" w:hRule="exact"/>
        </w:trPr>
        <w:tc>
          <w:tcPr>
            <w:tcW w:w="463" w:type="dxa"/>
            <w:tcBorders>
              <w:left w:val="double" w:sz="6" w:space="0" w:color="000000"/>
            </w:tcBorders>
          </w:tcPr>
          <w:p>
            <w:pPr>
              <w:pStyle w:val="TableParagraph"/>
              <w:rPr>
                <w:rFonts w:ascii="Trebuchet MS"/>
                <w:b/>
                <w:sz w:val="20"/>
              </w:rPr>
            </w:pPr>
          </w:p>
          <w:p>
            <w:pPr>
              <w:pStyle w:val="TableParagraph"/>
              <w:spacing w:before="6"/>
              <w:rPr>
                <w:rFonts w:ascii="Trebuchet MS"/>
                <w:b/>
                <w:sz w:val="18"/>
              </w:rPr>
            </w:pPr>
          </w:p>
          <w:p>
            <w:pPr>
              <w:pStyle w:val="TableParagraph"/>
              <w:ind w:left="122"/>
              <w:rPr>
                <w:rFonts w:ascii="Trebuchet MS"/>
                <w:sz w:val="18"/>
              </w:rPr>
            </w:pPr>
            <w:r>
              <w:rPr>
                <w:rFonts w:ascii="Trebuchet MS"/>
                <w:sz w:val="18"/>
              </w:rPr>
              <w:t>1</w:t>
            </w:r>
          </w:p>
        </w:tc>
        <w:tc>
          <w:tcPr>
            <w:tcW w:w="1846" w:type="dxa"/>
          </w:tcPr>
          <w:p>
            <w:pPr>
              <w:pStyle w:val="TableParagraph"/>
              <w:spacing w:before="59"/>
              <w:ind w:left="103" w:right="422"/>
              <w:rPr>
                <w:b/>
                <w:sz w:val="20"/>
              </w:rPr>
            </w:pPr>
            <w:r>
              <w:rPr>
                <w:b/>
                <w:sz w:val="20"/>
              </w:rPr>
              <w:t>α) Κόστος για επενδύσεις σε στοιχεία ενεργητικού</w:t>
            </w:r>
          </w:p>
        </w:tc>
        <w:tc>
          <w:tcPr>
            <w:tcW w:w="1378" w:type="dxa"/>
            <w:vMerge w:val="restart"/>
          </w:tcPr>
          <w:p>
            <w:pPr>
              <w:pStyle w:val="TableParagraph"/>
              <w:spacing w:before="80"/>
              <w:ind w:left="103"/>
              <w:rPr>
                <w:rFonts w:ascii="Trebuchet MS" w:hAnsi="Trebuchet MS"/>
                <w:sz w:val="18"/>
              </w:rPr>
            </w:pPr>
            <w:r>
              <w:rPr>
                <w:rFonts w:ascii="Trebuchet MS" w:hAnsi="Trebuchet MS"/>
                <w:sz w:val="18"/>
              </w:rPr>
              <w:t>ΚΑΝΟΝΙΣΜΟΣ</w:t>
            </w:r>
          </w:p>
          <w:p>
            <w:pPr>
              <w:pStyle w:val="TableParagraph"/>
              <w:spacing w:line="276" w:lineRule="auto" w:before="31"/>
              <w:ind w:left="103" w:right="329"/>
              <w:rPr>
                <w:rFonts w:ascii="Trebuchet MS" w:hAnsi="Trebuchet MS"/>
                <w:sz w:val="18"/>
              </w:rPr>
            </w:pPr>
            <w:r>
              <w:rPr>
                <w:rFonts w:ascii="Trebuchet MS" w:hAnsi="Trebuchet MS"/>
                <w:sz w:val="18"/>
              </w:rPr>
              <w:t>(ΕΕ) αριθ. 1407/2013 ΤΗΣ ΕΠΙΤΡΟΠΗΣ</w:t>
            </w:r>
          </w:p>
          <w:p>
            <w:pPr>
              <w:pStyle w:val="TableParagraph"/>
              <w:spacing w:line="276" w:lineRule="auto"/>
              <w:ind w:left="103" w:right="128"/>
              <w:rPr>
                <w:rFonts w:ascii="Trebuchet MS" w:hAnsi="Trebuchet MS"/>
                <w:sz w:val="18"/>
              </w:rPr>
            </w:pPr>
            <w:r>
              <w:rPr>
                <w:rFonts w:ascii="Trebuchet MS" w:hAnsi="Trebuchet MS"/>
                <w:sz w:val="18"/>
              </w:rPr>
              <w:t>σχετικά με την εφαρμογή των άρθρων 107 και 108 της Συνθήκης για τη λειτουργία της Ευρωπαϊκής Ένωσης στις ενισχύσεις ήσσονος σημασίας</w:t>
            </w:r>
          </w:p>
        </w:tc>
        <w:tc>
          <w:tcPr>
            <w:tcW w:w="1318" w:type="dxa"/>
          </w:tcPr>
          <w:p>
            <w:pPr/>
          </w:p>
        </w:tc>
        <w:tc>
          <w:tcPr>
            <w:tcW w:w="1208" w:type="dxa"/>
          </w:tcPr>
          <w:p>
            <w:pPr/>
          </w:p>
        </w:tc>
        <w:tc>
          <w:tcPr>
            <w:tcW w:w="943" w:type="dxa"/>
          </w:tcPr>
          <w:p>
            <w:pPr/>
          </w:p>
        </w:tc>
        <w:tc>
          <w:tcPr>
            <w:tcW w:w="593" w:type="dxa"/>
          </w:tcPr>
          <w:p>
            <w:pPr/>
          </w:p>
        </w:tc>
        <w:tc>
          <w:tcPr>
            <w:tcW w:w="1081" w:type="dxa"/>
          </w:tcPr>
          <w:p>
            <w:pPr/>
          </w:p>
        </w:tc>
        <w:tc>
          <w:tcPr>
            <w:tcW w:w="1135" w:type="dxa"/>
          </w:tcPr>
          <w:p>
            <w:pPr/>
          </w:p>
        </w:tc>
        <w:tc>
          <w:tcPr>
            <w:tcW w:w="975" w:type="dxa"/>
            <w:tcBorders>
              <w:right w:val="double" w:sz="4" w:space="0" w:color="000000"/>
            </w:tcBorders>
          </w:tcPr>
          <w:p>
            <w:pPr/>
          </w:p>
        </w:tc>
      </w:tr>
      <w:tr>
        <w:trPr>
          <w:trHeight w:val="617" w:hRule="exact"/>
        </w:trPr>
        <w:tc>
          <w:tcPr>
            <w:tcW w:w="463" w:type="dxa"/>
            <w:tcBorders>
              <w:left w:val="double" w:sz="6" w:space="0" w:color="000000"/>
            </w:tcBorders>
          </w:tcPr>
          <w:p>
            <w:pPr>
              <w:pStyle w:val="TableParagraph"/>
              <w:spacing w:before="8"/>
              <w:rPr>
                <w:rFonts w:ascii="Trebuchet MS"/>
                <w:b/>
                <w:sz w:val="17"/>
              </w:rPr>
            </w:pPr>
          </w:p>
          <w:p>
            <w:pPr>
              <w:pStyle w:val="TableParagraph"/>
              <w:ind w:left="122"/>
              <w:rPr>
                <w:rFonts w:ascii="Trebuchet MS"/>
                <w:sz w:val="18"/>
              </w:rPr>
            </w:pPr>
            <w:r>
              <w:rPr>
                <w:rFonts w:ascii="Trebuchet MS"/>
                <w:sz w:val="18"/>
              </w:rPr>
              <w:t>2</w:t>
            </w:r>
          </w:p>
        </w:tc>
        <w:tc>
          <w:tcPr>
            <w:tcW w:w="1846" w:type="dxa"/>
          </w:tcPr>
          <w:p>
            <w:pPr>
              <w:pStyle w:val="TableParagraph"/>
              <w:spacing w:before="59"/>
              <w:ind w:left="103" w:right="151"/>
              <w:rPr>
                <w:b/>
                <w:sz w:val="20"/>
              </w:rPr>
            </w:pPr>
            <w:r>
              <w:rPr>
                <w:b/>
                <w:sz w:val="20"/>
              </w:rPr>
              <w:t>β) Συμβουλευτικές υπηρεσίες</w:t>
            </w:r>
          </w:p>
        </w:tc>
        <w:tc>
          <w:tcPr>
            <w:tcW w:w="1378" w:type="dxa"/>
            <w:vMerge/>
          </w:tcPr>
          <w:p>
            <w:pPr/>
          </w:p>
        </w:tc>
        <w:tc>
          <w:tcPr>
            <w:tcW w:w="1318" w:type="dxa"/>
          </w:tcPr>
          <w:p>
            <w:pPr/>
          </w:p>
        </w:tc>
        <w:tc>
          <w:tcPr>
            <w:tcW w:w="1208" w:type="dxa"/>
          </w:tcPr>
          <w:p>
            <w:pPr/>
          </w:p>
        </w:tc>
        <w:tc>
          <w:tcPr>
            <w:tcW w:w="943" w:type="dxa"/>
          </w:tcPr>
          <w:p>
            <w:pPr/>
          </w:p>
        </w:tc>
        <w:tc>
          <w:tcPr>
            <w:tcW w:w="593" w:type="dxa"/>
          </w:tcPr>
          <w:p>
            <w:pPr/>
          </w:p>
        </w:tc>
        <w:tc>
          <w:tcPr>
            <w:tcW w:w="1081" w:type="dxa"/>
          </w:tcPr>
          <w:p>
            <w:pPr/>
          </w:p>
        </w:tc>
        <w:tc>
          <w:tcPr>
            <w:tcW w:w="1135" w:type="dxa"/>
          </w:tcPr>
          <w:p>
            <w:pPr/>
          </w:p>
        </w:tc>
        <w:tc>
          <w:tcPr>
            <w:tcW w:w="975" w:type="dxa"/>
            <w:tcBorders>
              <w:right w:val="double" w:sz="4" w:space="0" w:color="000000"/>
            </w:tcBorders>
          </w:tcPr>
          <w:p>
            <w:pPr/>
          </w:p>
        </w:tc>
      </w:tr>
      <w:tr>
        <w:trPr>
          <w:trHeight w:val="1141" w:hRule="exact"/>
        </w:trPr>
        <w:tc>
          <w:tcPr>
            <w:tcW w:w="463" w:type="dxa"/>
            <w:tcBorders>
              <w:left w:val="double" w:sz="6" w:space="0" w:color="000000"/>
            </w:tcBorders>
          </w:tcPr>
          <w:p>
            <w:pPr>
              <w:pStyle w:val="TableParagraph"/>
              <w:rPr>
                <w:rFonts w:ascii="Trebuchet MS"/>
                <w:b/>
                <w:sz w:val="20"/>
              </w:rPr>
            </w:pPr>
          </w:p>
          <w:p>
            <w:pPr>
              <w:pStyle w:val="TableParagraph"/>
              <w:spacing w:before="3"/>
              <w:rPr>
                <w:rFonts w:ascii="Trebuchet MS"/>
                <w:b/>
                <w:sz w:val="20"/>
              </w:rPr>
            </w:pPr>
          </w:p>
          <w:p>
            <w:pPr>
              <w:pStyle w:val="TableParagraph"/>
              <w:ind w:left="122"/>
              <w:rPr>
                <w:rFonts w:ascii="Trebuchet MS"/>
                <w:sz w:val="18"/>
              </w:rPr>
            </w:pPr>
            <w:r>
              <w:rPr>
                <w:rFonts w:ascii="Trebuchet MS"/>
                <w:sz w:val="18"/>
              </w:rPr>
              <w:t>3</w:t>
            </w:r>
          </w:p>
        </w:tc>
        <w:tc>
          <w:tcPr>
            <w:tcW w:w="1846" w:type="dxa"/>
          </w:tcPr>
          <w:p>
            <w:pPr>
              <w:pStyle w:val="TableParagraph"/>
              <w:spacing w:before="59"/>
              <w:ind w:left="103" w:right="166"/>
              <w:rPr>
                <w:b/>
                <w:sz w:val="20"/>
              </w:rPr>
            </w:pPr>
            <w:r>
              <w:rPr>
                <w:rFonts w:ascii="Trebuchet MS" w:hAnsi="Trebuchet MS"/>
                <w:b/>
                <w:sz w:val="20"/>
              </w:rPr>
              <w:t>γ) </w:t>
            </w:r>
            <w:r>
              <w:rPr>
                <w:b/>
                <w:sz w:val="20"/>
              </w:rPr>
              <w:t>Ενισχύσεις για συμμετοχή σε εμπορικές εκθέσεις</w:t>
            </w:r>
          </w:p>
        </w:tc>
        <w:tc>
          <w:tcPr>
            <w:tcW w:w="1378" w:type="dxa"/>
            <w:vMerge/>
          </w:tcPr>
          <w:p>
            <w:pPr/>
          </w:p>
        </w:tc>
        <w:tc>
          <w:tcPr>
            <w:tcW w:w="1318" w:type="dxa"/>
          </w:tcPr>
          <w:p>
            <w:pPr/>
          </w:p>
        </w:tc>
        <w:tc>
          <w:tcPr>
            <w:tcW w:w="1208" w:type="dxa"/>
          </w:tcPr>
          <w:p>
            <w:pPr/>
          </w:p>
        </w:tc>
        <w:tc>
          <w:tcPr>
            <w:tcW w:w="943" w:type="dxa"/>
          </w:tcPr>
          <w:p>
            <w:pPr/>
          </w:p>
        </w:tc>
        <w:tc>
          <w:tcPr>
            <w:tcW w:w="593" w:type="dxa"/>
          </w:tcPr>
          <w:p>
            <w:pPr/>
          </w:p>
        </w:tc>
        <w:tc>
          <w:tcPr>
            <w:tcW w:w="1081" w:type="dxa"/>
          </w:tcPr>
          <w:p>
            <w:pPr/>
          </w:p>
        </w:tc>
        <w:tc>
          <w:tcPr>
            <w:tcW w:w="1135" w:type="dxa"/>
          </w:tcPr>
          <w:p>
            <w:pPr/>
          </w:p>
        </w:tc>
        <w:tc>
          <w:tcPr>
            <w:tcW w:w="975" w:type="dxa"/>
            <w:tcBorders>
              <w:right w:val="double" w:sz="4" w:space="0" w:color="000000"/>
            </w:tcBorders>
          </w:tcPr>
          <w:p>
            <w:pPr/>
          </w:p>
        </w:tc>
      </w:tr>
      <w:tr>
        <w:trPr>
          <w:trHeight w:val="634" w:hRule="exact"/>
        </w:trPr>
        <w:tc>
          <w:tcPr>
            <w:tcW w:w="463" w:type="dxa"/>
            <w:tcBorders>
              <w:left w:val="double" w:sz="6" w:space="0" w:color="000000"/>
            </w:tcBorders>
          </w:tcPr>
          <w:p>
            <w:pPr>
              <w:pStyle w:val="TableParagraph"/>
              <w:spacing w:before="3"/>
              <w:rPr>
                <w:rFonts w:ascii="Trebuchet MS"/>
                <w:b/>
                <w:sz w:val="18"/>
              </w:rPr>
            </w:pPr>
          </w:p>
          <w:p>
            <w:pPr>
              <w:pStyle w:val="TableParagraph"/>
              <w:ind w:left="122"/>
              <w:rPr>
                <w:rFonts w:ascii="Trebuchet MS"/>
                <w:sz w:val="18"/>
              </w:rPr>
            </w:pPr>
            <w:r>
              <w:rPr>
                <w:rFonts w:ascii="Trebuchet MS"/>
                <w:sz w:val="18"/>
              </w:rPr>
              <w:t>4</w:t>
            </w:r>
          </w:p>
        </w:tc>
        <w:tc>
          <w:tcPr>
            <w:tcW w:w="1846" w:type="dxa"/>
          </w:tcPr>
          <w:p>
            <w:pPr>
              <w:pStyle w:val="TableParagraph"/>
              <w:spacing w:before="59"/>
              <w:ind w:left="103" w:right="422" w:firstLine="45"/>
              <w:rPr>
                <w:b/>
                <w:sz w:val="20"/>
              </w:rPr>
            </w:pPr>
            <w:r>
              <w:rPr>
                <w:b/>
                <w:sz w:val="20"/>
              </w:rPr>
              <w:t>δ) Ενισχύσεις Καινοτομίας</w:t>
            </w:r>
          </w:p>
        </w:tc>
        <w:tc>
          <w:tcPr>
            <w:tcW w:w="1378" w:type="dxa"/>
            <w:vMerge/>
          </w:tcPr>
          <w:p>
            <w:pPr/>
          </w:p>
        </w:tc>
        <w:tc>
          <w:tcPr>
            <w:tcW w:w="1318" w:type="dxa"/>
          </w:tcPr>
          <w:p>
            <w:pPr/>
          </w:p>
        </w:tc>
        <w:tc>
          <w:tcPr>
            <w:tcW w:w="1208" w:type="dxa"/>
          </w:tcPr>
          <w:p>
            <w:pPr/>
          </w:p>
        </w:tc>
        <w:tc>
          <w:tcPr>
            <w:tcW w:w="943" w:type="dxa"/>
          </w:tcPr>
          <w:p>
            <w:pPr/>
          </w:p>
        </w:tc>
        <w:tc>
          <w:tcPr>
            <w:tcW w:w="593" w:type="dxa"/>
          </w:tcPr>
          <w:p>
            <w:pPr/>
          </w:p>
        </w:tc>
        <w:tc>
          <w:tcPr>
            <w:tcW w:w="1081" w:type="dxa"/>
          </w:tcPr>
          <w:p>
            <w:pPr/>
          </w:p>
        </w:tc>
        <w:tc>
          <w:tcPr>
            <w:tcW w:w="1135" w:type="dxa"/>
          </w:tcPr>
          <w:p>
            <w:pPr/>
          </w:p>
        </w:tc>
        <w:tc>
          <w:tcPr>
            <w:tcW w:w="975" w:type="dxa"/>
            <w:tcBorders>
              <w:right w:val="double" w:sz="4" w:space="0" w:color="000000"/>
            </w:tcBorders>
          </w:tcPr>
          <w:p>
            <w:pPr/>
          </w:p>
        </w:tc>
      </w:tr>
      <w:tr>
        <w:trPr>
          <w:trHeight w:val="1430" w:hRule="exact"/>
        </w:trPr>
        <w:tc>
          <w:tcPr>
            <w:tcW w:w="463" w:type="dxa"/>
            <w:tcBorders>
              <w:left w:val="double" w:sz="6" w:space="0" w:color="000000"/>
            </w:tcBorders>
          </w:tcPr>
          <w:p>
            <w:pPr>
              <w:pStyle w:val="TableParagraph"/>
              <w:rPr>
                <w:rFonts w:ascii="Trebuchet MS"/>
                <w:b/>
                <w:sz w:val="20"/>
              </w:rPr>
            </w:pPr>
          </w:p>
          <w:p>
            <w:pPr>
              <w:pStyle w:val="TableParagraph"/>
              <w:rPr>
                <w:rFonts w:ascii="Trebuchet MS"/>
                <w:b/>
                <w:sz w:val="20"/>
              </w:rPr>
            </w:pPr>
          </w:p>
          <w:p>
            <w:pPr>
              <w:pStyle w:val="TableParagraph"/>
              <w:spacing w:before="146"/>
              <w:ind w:left="122"/>
              <w:rPr>
                <w:rFonts w:ascii="Trebuchet MS"/>
                <w:sz w:val="18"/>
              </w:rPr>
            </w:pPr>
            <w:r>
              <w:rPr>
                <w:rFonts w:ascii="Trebuchet MS"/>
                <w:sz w:val="18"/>
              </w:rPr>
              <w:t>5</w:t>
            </w:r>
          </w:p>
        </w:tc>
        <w:tc>
          <w:tcPr>
            <w:tcW w:w="1846" w:type="dxa"/>
          </w:tcPr>
          <w:p>
            <w:pPr>
              <w:pStyle w:val="TableParagraph"/>
              <w:spacing w:before="59"/>
              <w:ind w:left="103" w:right="422"/>
              <w:rPr>
                <w:b/>
                <w:sz w:val="20"/>
              </w:rPr>
            </w:pPr>
            <w:r>
              <w:rPr>
                <w:b/>
                <w:sz w:val="20"/>
              </w:rPr>
              <w:t>ε)Δαπάνες προσωπικού </w:t>
            </w:r>
            <w:r>
              <w:rPr>
                <w:b/>
                <w:w w:val="95"/>
                <w:sz w:val="20"/>
              </w:rPr>
              <w:t>(Μισθολογικό </w:t>
            </w:r>
            <w:r>
              <w:rPr>
                <w:b/>
                <w:sz w:val="20"/>
              </w:rPr>
              <w:t>κόστος νέου προσωπικού)</w:t>
            </w:r>
          </w:p>
        </w:tc>
        <w:tc>
          <w:tcPr>
            <w:tcW w:w="1378" w:type="dxa"/>
            <w:vMerge/>
          </w:tcPr>
          <w:p>
            <w:pPr/>
          </w:p>
        </w:tc>
        <w:tc>
          <w:tcPr>
            <w:tcW w:w="1318" w:type="dxa"/>
          </w:tcPr>
          <w:p>
            <w:pPr/>
          </w:p>
        </w:tc>
        <w:tc>
          <w:tcPr>
            <w:tcW w:w="1208" w:type="dxa"/>
          </w:tcPr>
          <w:p>
            <w:pPr/>
          </w:p>
        </w:tc>
        <w:tc>
          <w:tcPr>
            <w:tcW w:w="943" w:type="dxa"/>
          </w:tcPr>
          <w:p>
            <w:pPr/>
          </w:p>
        </w:tc>
        <w:tc>
          <w:tcPr>
            <w:tcW w:w="593" w:type="dxa"/>
          </w:tcPr>
          <w:p>
            <w:pPr/>
          </w:p>
        </w:tc>
        <w:tc>
          <w:tcPr>
            <w:tcW w:w="1081" w:type="dxa"/>
          </w:tcPr>
          <w:p>
            <w:pPr/>
          </w:p>
        </w:tc>
        <w:tc>
          <w:tcPr>
            <w:tcW w:w="1135" w:type="dxa"/>
          </w:tcPr>
          <w:p>
            <w:pPr/>
          </w:p>
        </w:tc>
        <w:tc>
          <w:tcPr>
            <w:tcW w:w="975" w:type="dxa"/>
            <w:tcBorders>
              <w:right w:val="double" w:sz="4" w:space="0" w:color="000000"/>
            </w:tcBorders>
          </w:tcPr>
          <w:p>
            <w:pPr/>
          </w:p>
        </w:tc>
      </w:tr>
      <w:tr>
        <w:trPr>
          <w:trHeight w:val="521" w:hRule="exact"/>
        </w:trPr>
        <w:tc>
          <w:tcPr>
            <w:tcW w:w="463" w:type="dxa"/>
            <w:tcBorders>
              <w:left w:val="double" w:sz="6" w:space="0" w:color="000000"/>
            </w:tcBorders>
          </w:tcPr>
          <w:p>
            <w:pPr>
              <w:pStyle w:val="TableParagraph"/>
              <w:spacing w:before="155"/>
              <w:ind w:left="122"/>
              <w:rPr>
                <w:rFonts w:ascii="Trebuchet MS"/>
                <w:sz w:val="18"/>
              </w:rPr>
            </w:pPr>
            <w:r>
              <w:rPr>
                <w:rFonts w:ascii="Trebuchet MS"/>
                <w:sz w:val="18"/>
              </w:rPr>
              <w:t>6</w:t>
            </w:r>
          </w:p>
        </w:tc>
        <w:tc>
          <w:tcPr>
            <w:tcW w:w="1846" w:type="dxa"/>
          </w:tcPr>
          <w:p>
            <w:pPr>
              <w:pStyle w:val="TableParagraph"/>
              <w:spacing w:before="8"/>
              <w:rPr>
                <w:rFonts w:ascii="Trebuchet MS"/>
                <w:b/>
                <w:sz w:val="17"/>
              </w:rPr>
            </w:pPr>
          </w:p>
          <w:p>
            <w:pPr>
              <w:pStyle w:val="TableParagraph"/>
              <w:ind w:left="103"/>
              <w:rPr>
                <w:b/>
                <w:sz w:val="20"/>
              </w:rPr>
            </w:pPr>
            <w:r>
              <w:rPr>
                <w:b/>
                <w:sz w:val="20"/>
              </w:rPr>
              <w:t>ΣΥΝΟΛΟ</w:t>
            </w:r>
          </w:p>
        </w:tc>
        <w:tc>
          <w:tcPr>
            <w:tcW w:w="1378" w:type="dxa"/>
          </w:tcPr>
          <w:p>
            <w:pPr/>
          </w:p>
        </w:tc>
        <w:tc>
          <w:tcPr>
            <w:tcW w:w="1318" w:type="dxa"/>
          </w:tcPr>
          <w:p>
            <w:pPr/>
          </w:p>
        </w:tc>
        <w:tc>
          <w:tcPr>
            <w:tcW w:w="1208" w:type="dxa"/>
          </w:tcPr>
          <w:p>
            <w:pPr/>
          </w:p>
        </w:tc>
        <w:tc>
          <w:tcPr>
            <w:tcW w:w="943" w:type="dxa"/>
          </w:tcPr>
          <w:p>
            <w:pPr/>
          </w:p>
        </w:tc>
        <w:tc>
          <w:tcPr>
            <w:tcW w:w="593" w:type="dxa"/>
          </w:tcPr>
          <w:p>
            <w:pPr/>
          </w:p>
        </w:tc>
        <w:tc>
          <w:tcPr>
            <w:tcW w:w="1081" w:type="dxa"/>
          </w:tcPr>
          <w:p>
            <w:pPr/>
          </w:p>
        </w:tc>
        <w:tc>
          <w:tcPr>
            <w:tcW w:w="1135" w:type="dxa"/>
          </w:tcPr>
          <w:p>
            <w:pPr/>
          </w:p>
        </w:tc>
        <w:tc>
          <w:tcPr>
            <w:tcW w:w="975" w:type="dxa"/>
            <w:tcBorders>
              <w:right w:val="double" w:sz="4" w:space="0" w:color="000000"/>
            </w:tcBorders>
          </w:tcPr>
          <w:p>
            <w:pPr/>
          </w:p>
        </w:tc>
      </w:tr>
      <w:tr>
        <w:trPr>
          <w:trHeight w:val="1238" w:hRule="exact"/>
        </w:trPr>
        <w:tc>
          <w:tcPr>
            <w:tcW w:w="10939" w:type="dxa"/>
            <w:gridSpan w:val="10"/>
          </w:tcPr>
          <w:p>
            <w:pPr>
              <w:pStyle w:val="TableParagraph"/>
              <w:rPr>
                <w:rFonts w:ascii="Trebuchet MS"/>
                <w:b/>
                <w:sz w:val="22"/>
              </w:rPr>
            </w:pPr>
          </w:p>
          <w:p>
            <w:pPr>
              <w:pStyle w:val="TableParagraph"/>
              <w:spacing w:before="6"/>
              <w:rPr>
                <w:rFonts w:ascii="Trebuchet MS"/>
                <w:b/>
                <w:sz w:val="20"/>
              </w:rPr>
            </w:pPr>
          </w:p>
          <w:p>
            <w:pPr>
              <w:pStyle w:val="TableParagraph"/>
              <w:ind w:left="3967" w:right="3966"/>
              <w:jc w:val="center"/>
              <w:rPr>
                <w:b/>
                <w:sz w:val="22"/>
              </w:rPr>
            </w:pPr>
            <w:r>
              <w:rPr>
                <w:sz w:val="22"/>
              </w:rPr>
              <w:t>ΠΑΡΑΡΤΗΜΑ Ι.1 - Σελίδα </w:t>
            </w:r>
            <w:r>
              <w:rPr>
                <w:b/>
                <w:sz w:val="22"/>
              </w:rPr>
              <w:t>6 </w:t>
            </w:r>
            <w:r>
              <w:rPr>
                <w:sz w:val="22"/>
              </w:rPr>
              <w:t>από </w:t>
            </w:r>
            <w:r>
              <w:rPr>
                <w:b/>
                <w:sz w:val="22"/>
              </w:rPr>
              <w:t>8</w:t>
            </w:r>
          </w:p>
        </w:tc>
      </w:tr>
    </w:tbl>
    <w:p>
      <w:pPr>
        <w:rPr>
          <w:sz w:val="2"/>
          <w:szCs w:val="2"/>
        </w:rPr>
      </w:pPr>
      <w:r>
        <w:rPr/>
        <w:pict>
          <v:shape style="position:absolute;margin-left:84.384003pt;margin-top:119.179985pt;width:426.6pt;height:249.55pt;mso-position-horizontal-relative:page;mso-position-vertical-relative:page;z-index:109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5795"/>
                    <w:gridCol w:w="1534"/>
                  </w:tblGrid>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2.4.6</w:t>
                        </w:r>
                      </w:p>
                    </w:tc>
                    <w:tc>
                      <w:tcPr>
                        <w:tcW w:w="7329" w:type="dxa"/>
                        <w:gridSpan w:val="2"/>
                        <w:shd w:val="clear" w:color="auto" w:fill="D9D9D9"/>
                      </w:tcPr>
                      <w:p>
                        <w:pPr>
                          <w:pStyle w:val="TableParagraph"/>
                          <w:spacing w:before="83"/>
                          <w:ind w:left="103"/>
                          <w:rPr>
                            <w:rFonts w:ascii="Trebuchet MS" w:hAnsi="Trebuchet MS"/>
                            <w:b/>
                            <w:sz w:val="18"/>
                          </w:rPr>
                        </w:pPr>
                        <w:r>
                          <w:rPr>
                            <w:rFonts w:ascii="Trebuchet MS" w:hAnsi="Trebuchet MS"/>
                            <w:b/>
                            <w:sz w:val="18"/>
                          </w:rPr>
                          <w:t>ΔΡΑΣΤΗΡΙΟΤΗΤΕΣ ΕΠΙΚΟΙΝΩΝΙΑΣ ΚΑΙ ΔΗΜΟΣΙΟΤΗΤΑΣ ΤΗΣ ΕΠΕΝΔΥΣΗΣ</w:t>
                        </w:r>
                      </w:p>
                    </w:tc>
                  </w:tr>
                  <w:tr>
                    <w:trPr>
                      <w:trHeight w:val="370" w:hRule="exact"/>
                    </w:trPr>
                    <w:tc>
                      <w:tcPr>
                        <w:tcW w:w="8517" w:type="dxa"/>
                        <w:gridSpan w:val="3"/>
                      </w:tcPr>
                      <w:p>
                        <w:pP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2.4.7</w:t>
                        </w:r>
                      </w:p>
                    </w:tc>
                    <w:tc>
                      <w:tcPr>
                        <w:tcW w:w="7329" w:type="dxa"/>
                        <w:gridSpan w:val="2"/>
                        <w:shd w:val="clear" w:color="auto" w:fill="D9D9D9"/>
                      </w:tcPr>
                      <w:p>
                        <w:pPr>
                          <w:pStyle w:val="TableParagraph"/>
                          <w:spacing w:before="83"/>
                          <w:ind w:left="103"/>
                          <w:rPr>
                            <w:rFonts w:ascii="Trebuchet MS" w:hAnsi="Trebuchet MS"/>
                            <w:b/>
                            <w:sz w:val="18"/>
                          </w:rPr>
                        </w:pPr>
                        <w:r>
                          <w:rPr>
                            <w:rFonts w:ascii="Trebuchet MS" w:hAnsi="Trebuchet MS"/>
                            <w:b/>
                            <w:sz w:val="18"/>
                          </w:rPr>
                          <w:t>ΚΡΙΣΙΜΟΤΗΤΑ ΕΠΕΝΔΥΣΗΣ</w:t>
                        </w:r>
                      </w:p>
                    </w:tc>
                  </w:tr>
                  <w:tr>
                    <w:trPr>
                      <w:trHeight w:val="372" w:hRule="exact"/>
                    </w:trPr>
                    <w:tc>
                      <w:tcPr>
                        <w:tcW w:w="8517" w:type="dxa"/>
                        <w:gridSpan w:val="3"/>
                      </w:tcPr>
                      <w:p>
                        <w:pP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2.4.8</w:t>
                        </w:r>
                      </w:p>
                    </w:tc>
                    <w:tc>
                      <w:tcPr>
                        <w:tcW w:w="7329" w:type="dxa"/>
                        <w:gridSpan w:val="2"/>
                        <w:shd w:val="clear" w:color="auto" w:fill="D9D9D9"/>
                      </w:tcPr>
                      <w:p>
                        <w:pPr>
                          <w:pStyle w:val="TableParagraph"/>
                          <w:spacing w:before="83"/>
                          <w:ind w:left="103"/>
                          <w:rPr>
                            <w:rFonts w:ascii="Trebuchet MS" w:hAnsi="Trebuchet MS"/>
                            <w:b/>
                            <w:sz w:val="18"/>
                          </w:rPr>
                        </w:pPr>
                        <w:r>
                          <w:rPr>
                            <w:rFonts w:ascii="Trebuchet MS" w:hAnsi="Trebuchet MS"/>
                            <w:b/>
                            <w:sz w:val="18"/>
                          </w:rPr>
                          <w:t>ΠΡΟΣΤΙΘΕΜΕΝΗ ΑΞΙΑ ΕΠΕΝΔΥΣΗΣ</w:t>
                        </w:r>
                      </w:p>
                    </w:tc>
                  </w:tr>
                  <w:tr>
                    <w:trPr>
                      <w:trHeight w:val="370" w:hRule="exact"/>
                    </w:trPr>
                    <w:tc>
                      <w:tcPr>
                        <w:tcW w:w="8517" w:type="dxa"/>
                        <w:gridSpan w:val="3"/>
                      </w:tcPr>
                      <w:p>
                        <w:pP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2.4.9</w:t>
                        </w:r>
                      </w:p>
                    </w:tc>
                    <w:tc>
                      <w:tcPr>
                        <w:tcW w:w="7329" w:type="dxa"/>
                        <w:gridSpan w:val="2"/>
                        <w:shd w:val="clear" w:color="auto" w:fill="D9D9D9"/>
                      </w:tcPr>
                      <w:p>
                        <w:pPr>
                          <w:pStyle w:val="TableParagraph"/>
                          <w:spacing w:before="83"/>
                          <w:ind w:left="103"/>
                          <w:rPr>
                            <w:rFonts w:ascii="Trebuchet MS" w:hAnsi="Trebuchet MS"/>
                            <w:b/>
                            <w:sz w:val="18"/>
                          </w:rPr>
                        </w:pPr>
                        <w:r>
                          <w:rPr>
                            <w:rFonts w:ascii="Trebuchet MS" w:hAnsi="Trebuchet MS"/>
                            <w:b/>
                            <w:sz w:val="18"/>
                          </w:rPr>
                          <w:t>ΤΡΟΠΟΙ ΕΠΙΤΕΥΞΗΣ ΣΤΟΧΩΝ ΕΠΕΝΔΥΣΗΣ</w:t>
                        </w:r>
                      </w:p>
                    </w:tc>
                  </w:tr>
                  <w:tr>
                    <w:trPr>
                      <w:trHeight w:val="370" w:hRule="exact"/>
                    </w:trPr>
                    <w:tc>
                      <w:tcPr>
                        <w:tcW w:w="8517" w:type="dxa"/>
                        <w:gridSpan w:val="3"/>
                      </w:tcPr>
                      <w:p>
                        <w:pP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2.4.10</w:t>
                        </w:r>
                      </w:p>
                    </w:tc>
                    <w:tc>
                      <w:tcPr>
                        <w:tcW w:w="7329" w:type="dxa"/>
                        <w:gridSpan w:val="2"/>
                        <w:shd w:val="clear" w:color="auto" w:fill="D9D9D9"/>
                      </w:tcPr>
                      <w:p>
                        <w:pPr>
                          <w:pStyle w:val="TableParagraph"/>
                          <w:spacing w:before="83"/>
                          <w:ind w:left="103"/>
                          <w:rPr>
                            <w:rFonts w:ascii="Trebuchet MS" w:hAnsi="Trebuchet MS"/>
                            <w:b/>
                            <w:sz w:val="18"/>
                          </w:rPr>
                        </w:pPr>
                        <w:r>
                          <w:rPr>
                            <w:rFonts w:ascii="Trebuchet MS" w:hAnsi="Trebuchet MS"/>
                            <w:b/>
                            <w:sz w:val="18"/>
                          </w:rPr>
                          <w:t>ΑΝΑΜΕΝΟΜΕΝΑ ΩΦΕΛΗ ΑΠΌ ΤΗΝ ΕΠΕΝΔΥΣΗ</w:t>
                        </w:r>
                      </w:p>
                    </w:tc>
                  </w:tr>
                  <w:tr>
                    <w:trPr>
                      <w:trHeight w:val="372" w:hRule="exact"/>
                    </w:trPr>
                    <w:tc>
                      <w:tcPr>
                        <w:tcW w:w="8517" w:type="dxa"/>
                        <w:gridSpan w:val="3"/>
                      </w:tcPr>
                      <w:p>
                        <w:pPr/>
                      </w:p>
                    </w:tc>
                  </w:tr>
                  <w:tr>
                    <w:trPr>
                      <w:trHeight w:val="370" w:hRule="exact"/>
                    </w:trPr>
                    <w:tc>
                      <w:tcPr>
                        <w:tcW w:w="1188" w:type="dxa"/>
                        <w:shd w:val="clear" w:color="auto" w:fill="BEBEBE"/>
                      </w:tcPr>
                      <w:p>
                        <w:pPr>
                          <w:pStyle w:val="TableParagraph"/>
                          <w:spacing w:before="83"/>
                          <w:ind w:left="103"/>
                          <w:rPr>
                            <w:rFonts w:ascii="Trebuchet MS"/>
                            <w:b/>
                            <w:sz w:val="18"/>
                          </w:rPr>
                        </w:pPr>
                        <w:r>
                          <w:rPr>
                            <w:rFonts w:ascii="Trebuchet MS"/>
                            <w:b/>
                            <w:sz w:val="18"/>
                          </w:rPr>
                          <w:t>2.4.11</w:t>
                        </w:r>
                      </w:p>
                    </w:tc>
                    <w:tc>
                      <w:tcPr>
                        <w:tcW w:w="7329" w:type="dxa"/>
                        <w:gridSpan w:val="2"/>
                        <w:shd w:val="clear" w:color="auto" w:fill="D9D9D9"/>
                      </w:tcPr>
                      <w:p>
                        <w:pPr>
                          <w:pStyle w:val="TableParagraph"/>
                          <w:spacing w:before="83"/>
                          <w:ind w:left="103"/>
                          <w:rPr>
                            <w:rFonts w:ascii="Trebuchet MS" w:hAnsi="Trebuchet MS"/>
                            <w:b/>
                            <w:sz w:val="18"/>
                          </w:rPr>
                        </w:pPr>
                        <w:r>
                          <w:rPr>
                            <w:rFonts w:ascii="Trebuchet MS" w:hAnsi="Trebuchet MS"/>
                            <w:b/>
                            <w:sz w:val="18"/>
                          </w:rPr>
                          <w:t>ΔΗΜΙΟΥΡΓΙΑ ΝΕΩΝ ΘΕΣΕΩΝ ΑΠΑΣΧΟΛΗΣΗΣ</w:t>
                        </w:r>
                      </w:p>
                    </w:tc>
                  </w:tr>
                  <w:tr>
                    <w:trPr>
                      <w:trHeight w:val="910" w:hRule="exact"/>
                    </w:trPr>
                    <w:tc>
                      <w:tcPr>
                        <w:tcW w:w="6983" w:type="dxa"/>
                        <w:gridSpan w:val="2"/>
                      </w:tcPr>
                      <w:p>
                        <w:pPr>
                          <w:pStyle w:val="TableParagraph"/>
                          <w:spacing w:before="83"/>
                          <w:ind w:left="103"/>
                          <w:rPr>
                            <w:rFonts w:ascii="Trebuchet MS" w:hAnsi="Trebuchet MS"/>
                            <w:sz w:val="18"/>
                          </w:rPr>
                        </w:pPr>
                        <w:r>
                          <w:rPr>
                            <w:rFonts w:ascii="Trebuchet MS" w:hAnsi="Trebuchet MS"/>
                            <w:sz w:val="18"/>
                          </w:rPr>
                          <w:t>Καταγραφή αριθμού των νέων θέσεων απασχόλησης οι οποίες θα δημιουργηθούν.</w:t>
                        </w:r>
                      </w:p>
                      <w:p>
                        <w:pPr>
                          <w:pStyle w:val="TableParagraph"/>
                          <w:spacing w:line="276" w:lineRule="auto" w:before="91"/>
                          <w:ind w:left="103" w:right="621"/>
                          <w:rPr>
                            <w:rFonts w:ascii="Trebuchet MS" w:hAnsi="Trebuchet MS"/>
                            <w:i/>
                            <w:sz w:val="18"/>
                          </w:rPr>
                        </w:pPr>
                        <w:r>
                          <w:rPr>
                            <w:rFonts w:ascii="Trebuchet MS" w:hAnsi="Trebuchet MS"/>
                            <w:i/>
                            <w:sz w:val="18"/>
                          </w:rPr>
                          <w:t>Οι θέσεις απασχόλησης είναι εξαρτημένης εργασίας και υπολογίζονται σε ΕΜΕ </w:t>
                        </w:r>
                        <w:r>
                          <w:rPr>
                            <w:rFonts w:ascii="Trebuchet MS" w:hAnsi="Trebuchet MS"/>
                            <w:i/>
                            <w:sz w:val="18"/>
                          </w:rPr>
                          <w:t>(Ετήσιες Μονάδες Εργασίας).</w:t>
                        </w:r>
                      </w:p>
                    </w:tc>
                    <w:tc>
                      <w:tcPr>
                        <w:tcW w:w="1534" w:type="dxa"/>
                      </w:tcPr>
                      <w:p>
                        <w:pPr>
                          <w:pStyle w:val="TableParagraph"/>
                          <w:spacing w:before="83"/>
                          <w:ind w:left="103"/>
                          <w:rPr>
                            <w:rFonts w:ascii="Trebuchet MS" w:hAnsi="Trebuchet MS"/>
                            <w:sz w:val="18"/>
                          </w:rPr>
                        </w:pPr>
                        <w:r>
                          <w:rPr>
                            <w:rFonts w:ascii="Trebuchet MS" w:hAnsi="Trebuchet MS"/>
                            <w:sz w:val="18"/>
                          </w:rPr>
                          <w:t>Αριθμός</w:t>
                        </w:r>
                      </w:p>
                    </w:tc>
                  </w:tr>
                </w:tbl>
                <w:p>
                  <w:pPr>
                    <w:pStyle w:val="BodyText"/>
                  </w:pPr>
                </w:p>
              </w:txbxContent>
            </v:textbox>
            <w10:wrap type="none"/>
          </v:shape>
        </w:pict>
      </w:r>
    </w:p>
    <w:p>
      <w:pPr>
        <w:spacing w:after="0"/>
        <w:rPr>
          <w:sz w:val="2"/>
          <w:szCs w:val="2"/>
        </w:rPr>
        <w:sectPr>
          <w:headerReference w:type="default" r:id="rId40"/>
          <w:footerReference w:type="default" r:id="rId41"/>
          <w:pgSz w:w="11910" w:h="16840"/>
          <w:pgMar w:header="0" w:footer="0" w:top="460" w:bottom="280" w:left="360" w:right="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5"/>
        </w:rPr>
      </w:pP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63"/>
        <w:gridCol w:w="3101"/>
        <w:gridCol w:w="2158"/>
        <w:gridCol w:w="1813"/>
      </w:tblGrid>
      <w:tr>
        <w:trPr>
          <w:trHeight w:val="418" w:hRule="exact"/>
        </w:trPr>
        <w:tc>
          <w:tcPr>
            <w:tcW w:w="1697" w:type="dxa"/>
            <w:shd w:val="clear" w:color="auto" w:fill="808080"/>
          </w:tcPr>
          <w:p>
            <w:pPr>
              <w:pStyle w:val="TableParagraph"/>
              <w:spacing w:before="57"/>
              <w:ind w:left="103"/>
              <w:rPr>
                <w:rFonts w:ascii="Trebuchet MS"/>
                <w:b/>
                <w:sz w:val="20"/>
              </w:rPr>
            </w:pPr>
            <w:r>
              <w:rPr>
                <w:rFonts w:ascii="Trebuchet MS"/>
                <w:b/>
                <w:sz w:val="20"/>
              </w:rPr>
              <w:t>2.5.2</w:t>
            </w:r>
          </w:p>
        </w:tc>
        <w:tc>
          <w:tcPr>
            <w:tcW w:w="7235" w:type="dxa"/>
            <w:gridSpan w:val="4"/>
            <w:shd w:val="clear" w:color="auto" w:fill="D9D9D9"/>
          </w:tcPr>
          <w:p>
            <w:pPr>
              <w:pStyle w:val="TableParagraph"/>
              <w:spacing w:before="57"/>
              <w:ind w:left="103"/>
              <w:rPr>
                <w:rFonts w:ascii="Trebuchet MS" w:hAnsi="Trebuchet MS"/>
                <w:b/>
                <w:sz w:val="20"/>
              </w:rPr>
            </w:pPr>
            <w:r>
              <w:rPr>
                <w:rFonts w:ascii="Trebuchet MS" w:hAnsi="Trebuchet MS"/>
                <w:b/>
                <w:sz w:val="20"/>
              </w:rPr>
              <w:t>ΧΡΗΜΑΤΟΔΟΤΙΚΟ ΣΧΗΜΑ</w:t>
            </w:r>
          </w:p>
        </w:tc>
      </w:tr>
      <w:tr>
        <w:trPr>
          <w:trHeight w:val="408" w:hRule="exact"/>
        </w:trPr>
        <w:tc>
          <w:tcPr>
            <w:tcW w:w="4962" w:type="dxa"/>
            <w:gridSpan w:val="3"/>
            <w:shd w:val="clear" w:color="auto" w:fill="D9D9D9"/>
          </w:tcPr>
          <w:p>
            <w:pPr/>
          </w:p>
        </w:tc>
        <w:tc>
          <w:tcPr>
            <w:tcW w:w="2158" w:type="dxa"/>
          </w:tcPr>
          <w:p>
            <w:pPr>
              <w:pStyle w:val="TableParagraph"/>
              <w:spacing w:before="80"/>
              <w:ind w:left="710" w:right="709"/>
              <w:jc w:val="center"/>
              <w:rPr>
                <w:rFonts w:ascii="Trebuchet MS" w:hAnsi="Trebuchet MS"/>
                <w:b/>
                <w:sz w:val="18"/>
              </w:rPr>
            </w:pPr>
            <w:r>
              <w:rPr>
                <w:rFonts w:ascii="Trebuchet MS" w:hAnsi="Trebuchet MS"/>
                <w:b/>
                <w:sz w:val="18"/>
              </w:rPr>
              <w:t>ΣΥΝΟΛΑ</w:t>
            </w:r>
          </w:p>
        </w:tc>
        <w:tc>
          <w:tcPr>
            <w:tcW w:w="1813" w:type="dxa"/>
          </w:tcPr>
          <w:p>
            <w:pPr>
              <w:pStyle w:val="TableParagraph"/>
              <w:spacing w:before="80"/>
              <w:ind w:left="478" w:right="478"/>
              <w:jc w:val="center"/>
              <w:rPr>
                <w:rFonts w:ascii="Trebuchet MS" w:hAnsi="Trebuchet MS"/>
                <w:b/>
                <w:sz w:val="18"/>
              </w:rPr>
            </w:pPr>
            <w:r>
              <w:rPr>
                <w:rFonts w:ascii="Trebuchet MS" w:hAnsi="Trebuchet MS"/>
                <w:b/>
                <w:sz w:val="18"/>
              </w:rPr>
              <w:t>ΠΟΣΟΣΤΑ</w:t>
            </w:r>
          </w:p>
        </w:tc>
      </w:tr>
      <w:tr>
        <w:trPr>
          <w:trHeight w:val="370" w:hRule="exact"/>
        </w:trPr>
        <w:tc>
          <w:tcPr>
            <w:tcW w:w="1860" w:type="dxa"/>
            <w:gridSpan w:val="2"/>
            <w:vMerge w:val="restart"/>
            <w:shd w:val="clear" w:color="auto" w:fill="D9D9D9"/>
          </w:tcPr>
          <w:p>
            <w:pPr>
              <w:pStyle w:val="TableParagraph"/>
              <w:spacing w:line="276" w:lineRule="auto" w:before="80"/>
              <w:ind w:left="103" w:right="674"/>
              <w:rPr>
                <w:rFonts w:ascii="Trebuchet MS" w:hAnsi="Trebuchet MS"/>
                <w:b/>
                <w:sz w:val="18"/>
              </w:rPr>
            </w:pPr>
            <w:r>
              <w:rPr>
                <w:rFonts w:ascii="Trebuchet MS" w:hAnsi="Trebuchet MS"/>
                <w:b/>
                <w:sz w:val="18"/>
              </w:rPr>
              <w:t>ΙΔΙΩΤΙΚΗ ΣΥΜΜΕΤΟΧΗ</w:t>
            </w:r>
          </w:p>
        </w:tc>
        <w:tc>
          <w:tcPr>
            <w:tcW w:w="3101" w:type="dxa"/>
            <w:shd w:val="clear" w:color="auto" w:fill="D9D9D9"/>
          </w:tcPr>
          <w:p>
            <w:pPr>
              <w:pStyle w:val="TableParagraph"/>
              <w:spacing w:before="80"/>
              <w:ind w:left="103"/>
              <w:rPr>
                <w:rFonts w:ascii="Trebuchet MS" w:hAnsi="Trebuchet MS"/>
                <w:b/>
                <w:sz w:val="18"/>
              </w:rPr>
            </w:pPr>
            <w:r>
              <w:rPr>
                <w:rFonts w:ascii="Trebuchet MS" w:hAnsi="Trebuchet MS"/>
                <w:b/>
                <w:sz w:val="18"/>
              </w:rPr>
              <w:t>ΙΔΙΑ ΚΕΦΑΛΑΙΑ</w:t>
            </w:r>
          </w:p>
        </w:tc>
        <w:tc>
          <w:tcPr>
            <w:tcW w:w="2158" w:type="dxa"/>
            <w:shd w:val="clear" w:color="auto" w:fill="D9D9D9"/>
          </w:tcPr>
          <w:p>
            <w:pPr/>
          </w:p>
        </w:tc>
        <w:tc>
          <w:tcPr>
            <w:tcW w:w="1813" w:type="dxa"/>
            <w:shd w:val="clear" w:color="auto" w:fill="D9D9D9"/>
          </w:tcPr>
          <w:p>
            <w:pPr/>
          </w:p>
        </w:tc>
      </w:tr>
      <w:tr>
        <w:trPr>
          <w:trHeight w:val="610" w:hRule="exact"/>
        </w:trPr>
        <w:tc>
          <w:tcPr>
            <w:tcW w:w="1860" w:type="dxa"/>
            <w:gridSpan w:val="2"/>
            <w:vMerge/>
            <w:shd w:val="clear" w:color="auto" w:fill="D9D9D9"/>
          </w:tcPr>
          <w:p>
            <w:pPr/>
          </w:p>
        </w:tc>
        <w:tc>
          <w:tcPr>
            <w:tcW w:w="3101" w:type="dxa"/>
            <w:shd w:val="clear" w:color="auto" w:fill="D9D9D9"/>
          </w:tcPr>
          <w:p>
            <w:pPr>
              <w:pStyle w:val="TableParagraph"/>
              <w:spacing w:line="276" w:lineRule="auto" w:before="80"/>
              <w:ind w:left="103" w:right="680"/>
              <w:rPr>
                <w:rFonts w:ascii="Trebuchet MS" w:hAnsi="Trebuchet MS"/>
                <w:b/>
                <w:sz w:val="18"/>
              </w:rPr>
            </w:pPr>
            <w:r>
              <w:rPr>
                <w:rFonts w:ascii="Trebuchet MS" w:hAnsi="Trebuchet MS"/>
                <w:b/>
                <w:sz w:val="18"/>
              </w:rPr>
              <w:t>ΜΕΣΟΠΡΟΘΕΣΜΑ ΔΑΝΕΙΑΚΑ ΚΕΦΑΛΑΙΑ</w:t>
            </w:r>
          </w:p>
        </w:tc>
        <w:tc>
          <w:tcPr>
            <w:tcW w:w="2158" w:type="dxa"/>
            <w:shd w:val="clear" w:color="auto" w:fill="D9D9D9"/>
          </w:tcPr>
          <w:p>
            <w:pPr/>
          </w:p>
        </w:tc>
        <w:tc>
          <w:tcPr>
            <w:tcW w:w="1813" w:type="dxa"/>
            <w:shd w:val="clear" w:color="auto" w:fill="D9D9D9"/>
          </w:tcPr>
          <w:p>
            <w:pPr/>
          </w:p>
        </w:tc>
      </w:tr>
      <w:tr>
        <w:trPr>
          <w:trHeight w:val="370" w:hRule="exact"/>
        </w:trPr>
        <w:tc>
          <w:tcPr>
            <w:tcW w:w="4962" w:type="dxa"/>
            <w:gridSpan w:val="3"/>
            <w:shd w:val="clear" w:color="auto" w:fill="D9D9D9"/>
          </w:tcPr>
          <w:p>
            <w:pPr>
              <w:pStyle w:val="TableParagraph"/>
              <w:spacing w:before="80"/>
              <w:ind w:left="103"/>
              <w:rPr>
                <w:rFonts w:ascii="Trebuchet MS" w:hAnsi="Trebuchet MS"/>
                <w:b/>
                <w:sz w:val="18"/>
              </w:rPr>
            </w:pPr>
            <w:r>
              <w:rPr>
                <w:rFonts w:ascii="Trebuchet MS" w:hAnsi="Trebuchet MS"/>
                <w:b/>
                <w:sz w:val="18"/>
              </w:rPr>
              <w:t>A. Σύνολο Ιδιωτικής Συμμετοχής (Α.1+Α.2)</w:t>
            </w:r>
          </w:p>
        </w:tc>
        <w:tc>
          <w:tcPr>
            <w:tcW w:w="2158" w:type="dxa"/>
          </w:tcPr>
          <w:p>
            <w:pPr/>
          </w:p>
        </w:tc>
        <w:tc>
          <w:tcPr>
            <w:tcW w:w="1813" w:type="dxa"/>
          </w:tcPr>
          <w:p>
            <w:pPr>
              <w:pStyle w:val="TableParagraph"/>
              <w:spacing w:before="80"/>
              <w:ind w:left="1"/>
              <w:jc w:val="center"/>
              <w:rPr>
                <w:rFonts w:ascii="Trebuchet MS"/>
                <w:b/>
                <w:sz w:val="18"/>
              </w:rPr>
            </w:pPr>
            <w:r>
              <w:rPr>
                <w:rFonts w:ascii="Trebuchet MS"/>
                <w:b/>
                <w:sz w:val="18"/>
              </w:rPr>
              <w:t>%</w:t>
            </w:r>
          </w:p>
        </w:tc>
      </w:tr>
      <w:tr>
        <w:trPr>
          <w:trHeight w:val="370" w:hRule="exact"/>
        </w:trPr>
        <w:tc>
          <w:tcPr>
            <w:tcW w:w="4962" w:type="dxa"/>
            <w:gridSpan w:val="3"/>
            <w:shd w:val="clear" w:color="auto" w:fill="D9D9D9"/>
          </w:tcPr>
          <w:p>
            <w:pPr>
              <w:pStyle w:val="TableParagraph"/>
              <w:spacing w:before="80"/>
              <w:ind w:left="103"/>
              <w:rPr>
                <w:rFonts w:ascii="Trebuchet MS" w:hAnsi="Trebuchet MS"/>
                <w:b/>
                <w:sz w:val="18"/>
              </w:rPr>
            </w:pPr>
            <w:r>
              <w:rPr>
                <w:rFonts w:ascii="Trebuchet MS" w:hAnsi="Trebuchet MS"/>
                <w:b/>
                <w:sz w:val="18"/>
              </w:rPr>
              <w:t>ΠΡΟΒΛΕΠΟΜΕΝΗ ΕΠΙΧΟΡΗΓΗΣΗ ΔΗΜΟΣΙΟΥ</w:t>
            </w:r>
          </w:p>
        </w:tc>
        <w:tc>
          <w:tcPr>
            <w:tcW w:w="2158" w:type="dxa"/>
            <w:shd w:val="clear" w:color="auto" w:fill="D9D9D9"/>
          </w:tcPr>
          <w:p>
            <w:pPr/>
          </w:p>
        </w:tc>
        <w:tc>
          <w:tcPr>
            <w:tcW w:w="1813" w:type="dxa"/>
            <w:shd w:val="clear" w:color="auto" w:fill="D9D9D9"/>
          </w:tcPr>
          <w:p>
            <w:pPr/>
          </w:p>
        </w:tc>
      </w:tr>
      <w:tr>
        <w:trPr>
          <w:trHeight w:val="371" w:hRule="exact"/>
        </w:trPr>
        <w:tc>
          <w:tcPr>
            <w:tcW w:w="4962" w:type="dxa"/>
            <w:gridSpan w:val="3"/>
            <w:shd w:val="clear" w:color="auto" w:fill="D9D9D9"/>
          </w:tcPr>
          <w:p>
            <w:pPr>
              <w:pStyle w:val="TableParagraph"/>
              <w:spacing w:before="80"/>
              <w:ind w:left="103"/>
              <w:rPr>
                <w:rFonts w:ascii="Trebuchet MS" w:hAnsi="Trebuchet MS"/>
                <w:b/>
                <w:sz w:val="18"/>
              </w:rPr>
            </w:pPr>
            <w:r>
              <w:rPr>
                <w:rFonts w:ascii="Trebuchet MS" w:hAnsi="Trebuchet MS"/>
                <w:b/>
                <w:sz w:val="18"/>
              </w:rPr>
              <w:t>B. Σύνολο Επιχορήγησης Δημοσίου</w:t>
            </w:r>
          </w:p>
        </w:tc>
        <w:tc>
          <w:tcPr>
            <w:tcW w:w="2158" w:type="dxa"/>
          </w:tcPr>
          <w:p>
            <w:pPr/>
          </w:p>
        </w:tc>
        <w:tc>
          <w:tcPr>
            <w:tcW w:w="1813" w:type="dxa"/>
          </w:tcPr>
          <w:p>
            <w:pPr>
              <w:pStyle w:val="TableParagraph"/>
              <w:spacing w:before="80"/>
              <w:ind w:left="1"/>
              <w:jc w:val="center"/>
              <w:rPr>
                <w:rFonts w:ascii="Trebuchet MS"/>
                <w:b/>
                <w:sz w:val="18"/>
              </w:rPr>
            </w:pPr>
            <w:r>
              <w:rPr>
                <w:rFonts w:ascii="Trebuchet MS"/>
                <w:b/>
                <w:sz w:val="18"/>
              </w:rPr>
              <w:t>%</w:t>
            </w:r>
          </w:p>
        </w:tc>
      </w:tr>
      <w:tr>
        <w:trPr>
          <w:trHeight w:val="371" w:hRule="exact"/>
        </w:trPr>
        <w:tc>
          <w:tcPr>
            <w:tcW w:w="4962" w:type="dxa"/>
            <w:gridSpan w:val="3"/>
            <w:shd w:val="clear" w:color="auto" w:fill="D9D9D9"/>
          </w:tcPr>
          <w:p>
            <w:pPr>
              <w:pStyle w:val="TableParagraph"/>
              <w:spacing w:before="81"/>
              <w:ind w:left="103"/>
              <w:rPr>
                <w:rFonts w:ascii="Trebuchet MS" w:hAnsi="Trebuchet MS"/>
                <w:b/>
                <w:sz w:val="18"/>
              </w:rPr>
            </w:pPr>
            <w:r>
              <w:rPr>
                <w:rFonts w:ascii="Trebuchet MS" w:hAnsi="Trebuchet MS"/>
                <w:b/>
                <w:sz w:val="18"/>
              </w:rPr>
              <w:t>Επιχορηγούμενος Προϋπολογισμός (Α+Β)</w:t>
            </w:r>
          </w:p>
        </w:tc>
        <w:tc>
          <w:tcPr>
            <w:tcW w:w="2158" w:type="dxa"/>
            <w:shd w:val="clear" w:color="auto" w:fill="D9D9D9"/>
          </w:tcPr>
          <w:p>
            <w:pPr/>
          </w:p>
        </w:tc>
        <w:tc>
          <w:tcPr>
            <w:tcW w:w="1813" w:type="dxa"/>
            <w:shd w:val="clear" w:color="auto" w:fill="D9D9D9"/>
          </w:tcPr>
          <w:p>
            <w:pPr/>
          </w:p>
        </w:tc>
      </w:tr>
      <w:tr>
        <w:trPr>
          <w:trHeight w:val="370" w:hRule="exact"/>
        </w:trPr>
        <w:tc>
          <w:tcPr>
            <w:tcW w:w="4962" w:type="dxa"/>
            <w:gridSpan w:val="3"/>
            <w:shd w:val="clear" w:color="auto" w:fill="D9D9D9"/>
          </w:tcPr>
          <w:p>
            <w:pPr>
              <w:pStyle w:val="TableParagraph"/>
              <w:spacing w:before="80"/>
              <w:ind w:left="103"/>
              <w:rPr>
                <w:rFonts w:ascii="Trebuchet MS" w:hAnsi="Trebuchet MS"/>
                <w:b/>
                <w:sz w:val="18"/>
              </w:rPr>
            </w:pPr>
            <w:r>
              <w:rPr>
                <w:rFonts w:ascii="Trebuchet MS" w:hAnsi="Trebuchet MS"/>
                <w:b/>
                <w:sz w:val="18"/>
              </w:rPr>
              <w:t>Γ. Μη Επιχορηγούμενος Προϋπολογισμός</w:t>
            </w:r>
          </w:p>
        </w:tc>
        <w:tc>
          <w:tcPr>
            <w:tcW w:w="2158" w:type="dxa"/>
          </w:tcPr>
          <w:p>
            <w:pPr/>
          </w:p>
        </w:tc>
        <w:tc>
          <w:tcPr>
            <w:tcW w:w="1813" w:type="dxa"/>
            <w:shd w:val="clear" w:color="auto" w:fill="D9D9D9"/>
          </w:tcPr>
          <w:p>
            <w:pPr/>
          </w:p>
        </w:tc>
      </w:tr>
      <w:tr>
        <w:trPr>
          <w:trHeight w:val="370" w:hRule="exact"/>
        </w:trPr>
        <w:tc>
          <w:tcPr>
            <w:tcW w:w="4962" w:type="dxa"/>
            <w:gridSpan w:val="3"/>
            <w:shd w:val="clear" w:color="auto" w:fill="D9D9D9"/>
          </w:tcPr>
          <w:p>
            <w:pPr>
              <w:pStyle w:val="TableParagraph"/>
              <w:spacing w:before="80"/>
              <w:ind w:left="103"/>
              <w:rPr>
                <w:rFonts w:ascii="Trebuchet MS" w:hAnsi="Trebuchet MS"/>
                <w:b/>
                <w:sz w:val="18"/>
              </w:rPr>
            </w:pPr>
            <w:r>
              <w:rPr>
                <w:rFonts w:ascii="Trebuchet MS" w:hAnsi="Trebuchet MS"/>
                <w:b/>
                <w:sz w:val="18"/>
              </w:rPr>
              <w:t>Σύνολο επένδυσης (Α+Β+Γ)</w:t>
            </w:r>
          </w:p>
        </w:tc>
        <w:tc>
          <w:tcPr>
            <w:tcW w:w="2158" w:type="dxa"/>
            <w:shd w:val="clear" w:color="auto" w:fill="D9D9D9"/>
          </w:tcPr>
          <w:p>
            <w:pPr/>
          </w:p>
        </w:tc>
        <w:tc>
          <w:tcPr>
            <w:tcW w:w="1813" w:type="dxa"/>
            <w:shd w:val="clear" w:color="auto" w:fill="D9D9D9"/>
          </w:tcPr>
          <w:p>
            <w:pPr/>
          </w:p>
        </w:tc>
      </w:tr>
    </w:tbl>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7090"/>
        <w:gridCol w:w="282"/>
        <w:gridCol w:w="994"/>
      </w:tblGrid>
      <w:tr>
        <w:trPr>
          <w:trHeight w:val="362" w:hRule="exact"/>
        </w:trPr>
        <w:tc>
          <w:tcPr>
            <w:tcW w:w="708" w:type="dxa"/>
            <w:shd w:val="clear" w:color="auto" w:fill="0C0C0C"/>
          </w:tcPr>
          <w:p>
            <w:pPr>
              <w:pStyle w:val="TableParagraph"/>
              <w:spacing w:before="47"/>
              <w:ind w:left="103"/>
              <w:rPr>
                <w:rFonts w:ascii="Trebuchet MS"/>
                <w:b/>
                <w:sz w:val="20"/>
              </w:rPr>
            </w:pPr>
            <w:r>
              <w:rPr>
                <w:rFonts w:ascii="Trebuchet MS"/>
                <w:b/>
                <w:color w:val="FFFFFF"/>
                <w:sz w:val="20"/>
              </w:rPr>
              <w:t>3.</w:t>
            </w:r>
          </w:p>
        </w:tc>
        <w:tc>
          <w:tcPr>
            <w:tcW w:w="8366" w:type="dxa"/>
            <w:gridSpan w:val="3"/>
            <w:shd w:val="clear" w:color="auto" w:fill="C0C0C0"/>
          </w:tcPr>
          <w:p>
            <w:pPr>
              <w:pStyle w:val="TableParagraph"/>
              <w:spacing w:before="47"/>
              <w:ind w:left="103"/>
              <w:rPr>
                <w:rFonts w:ascii="Trebuchet MS" w:hAnsi="Trebuchet MS"/>
                <w:b/>
                <w:sz w:val="20"/>
              </w:rPr>
            </w:pPr>
            <w:r>
              <w:rPr>
                <w:rFonts w:ascii="Trebuchet MS" w:hAnsi="Trebuchet MS"/>
                <w:b/>
                <w:sz w:val="20"/>
              </w:rPr>
              <w:t>ΟΡΙΖΟΝΤΙΕΣ ΠΟΛΙΤΙΚΕΣ</w:t>
            </w:r>
          </w:p>
        </w:tc>
      </w:tr>
      <w:tr>
        <w:trPr>
          <w:trHeight w:val="821" w:hRule="exact"/>
        </w:trPr>
        <w:tc>
          <w:tcPr>
            <w:tcW w:w="708" w:type="dxa"/>
            <w:shd w:val="clear" w:color="auto" w:fill="A6A6A6"/>
          </w:tcPr>
          <w:p>
            <w:pPr>
              <w:pStyle w:val="TableParagraph"/>
              <w:spacing w:before="80"/>
              <w:ind w:left="103"/>
              <w:rPr>
                <w:rFonts w:ascii="Trebuchet MS"/>
                <w:b/>
                <w:sz w:val="18"/>
              </w:rPr>
            </w:pPr>
            <w:r>
              <w:rPr>
                <w:rFonts w:ascii="Trebuchet MS"/>
                <w:b/>
                <w:sz w:val="18"/>
              </w:rPr>
              <w:t>3.1</w:t>
            </w:r>
          </w:p>
        </w:tc>
        <w:tc>
          <w:tcPr>
            <w:tcW w:w="7090" w:type="dxa"/>
            <w:shd w:val="clear" w:color="auto" w:fill="DFDFDF"/>
          </w:tcPr>
          <w:p>
            <w:pPr>
              <w:pStyle w:val="TableParagraph"/>
              <w:spacing w:line="360" w:lineRule="auto" w:before="47"/>
              <w:ind w:left="103"/>
              <w:rPr>
                <w:rFonts w:ascii="Trebuchet MS" w:hAnsi="Trebuchet MS"/>
                <w:sz w:val="18"/>
              </w:rPr>
            </w:pPr>
            <w:r>
              <w:rPr>
                <w:rFonts w:ascii="Trebuchet MS" w:hAnsi="Trebuchet MS"/>
                <w:sz w:val="18"/>
              </w:rPr>
              <w:t>ΥΠΑΡΧΟΥΝ ΥΠΟΔΟΜΕΣ ΔΙΕΥΚΟΛΥΝΣΗΣ (ΚΤΙΡΙΑΚΕΣ Η ΑΛΛΕΣ ΑΝΑΛΟΓΑ ΤΙ ΑΠΑΙΤΕΙΤΑΙ) ΠΡΟΣΒΑΣΗΣ ΤΩΝ ΑΜΕΑ, Η ΕΦΟΣΟΝ ΔΕΝ ΥΠΑΡΧΟΥΝ ΠΡΟΚΕΙΤΑΙ ΝΑ ΔΗΜΙΟΥΡΓΗΘΟΥΝ;</w:t>
            </w:r>
          </w:p>
        </w:tc>
        <w:tc>
          <w:tcPr>
            <w:tcW w:w="1276" w:type="dxa"/>
            <w:gridSpan w:val="2"/>
          </w:tcPr>
          <w:p>
            <w:pPr>
              <w:pStyle w:val="TableParagraph"/>
              <w:spacing w:before="47"/>
              <w:ind w:left="102"/>
              <w:rPr>
                <w:rFonts w:ascii="Trebuchet MS"/>
                <w:sz w:val="18"/>
              </w:rPr>
            </w:pPr>
            <w:r>
              <w:rPr>
                <w:rFonts w:ascii="Trebuchet MS"/>
                <w:sz w:val="18"/>
              </w:rPr>
              <w:t>NAI/OXI</w:t>
            </w:r>
          </w:p>
        </w:tc>
      </w:tr>
      <w:tr>
        <w:trPr>
          <w:trHeight w:val="756" w:hRule="exact"/>
        </w:trPr>
        <w:tc>
          <w:tcPr>
            <w:tcW w:w="708" w:type="dxa"/>
            <w:vMerge w:val="restart"/>
            <w:shd w:val="clear" w:color="auto" w:fill="A6A6A6"/>
          </w:tcPr>
          <w:p>
            <w:pPr>
              <w:pStyle w:val="TableParagraph"/>
              <w:spacing w:before="80"/>
              <w:ind w:left="103"/>
              <w:rPr>
                <w:rFonts w:ascii="Trebuchet MS"/>
                <w:b/>
                <w:sz w:val="18"/>
              </w:rPr>
            </w:pPr>
            <w:r>
              <w:rPr>
                <w:rFonts w:ascii="Trebuchet MS"/>
                <w:b/>
                <w:sz w:val="18"/>
              </w:rPr>
              <w:t>3.2</w:t>
            </w:r>
          </w:p>
        </w:tc>
        <w:tc>
          <w:tcPr>
            <w:tcW w:w="8366" w:type="dxa"/>
            <w:gridSpan w:val="3"/>
            <w:shd w:val="clear" w:color="auto" w:fill="DFDFDF"/>
          </w:tcPr>
          <w:p>
            <w:pPr>
              <w:pStyle w:val="TableParagraph"/>
              <w:spacing w:line="357" w:lineRule="auto" w:before="47"/>
              <w:ind w:left="103"/>
              <w:rPr>
                <w:rFonts w:ascii="Trebuchet MS" w:hAnsi="Trebuchet MS"/>
                <w:sz w:val="18"/>
              </w:rPr>
            </w:pPr>
            <w:r>
              <w:rPr>
                <w:rFonts w:ascii="Trebuchet MS" w:hAnsi="Trebuchet MS"/>
                <w:sz w:val="18"/>
              </w:rPr>
              <w:t>ΕΙΔΟΣ ΥΦΙΣΤΑΜΕΝΗΣ ΥΠΟΔΟΜΗΣ ΑμεΑ ΠΟΥ ΔΙΑΘΕΤΕΙ Η ΕΠΙΧΕΙΡΗΣΗ Ή ΠΟΥ ΠΡΟΚΕΙΤΑΙ ΝΑ ΔΗΜΙΟΥΡΓΗΘΕΙ</w:t>
            </w:r>
          </w:p>
        </w:tc>
      </w:tr>
      <w:tr>
        <w:trPr>
          <w:trHeight w:val="444" w:hRule="exact"/>
        </w:trPr>
        <w:tc>
          <w:tcPr>
            <w:tcW w:w="708" w:type="dxa"/>
            <w:vMerge/>
            <w:shd w:val="clear" w:color="auto" w:fill="A6A6A6"/>
          </w:tcPr>
          <w:p>
            <w:pPr/>
          </w:p>
        </w:tc>
        <w:tc>
          <w:tcPr>
            <w:tcW w:w="8366" w:type="dxa"/>
            <w:gridSpan w:val="3"/>
          </w:tcPr>
          <w:p>
            <w:pPr>
              <w:pStyle w:val="TableParagraph"/>
              <w:spacing w:before="47"/>
              <w:ind w:left="103"/>
              <w:rPr>
                <w:rFonts w:ascii="Trebuchet MS" w:hAnsi="Trebuchet MS"/>
                <w:sz w:val="18"/>
              </w:rPr>
            </w:pPr>
            <w:r>
              <w:rPr>
                <w:rFonts w:ascii="Trebuchet MS" w:hAnsi="Trebuchet MS"/>
                <w:sz w:val="18"/>
              </w:rPr>
              <w:t>(Περιγραφή)</w:t>
            </w:r>
          </w:p>
        </w:tc>
      </w:tr>
      <w:tr>
        <w:trPr>
          <w:trHeight w:val="756" w:hRule="exact"/>
        </w:trPr>
        <w:tc>
          <w:tcPr>
            <w:tcW w:w="708" w:type="dxa"/>
            <w:shd w:val="clear" w:color="auto" w:fill="999999"/>
          </w:tcPr>
          <w:p>
            <w:pPr>
              <w:pStyle w:val="TableParagraph"/>
              <w:spacing w:before="7"/>
              <w:rPr>
                <w:rFonts w:ascii="Times New Roman"/>
                <w:sz w:val="17"/>
              </w:rPr>
            </w:pPr>
          </w:p>
          <w:p>
            <w:pPr>
              <w:pStyle w:val="TableParagraph"/>
              <w:ind w:left="103"/>
              <w:rPr>
                <w:rFonts w:ascii="Trebuchet MS"/>
                <w:b/>
                <w:sz w:val="18"/>
              </w:rPr>
            </w:pPr>
            <w:r>
              <w:rPr>
                <w:rFonts w:ascii="Trebuchet MS"/>
                <w:b/>
                <w:sz w:val="18"/>
              </w:rPr>
              <w:t>3.3</w:t>
            </w:r>
          </w:p>
        </w:tc>
        <w:tc>
          <w:tcPr>
            <w:tcW w:w="7372" w:type="dxa"/>
            <w:gridSpan w:val="2"/>
            <w:shd w:val="clear" w:color="auto" w:fill="D9D9D9"/>
          </w:tcPr>
          <w:p>
            <w:pPr>
              <w:pStyle w:val="TableParagraph"/>
              <w:spacing w:line="360" w:lineRule="auto" w:before="47"/>
              <w:ind w:left="103"/>
              <w:rPr>
                <w:rFonts w:ascii="Trebuchet MS" w:hAnsi="Trebuchet MS"/>
                <w:sz w:val="18"/>
              </w:rPr>
            </w:pPr>
            <w:r>
              <w:rPr>
                <w:rFonts w:ascii="Trebuchet MS" w:hAnsi="Trebuchet MS"/>
                <w:sz w:val="18"/>
              </w:rPr>
              <w:t>Η ΠΡΑΞΗ ΣΥΝΕΚΤΙΜΑ ΚΑΙ ΠΡΟΑΣΠΙΖΕΙ ΤΗΝ ΑΡΧΗ ΤΗΣ ΙΣΟΤΗΤΑΣ ΜΕΤΑΞΥ ΑΝΔΡΩΝ ΚΑΙ ΓΥΝΑΙΚΩΝ;</w:t>
            </w:r>
          </w:p>
        </w:tc>
        <w:tc>
          <w:tcPr>
            <w:tcW w:w="994" w:type="dxa"/>
          </w:tcPr>
          <w:p>
            <w:pPr>
              <w:pStyle w:val="TableParagraph"/>
              <w:spacing w:before="47"/>
              <w:ind w:left="103"/>
              <w:rPr>
                <w:rFonts w:ascii="Trebuchet MS" w:hAnsi="Trebuchet MS"/>
                <w:sz w:val="18"/>
              </w:rPr>
            </w:pPr>
            <w:r>
              <w:rPr>
                <w:rFonts w:ascii="Trebuchet MS" w:hAnsi="Trebuchet MS"/>
                <w:sz w:val="18"/>
              </w:rPr>
              <w:t>ΝΑΙ/ΟΧΙ</w:t>
            </w:r>
          </w:p>
        </w:tc>
      </w:tr>
      <w:tr>
        <w:trPr>
          <w:trHeight w:val="952" w:hRule="exact"/>
        </w:trPr>
        <w:tc>
          <w:tcPr>
            <w:tcW w:w="708" w:type="dxa"/>
            <w:shd w:val="clear" w:color="auto" w:fill="999999"/>
          </w:tcPr>
          <w:p>
            <w:pPr>
              <w:pStyle w:val="TableParagraph"/>
              <w:spacing w:before="2"/>
              <w:rPr>
                <w:rFonts w:ascii="Times New Roman"/>
                <w:sz w:val="26"/>
              </w:rPr>
            </w:pPr>
          </w:p>
          <w:p>
            <w:pPr>
              <w:pStyle w:val="TableParagraph"/>
              <w:ind w:left="103"/>
              <w:rPr>
                <w:rFonts w:ascii="Trebuchet MS"/>
                <w:b/>
                <w:sz w:val="18"/>
              </w:rPr>
            </w:pPr>
            <w:r>
              <w:rPr>
                <w:rFonts w:ascii="Trebuchet MS"/>
                <w:b/>
                <w:sz w:val="18"/>
              </w:rPr>
              <w:t>3.4</w:t>
            </w:r>
          </w:p>
        </w:tc>
        <w:tc>
          <w:tcPr>
            <w:tcW w:w="7372" w:type="dxa"/>
            <w:gridSpan w:val="2"/>
            <w:shd w:val="clear" w:color="auto" w:fill="D9D9D9"/>
          </w:tcPr>
          <w:p>
            <w:pPr>
              <w:pStyle w:val="TableParagraph"/>
              <w:spacing w:line="357" w:lineRule="auto" w:before="145"/>
              <w:ind w:left="103"/>
              <w:rPr>
                <w:rFonts w:ascii="Trebuchet MS" w:hAnsi="Trebuchet MS"/>
                <w:sz w:val="18"/>
              </w:rPr>
            </w:pPr>
            <w:r>
              <w:rPr>
                <w:rFonts w:ascii="Trebuchet MS" w:hAnsi="Trebuchet MS"/>
                <w:sz w:val="18"/>
              </w:rPr>
              <w:t>Η ΠΡΑΞΗ ΑΠΟΤΡΕΠΕΙ ΚΑΘΕ ΔΙΑΚΡΙΣΗ ΛΟΓΩ ΦΥΛΟΥ, ΦΥΛΗΣ, ΕΘΝΟΤΙΚΗΣ ΚΑΤΑΓΩΓΗΣ, ΘΡΗΣΚΕΙΑΣ, ΠΕΠΟΙΘΗΣΕΩΝ, ΑΝΑΠΗΡΙΑΣ, ΗΛΙΚΙΑΣ, ΓΕΝΕΤΗΣΙΟΥ ΠΡΟΣΑΝΑΤΟΛΙΣΜΟΥ;</w:t>
            </w:r>
          </w:p>
        </w:tc>
        <w:tc>
          <w:tcPr>
            <w:tcW w:w="994" w:type="dxa"/>
          </w:tcPr>
          <w:p>
            <w:pPr>
              <w:pStyle w:val="TableParagraph"/>
              <w:spacing w:before="47"/>
              <w:ind w:left="103"/>
              <w:rPr>
                <w:rFonts w:ascii="Trebuchet MS" w:hAnsi="Trebuchet MS"/>
                <w:sz w:val="18"/>
              </w:rPr>
            </w:pPr>
            <w:r>
              <w:rPr>
                <w:rFonts w:ascii="Trebuchet MS" w:hAnsi="Trebuchet MS"/>
                <w:sz w:val="18"/>
              </w:rPr>
              <w:t>ΝΑΙ/ΟΧΙ</w:t>
            </w:r>
          </w:p>
        </w:tc>
      </w:tr>
      <w:tr>
        <w:trPr>
          <w:trHeight w:val="1384" w:hRule="exact"/>
        </w:trPr>
        <w:tc>
          <w:tcPr>
            <w:tcW w:w="708" w:type="dxa"/>
            <w:shd w:val="clear" w:color="auto" w:fill="999999"/>
          </w:tcPr>
          <w:p>
            <w:pPr>
              <w:pStyle w:val="TableParagraph"/>
              <w:rPr>
                <w:rFonts w:ascii="Times New Roman"/>
                <w:sz w:val="20"/>
              </w:rPr>
            </w:pPr>
          </w:p>
          <w:p>
            <w:pPr>
              <w:pStyle w:val="TableParagraph"/>
              <w:spacing w:before="1"/>
              <w:rPr>
                <w:rFonts w:ascii="Times New Roman"/>
                <w:sz w:val="25"/>
              </w:rPr>
            </w:pPr>
          </w:p>
          <w:p>
            <w:pPr>
              <w:pStyle w:val="TableParagraph"/>
              <w:ind w:left="103"/>
              <w:rPr>
                <w:rFonts w:ascii="Trebuchet MS"/>
                <w:b/>
                <w:sz w:val="18"/>
              </w:rPr>
            </w:pPr>
            <w:r>
              <w:rPr>
                <w:rFonts w:ascii="Trebuchet MS"/>
                <w:b/>
                <w:sz w:val="18"/>
              </w:rPr>
              <w:t>3.5</w:t>
            </w:r>
          </w:p>
        </w:tc>
        <w:tc>
          <w:tcPr>
            <w:tcW w:w="7372" w:type="dxa"/>
            <w:gridSpan w:val="2"/>
            <w:shd w:val="clear" w:color="auto" w:fill="D9D9D9"/>
          </w:tcPr>
          <w:p>
            <w:pPr>
              <w:pStyle w:val="TableParagraph"/>
              <w:spacing w:line="360" w:lineRule="auto" w:before="48"/>
              <w:ind w:left="103" w:right="105"/>
              <w:jc w:val="both"/>
              <w:rPr>
                <w:rFonts w:ascii="Trebuchet MS" w:hAnsi="Trebuchet MS"/>
                <w:sz w:val="18"/>
              </w:rPr>
            </w:pPr>
            <w:r>
              <w:rPr>
                <w:rFonts w:ascii="Trebuchet MS" w:hAnsi="Trebuchet MS"/>
                <w:sz w:val="18"/>
              </w:rPr>
              <w:t>Η ΠΡΑΞΗ ΣΕΒΕΤΑΙ ΤΗΝ ΑΡΧΗ ΤΗΣ ΑΕΙΦΟΡΟΥ ΑΝΑΠΤΥΞΗΣ ΚΑΙ ΔΙΑΣΦΑΛΙΖΕΙ ΤΗΝ ΠΡΟΩΘΗΣΗ ΤΩΝ ΑΠΑΙΤΗΣΕΩΝ ΠΕΡΙΒΑΛΛΟΝΤΙΚΗΣ ΠΡΟΣΤΑΣΙΑΣ, ΑΠΟΔΟΣΗΣ ΠΟΡΩΝ, ΜΕΤΡΙΑΣΜΟΥ ΚΛΙΜΑΤΙΚΗΣ ΑΛΛΑΓΗΣ ΚΑΙ ΠΡΟΣΤΑΣΙΑΣ ΒΙΟΠΟΙΚΙΛΟΤΗΤΑΣ, ΟΠΟΥ ΕΦΑΡΜΟΖΕΤΑΙ;</w:t>
            </w:r>
          </w:p>
        </w:tc>
        <w:tc>
          <w:tcPr>
            <w:tcW w:w="994" w:type="dxa"/>
          </w:tcPr>
          <w:p>
            <w:pPr>
              <w:pStyle w:val="TableParagraph"/>
              <w:spacing w:before="48"/>
              <w:ind w:left="103"/>
              <w:rPr>
                <w:rFonts w:ascii="Trebuchet MS" w:hAnsi="Trebuchet MS"/>
                <w:sz w:val="18"/>
              </w:rPr>
            </w:pPr>
            <w:r>
              <w:rPr>
                <w:rFonts w:ascii="Trebuchet MS" w:hAnsi="Trebuchet MS"/>
                <w:sz w:val="18"/>
              </w:rPr>
              <w:t>ΝΑΙ/ΟΧΙ</w:t>
            </w:r>
          </w:p>
        </w:tc>
      </w:tr>
    </w:tbl>
    <w:p>
      <w:pPr>
        <w:pStyle w:val="BodyText"/>
        <w:rPr>
          <w:rFonts w:ascii="Times New Roman"/>
          <w:sz w:val="20"/>
        </w:rPr>
      </w:pPr>
    </w:p>
    <w:p>
      <w:pPr>
        <w:pStyle w:val="BodyText"/>
        <w:rPr>
          <w:rFonts w:ascii="Times New Roman"/>
          <w:sz w:val="20"/>
        </w:rPr>
      </w:pPr>
    </w:p>
    <w:p>
      <w:pPr>
        <w:pStyle w:val="BodyText"/>
        <w:spacing w:before="6"/>
        <w:rPr>
          <w:rFonts w:ascii="Times New Roman"/>
          <w:sz w:val="14"/>
        </w:rPr>
      </w:pP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850"/>
        <w:gridCol w:w="3118"/>
        <w:gridCol w:w="1136"/>
        <w:gridCol w:w="991"/>
        <w:gridCol w:w="992"/>
        <w:gridCol w:w="994"/>
      </w:tblGrid>
      <w:tr>
        <w:trPr>
          <w:trHeight w:val="479" w:hRule="exact"/>
        </w:trPr>
        <w:tc>
          <w:tcPr>
            <w:tcW w:w="994" w:type="dxa"/>
            <w:tcBorders>
              <w:top w:val="nil"/>
              <w:left w:val="nil"/>
              <w:bottom w:val="nil"/>
              <w:right w:val="nil"/>
            </w:tcBorders>
            <w:shd w:val="clear" w:color="auto" w:fill="000000"/>
          </w:tcPr>
          <w:p>
            <w:pPr>
              <w:pStyle w:val="TableParagraph"/>
              <w:spacing w:before="116"/>
              <w:ind w:left="108"/>
              <w:rPr>
                <w:rFonts w:ascii="Trebuchet MS"/>
                <w:b/>
                <w:sz w:val="20"/>
              </w:rPr>
            </w:pPr>
            <w:r>
              <w:rPr>
                <w:rFonts w:ascii="Trebuchet MS"/>
                <w:b/>
                <w:color w:val="FFFFFF"/>
                <w:sz w:val="20"/>
              </w:rPr>
              <w:t>4.</w:t>
            </w:r>
          </w:p>
        </w:tc>
        <w:tc>
          <w:tcPr>
            <w:tcW w:w="8080" w:type="dxa"/>
            <w:gridSpan w:val="6"/>
            <w:shd w:val="clear" w:color="auto" w:fill="C0C0C0"/>
          </w:tcPr>
          <w:p>
            <w:pPr>
              <w:pStyle w:val="TableParagraph"/>
              <w:spacing w:before="111"/>
              <w:ind w:left="100"/>
              <w:rPr>
                <w:rFonts w:ascii="Trebuchet MS" w:hAnsi="Trebuchet MS"/>
                <w:b/>
                <w:sz w:val="20"/>
              </w:rPr>
            </w:pPr>
            <w:r>
              <w:rPr>
                <w:rFonts w:ascii="Trebuchet MS" w:hAnsi="Trebuchet MS"/>
                <w:b/>
                <w:sz w:val="20"/>
              </w:rPr>
              <w:t>ΔΕΙΚΤΕΣ</w:t>
            </w:r>
            <w:r>
              <w:rPr>
                <w:rFonts w:ascii="Trebuchet MS" w:hAnsi="Trebuchet MS"/>
                <w:b/>
                <w:spacing w:val="55"/>
                <w:sz w:val="20"/>
              </w:rPr>
              <w:t> </w:t>
            </w:r>
            <w:r>
              <w:rPr>
                <w:rFonts w:ascii="Trebuchet MS" w:hAnsi="Trebuchet MS"/>
                <w:b/>
                <w:sz w:val="20"/>
              </w:rPr>
              <w:t>ΠΡΑΞΗΣ</w:t>
            </w:r>
          </w:p>
        </w:tc>
      </w:tr>
      <w:tr>
        <w:trPr>
          <w:trHeight w:val="444" w:hRule="exact"/>
        </w:trPr>
        <w:tc>
          <w:tcPr>
            <w:tcW w:w="994" w:type="dxa"/>
            <w:vMerge w:val="restart"/>
            <w:shd w:val="clear" w:color="auto" w:fill="D9D9D9"/>
          </w:tcPr>
          <w:p>
            <w:pPr>
              <w:pStyle w:val="TableParagraph"/>
              <w:spacing w:before="107"/>
              <w:ind w:left="333" w:right="333"/>
              <w:jc w:val="center"/>
              <w:rPr>
                <w:rFonts w:ascii="Trebuchet MS"/>
                <w:b/>
                <w:sz w:val="18"/>
              </w:rPr>
            </w:pPr>
            <w:r>
              <w:rPr>
                <w:rFonts w:ascii="Trebuchet MS"/>
                <w:b/>
                <w:sz w:val="18"/>
              </w:rPr>
              <w:t>4.1</w:t>
            </w:r>
          </w:p>
          <w:p>
            <w:pPr>
              <w:pStyle w:val="TableParagraph"/>
              <w:spacing w:line="357" w:lineRule="auto" w:before="105"/>
              <w:ind w:left="190" w:right="189" w:firstLine="2"/>
              <w:jc w:val="center"/>
              <w:rPr>
                <w:rFonts w:ascii="Trebuchet MS" w:hAnsi="Trebuchet MS"/>
                <w:b/>
                <w:sz w:val="18"/>
              </w:rPr>
            </w:pPr>
            <w:r>
              <w:rPr>
                <w:rFonts w:ascii="Trebuchet MS" w:hAnsi="Trebuchet MS"/>
                <w:b/>
                <w:sz w:val="18"/>
              </w:rPr>
              <w:t>ΕΙΔΟΣ ΔΕΙΚΤΗ</w:t>
            </w:r>
          </w:p>
        </w:tc>
        <w:tc>
          <w:tcPr>
            <w:tcW w:w="850" w:type="dxa"/>
            <w:vMerge w:val="restart"/>
            <w:shd w:val="clear" w:color="auto" w:fill="D9D9D9"/>
          </w:tcPr>
          <w:p>
            <w:pPr>
              <w:pStyle w:val="TableParagraph"/>
              <w:spacing w:before="107"/>
              <w:ind w:left="278"/>
              <w:rPr>
                <w:rFonts w:ascii="Trebuchet MS"/>
                <w:b/>
                <w:sz w:val="18"/>
              </w:rPr>
            </w:pPr>
            <w:r>
              <w:rPr>
                <w:rFonts w:ascii="Trebuchet MS"/>
                <w:b/>
                <w:sz w:val="18"/>
              </w:rPr>
              <w:t>4.2</w:t>
            </w:r>
          </w:p>
          <w:p>
            <w:pPr>
              <w:pStyle w:val="TableParagraph"/>
              <w:spacing w:line="357" w:lineRule="auto" w:before="105"/>
              <w:ind w:left="115" w:right="102" w:firstLine="100"/>
              <w:rPr>
                <w:rFonts w:ascii="Trebuchet MS" w:hAnsi="Trebuchet MS"/>
                <w:b/>
                <w:sz w:val="18"/>
              </w:rPr>
            </w:pPr>
            <w:r>
              <w:rPr>
                <w:rFonts w:ascii="Trebuchet MS" w:hAnsi="Trebuchet MS"/>
                <w:b/>
                <w:sz w:val="18"/>
              </w:rPr>
              <w:t>ΚΩΔ. ΔΕΙΚΤΗ</w:t>
            </w:r>
          </w:p>
        </w:tc>
        <w:tc>
          <w:tcPr>
            <w:tcW w:w="3118" w:type="dxa"/>
            <w:vMerge w:val="restart"/>
            <w:shd w:val="clear" w:color="auto" w:fill="D9D9D9"/>
          </w:tcPr>
          <w:p>
            <w:pPr>
              <w:pStyle w:val="TableParagraph"/>
              <w:spacing w:before="107"/>
              <w:ind w:left="580"/>
              <w:rPr>
                <w:rFonts w:ascii="Trebuchet MS" w:hAnsi="Trebuchet MS"/>
                <w:b/>
                <w:sz w:val="18"/>
              </w:rPr>
            </w:pPr>
            <w:r>
              <w:rPr>
                <w:rFonts w:ascii="Trebuchet MS" w:hAnsi="Trebuchet MS"/>
                <w:b/>
                <w:sz w:val="18"/>
              </w:rPr>
              <w:t>4.3 ΠΕΡΙΓΡΑΦΗ ΔΕΙΚΤΗ</w:t>
            </w:r>
          </w:p>
        </w:tc>
        <w:tc>
          <w:tcPr>
            <w:tcW w:w="1136" w:type="dxa"/>
            <w:vMerge w:val="restart"/>
            <w:shd w:val="clear" w:color="auto" w:fill="D9D9D9"/>
          </w:tcPr>
          <w:p>
            <w:pPr>
              <w:pStyle w:val="TableParagraph"/>
              <w:spacing w:before="107"/>
              <w:ind w:left="97" w:right="97"/>
              <w:jc w:val="center"/>
              <w:rPr>
                <w:rFonts w:ascii="Trebuchet MS"/>
                <w:b/>
                <w:sz w:val="18"/>
              </w:rPr>
            </w:pPr>
            <w:r>
              <w:rPr>
                <w:rFonts w:ascii="Trebuchet MS"/>
                <w:b/>
                <w:sz w:val="18"/>
              </w:rPr>
              <w:t>4.4</w:t>
            </w:r>
          </w:p>
          <w:p>
            <w:pPr>
              <w:pStyle w:val="TableParagraph"/>
              <w:spacing w:line="357" w:lineRule="auto" w:before="105"/>
              <w:ind w:left="108" w:right="107" w:hanging="3"/>
              <w:jc w:val="center"/>
              <w:rPr>
                <w:rFonts w:ascii="Trebuchet MS" w:hAnsi="Trebuchet MS"/>
                <w:b/>
                <w:sz w:val="18"/>
              </w:rPr>
            </w:pPr>
            <w:r>
              <w:rPr>
                <w:rFonts w:ascii="Trebuchet MS" w:hAnsi="Trebuchet MS"/>
                <w:b/>
                <w:sz w:val="18"/>
              </w:rPr>
              <w:t>ΜΟΝΑΔΑ ΜΕΤΡΗΣΗΣ</w:t>
            </w:r>
          </w:p>
        </w:tc>
        <w:tc>
          <w:tcPr>
            <w:tcW w:w="2977" w:type="dxa"/>
            <w:gridSpan w:val="3"/>
            <w:shd w:val="clear" w:color="auto" w:fill="D9D9D9"/>
          </w:tcPr>
          <w:p>
            <w:pPr>
              <w:pStyle w:val="TableParagraph"/>
              <w:spacing w:before="107"/>
              <w:ind w:left="741"/>
              <w:rPr>
                <w:rFonts w:ascii="Trebuchet MS" w:hAnsi="Trebuchet MS"/>
                <w:b/>
                <w:sz w:val="18"/>
              </w:rPr>
            </w:pPr>
            <w:r>
              <w:rPr>
                <w:rFonts w:ascii="Trebuchet MS" w:hAnsi="Trebuchet MS"/>
                <w:b/>
                <w:sz w:val="18"/>
              </w:rPr>
              <w:t>4.5 ΤΙΜΗ ΣΤΟΧΟΣ</w:t>
            </w:r>
          </w:p>
        </w:tc>
      </w:tr>
      <w:tr>
        <w:trPr>
          <w:trHeight w:val="756" w:hRule="exact"/>
        </w:trPr>
        <w:tc>
          <w:tcPr>
            <w:tcW w:w="994" w:type="dxa"/>
            <w:vMerge/>
            <w:shd w:val="clear" w:color="auto" w:fill="D9D9D9"/>
          </w:tcPr>
          <w:p>
            <w:pPr/>
          </w:p>
        </w:tc>
        <w:tc>
          <w:tcPr>
            <w:tcW w:w="850" w:type="dxa"/>
            <w:vMerge/>
            <w:shd w:val="clear" w:color="auto" w:fill="D9D9D9"/>
          </w:tcPr>
          <w:p>
            <w:pPr/>
          </w:p>
        </w:tc>
        <w:tc>
          <w:tcPr>
            <w:tcW w:w="3118" w:type="dxa"/>
            <w:vMerge/>
            <w:shd w:val="clear" w:color="auto" w:fill="D9D9D9"/>
          </w:tcPr>
          <w:p>
            <w:pPr/>
          </w:p>
        </w:tc>
        <w:tc>
          <w:tcPr>
            <w:tcW w:w="1136" w:type="dxa"/>
            <w:vMerge/>
            <w:shd w:val="clear" w:color="auto" w:fill="D9D9D9"/>
          </w:tcPr>
          <w:p>
            <w:pPr/>
          </w:p>
        </w:tc>
        <w:tc>
          <w:tcPr>
            <w:tcW w:w="991" w:type="dxa"/>
            <w:shd w:val="clear" w:color="auto" w:fill="D9D9D9"/>
          </w:tcPr>
          <w:p>
            <w:pPr>
              <w:pStyle w:val="TableParagraph"/>
              <w:spacing w:before="107"/>
              <w:ind w:left="139"/>
              <w:rPr>
                <w:rFonts w:ascii="Trebuchet MS" w:hAnsi="Trebuchet MS"/>
                <w:b/>
                <w:sz w:val="18"/>
              </w:rPr>
            </w:pPr>
            <w:r>
              <w:rPr>
                <w:rFonts w:ascii="Trebuchet MS" w:hAnsi="Trebuchet MS"/>
                <w:b/>
                <w:sz w:val="18"/>
              </w:rPr>
              <w:t>ΣΥΝΟΛΟ</w:t>
            </w:r>
          </w:p>
        </w:tc>
        <w:tc>
          <w:tcPr>
            <w:tcW w:w="992" w:type="dxa"/>
            <w:shd w:val="clear" w:color="auto" w:fill="D9D9D9"/>
          </w:tcPr>
          <w:p>
            <w:pPr>
              <w:pStyle w:val="TableParagraph"/>
              <w:spacing w:before="107"/>
              <w:ind w:left="163"/>
              <w:rPr>
                <w:rFonts w:ascii="Trebuchet MS" w:hAnsi="Trebuchet MS"/>
                <w:b/>
                <w:sz w:val="18"/>
              </w:rPr>
            </w:pPr>
            <w:r>
              <w:rPr>
                <w:rFonts w:ascii="Trebuchet MS" w:hAnsi="Trebuchet MS"/>
                <w:b/>
                <w:sz w:val="18"/>
              </w:rPr>
              <w:t>ΑΝΔΡΕΣ</w:t>
            </w:r>
          </w:p>
        </w:tc>
        <w:tc>
          <w:tcPr>
            <w:tcW w:w="994" w:type="dxa"/>
            <w:shd w:val="clear" w:color="auto" w:fill="D9D9D9"/>
          </w:tcPr>
          <w:p>
            <w:pPr>
              <w:pStyle w:val="TableParagraph"/>
              <w:spacing w:line="357" w:lineRule="auto" w:before="107"/>
              <w:ind w:left="436" w:right="122" w:hanging="300"/>
              <w:rPr>
                <w:rFonts w:ascii="Trebuchet MS" w:hAnsi="Trebuchet MS"/>
                <w:b/>
                <w:sz w:val="18"/>
              </w:rPr>
            </w:pPr>
            <w:r>
              <w:rPr>
                <w:rFonts w:ascii="Trebuchet MS" w:hAnsi="Trebuchet MS"/>
                <w:b/>
                <w:sz w:val="18"/>
              </w:rPr>
              <w:t>ΓΥΝΑΙΚΕ Σ</w:t>
            </w:r>
          </w:p>
        </w:tc>
      </w:tr>
    </w:tbl>
    <w:p>
      <w:pPr>
        <w:spacing w:after="0" w:line="357" w:lineRule="auto"/>
        <w:rPr>
          <w:rFonts w:ascii="Trebuchet MS" w:hAnsi="Trebuchet MS"/>
          <w:sz w:val="18"/>
        </w:rPr>
        <w:sectPr>
          <w:headerReference w:type="default" r:id="rId42"/>
          <w:footerReference w:type="default" r:id="rId43"/>
          <w:pgSz w:w="11910" w:h="16840"/>
          <w:pgMar w:header="275" w:footer="978" w:top="460" w:bottom="1160" w:left="940" w:right="1480"/>
          <w:pgBorders w:offsetFrom="page">
            <w:top w:val="single" w:color="000000" w:space="24" w:sz="4"/>
            <w:left w:val="single" w:color="000000" w:space="24" w:sz="4"/>
            <w:bottom w:val="single" w:color="000000" w:space="24" w:sz="4"/>
            <w:right w:val="single" w:color="000000" w:space="24" w:sz="4"/>
          </w:pgBorders>
          <w:pgNumType w:start="7"/>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5"/>
        </w:rPr>
      </w:pP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850"/>
        <w:gridCol w:w="3118"/>
        <w:gridCol w:w="1136"/>
        <w:gridCol w:w="991"/>
        <w:gridCol w:w="992"/>
        <w:gridCol w:w="994"/>
      </w:tblGrid>
      <w:tr>
        <w:trPr>
          <w:trHeight w:val="1056" w:hRule="exact"/>
        </w:trPr>
        <w:tc>
          <w:tcPr>
            <w:tcW w:w="994" w:type="dxa"/>
          </w:tcPr>
          <w:p>
            <w:pPr>
              <w:pStyle w:val="TableParagraph"/>
              <w:spacing w:before="107"/>
              <w:ind w:right="165"/>
              <w:jc w:val="right"/>
              <w:rPr>
                <w:rFonts w:ascii="Trebuchet MS" w:hAnsi="Trebuchet MS"/>
                <w:b/>
                <w:sz w:val="18"/>
              </w:rPr>
            </w:pPr>
            <w:r>
              <w:rPr>
                <w:rFonts w:ascii="Trebuchet MS" w:hAnsi="Trebuchet MS"/>
                <w:b/>
                <w:sz w:val="18"/>
              </w:rPr>
              <w:t>Εκροών</w:t>
            </w:r>
          </w:p>
        </w:tc>
        <w:tc>
          <w:tcPr>
            <w:tcW w:w="850" w:type="dxa"/>
          </w:tcPr>
          <w:p>
            <w:pPr>
              <w:pStyle w:val="TableParagraph"/>
              <w:spacing w:before="117"/>
              <w:ind w:right="176"/>
              <w:jc w:val="right"/>
              <w:rPr>
                <w:sz w:val="22"/>
              </w:rPr>
            </w:pPr>
            <w:r>
              <w:rPr>
                <w:sz w:val="22"/>
              </w:rPr>
              <w:t>CO01</w:t>
            </w:r>
          </w:p>
        </w:tc>
        <w:tc>
          <w:tcPr>
            <w:tcW w:w="3118" w:type="dxa"/>
          </w:tcPr>
          <w:p>
            <w:pPr>
              <w:pStyle w:val="TableParagraph"/>
              <w:spacing w:line="276" w:lineRule="auto" w:before="117"/>
              <w:ind w:left="103" w:right="271"/>
              <w:rPr>
                <w:sz w:val="22"/>
              </w:rPr>
            </w:pPr>
            <w:r>
              <w:rPr>
                <w:sz w:val="22"/>
              </w:rPr>
              <w:t>Αριθμός παραγωγικών επιχειρήσεων που λαμβάνουν στήριξη</w:t>
            </w:r>
          </w:p>
        </w:tc>
        <w:tc>
          <w:tcPr>
            <w:tcW w:w="1136" w:type="dxa"/>
          </w:tcPr>
          <w:p>
            <w:pPr>
              <w:pStyle w:val="TableParagraph"/>
              <w:spacing w:before="111"/>
              <w:ind w:left="97" w:right="98"/>
              <w:jc w:val="center"/>
              <w:rPr>
                <w:rFonts w:ascii="Trebuchet MS" w:hAnsi="Trebuchet MS"/>
                <w:sz w:val="16"/>
              </w:rPr>
            </w:pPr>
            <w:r>
              <w:rPr>
                <w:rFonts w:ascii="Trebuchet MS" w:hAnsi="Trebuchet MS"/>
                <w:sz w:val="16"/>
              </w:rPr>
              <w:t>Επιχειρήσεις</w:t>
            </w:r>
          </w:p>
        </w:tc>
        <w:tc>
          <w:tcPr>
            <w:tcW w:w="991" w:type="dxa"/>
          </w:tcPr>
          <w:p>
            <w:pPr/>
          </w:p>
        </w:tc>
        <w:tc>
          <w:tcPr>
            <w:tcW w:w="992" w:type="dxa"/>
            <w:shd w:val="clear" w:color="auto" w:fill="D9D9D9"/>
          </w:tcPr>
          <w:p>
            <w:pPr/>
          </w:p>
        </w:tc>
        <w:tc>
          <w:tcPr>
            <w:tcW w:w="994" w:type="dxa"/>
            <w:shd w:val="clear" w:color="auto" w:fill="D9D9D9"/>
          </w:tcPr>
          <w:p>
            <w:pPr/>
          </w:p>
        </w:tc>
      </w:tr>
      <w:tr>
        <w:trPr>
          <w:trHeight w:val="1087" w:hRule="exact"/>
        </w:trPr>
        <w:tc>
          <w:tcPr>
            <w:tcW w:w="994" w:type="dxa"/>
          </w:tcPr>
          <w:p>
            <w:pPr>
              <w:pStyle w:val="TableParagraph"/>
              <w:spacing w:before="107"/>
              <w:ind w:right="165"/>
              <w:jc w:val="right"/>
              <w:rPr>
                <w:rFonts w:ascii="Trebuchet MS" w:hAnsi="Trebuchet MS"/>
                <w:b/>
                <w:sz w:val="18"/>
              </w:rPr>
            </w:pPr>
            <w:r>
              <w:rPr>
                <w:rFonts w:ascii="Trebuchet MS" w:hAnsi="Trebuchet MS"/>
                <w:b/>
                <w:sz w:val="18"/>
              </w:rPr>
              <w:t>Εκροών</w:t>
            </w:r>
          </w:p>
        </w:tc>
        <w:tc>
          <w:tcPr>
            <w:tcW w:w="850" w:type="dxa"/>
          </w:tcPr>
          <w:p>
            <w:pPr>
              <w:pStyle w:val="TableParagraph"/>
              <w:spacing w:before="117"/>
              <w:ind w:right="175"/>
              <w:jc w:val="right"/>
              <w:rPr>
                <w:sz w:val="22"/>
              </w:rPr>
            </w:pPr>
            <w:r>
              <w:rPr>
                <w:sz w:val="22"/>
              </w:rPr>
              <w:t>CO02</w:t>
            </w:r>
          </w:p>
        </w:tc>
        <w:tc>
          <w:tcPr>
            <w:tcW w:w="3118" w:type="dxa"/>
          </w:tcPr>
          <w:p>
            <w:pPr>
              <w:pStyle w:val="TableParagraph"/>
              <w:spacing w:before="117"/>
              <w:ind w:left="103" w:right="271"/>
              <w:rPr>
                <w:sz w:val="22"/>
              </w:rPr>
            </w:pPr>
            <w:r>
              <w:rPr>
                <w:sz w:val="22"/>
              </w:rPr>
              <w:t>Αριθμός παραγωγικών επιχειρήσεων που λαμβάνουν επιχορήγηση</w:t>
            </w:r>
          </w:p>
        </w:tc>
        <w:tc>
          <w:tcPr>
            <w:tcW w:w="1136" w:type="dxa"/>
          </w:tcPr>
          <w:p>
            <w:pPr>
              <w:pStyle w:val="TableParagraph"/>
              <w:spacing w:before="111"/>
              <w:ind w:left="97" w:right="98"/>
              <w:jc w:val="center"/>
              <w:rPr>
                <w:rFonts w:ascii="Trebuchet MS" w:hAnsi="Trebuchet MS"/>
                <w:sz w:val="16"/>
              </w:rPr>
            </w:pPr>
            <w:r>
              <w:rPr>
                <w:rFonts w:ascii="Trebuchet MS" w:hAnsi="Trebuchet MS"/>
                <w:sz w:val="16"/>
              </w:rPr>
              <w:t>Επιχειρήσεις</w:t>
            </w:r>
          </w:p>
        </w:tc>
        <w:tc>
          <w:tcPr>
            <w:tcW w:w="991" w:type="dxa"/>
          </w:tcPr>
          <w:p>
            <w:pPr/>
          </w:p>
        </w:tc>
        <w:tc>
          <w:tcPr>
            <w:tcW w:w="992" w:type="dxa"/>
            <w:shd w:val="clear" w:color="auto" w:fill="D9D9D9"/>
          </w:tcPr>
          <w:p>
            <w:pPr/>
          </w:p>
        </w:tc>
        <w:tc>
          <w:tcPr>
            <w:tcW w:w="994" w:type="dxa"/>
            <w:shd w:val="clear" w:color="auto" w:fill="D9D9D9"/>
          </w:tcPr>
          <w:p>
            <w:pPr/>
          </w:p>
        </w:tc>
      </w:tr>
      <w:tr>
        <w:trPr>
          <w:trHeight w:val="1057" w:hRule="exact"/>
        </w:trPr>
        <w:tc>
          <w:tcPr>
            <w:tcW w:w="994" w:type="dxa"/>
          </w:tcPr>
          <w:p>
            <w:pPr>
              <w:pStyle w:val="TableParagraph"/>
              <w:spacing w:before="107"/>
              <w:ind w:right="165"/>
              <w:jc w:val="right"/>
              <w:rPr>
                <w:rFonts w:ascii="Trebuchet MS" w:hAnsi="Trebuchet MS"/>
                <w:b/>
                <w:sz w:val="18"/>
              </w:rPr>
            </w:pPr>
            <w:r>
              <w:rPr>
                <w:rFonts w:ascii="Trebuchet MS" w:hAnsi="Trebuchet MS"/>
                <w:b/>
                <w:sz w:val="18"/>
              </w:rPr>
              <w:t>Εκροών</w:t>
            </w:r>
          </w:p>
        </w:tc>
        <w:tc>
          <w:tcPr>
            <w:tcW w:w="850" w:type="dxa"/>
          </w:tcPr>
          <w:p>
            <w:pPr>
              <w:pStyle w:val="TableParagraph"/>
              <w:spacing w:before="117"/>
              <w:ind w:left="100"/>
              <w:rPr>
                <w:sz w:val="22"/>
              </w:rPr>
            </w:pPr>
            <w:r>
              <w:rPr>
                <w:sz w:val="22"/>
              </w:rPr>
              <w:t>CO08</w:t>
            </w:r>
          </w:p>
        </w:tc>
        <w:tc>
          <w:tcPr>
            <w:tcW w:w="3118" w:type="dxa"/>
          </w:tcPr>
          <w:p>
            <w:pPr>
              <w:pStyle w:val="TableParagraph"/>
              <w:spacing w:before="117"/>
              <w:ind w:left="103" w:right="389"/>
              <w:jc w:val="both"/>
              <w:rPr>
                <w:sz w:val="22"/>
              </w:rPr>
            </w:pPr>
            <w:r>
              <w:rPr>
                <w:sz w:val="22"/>
              </w:rPr>
              <w:t>Αύξηση της απασχόλησης σε επιχειρήσεις που λαμβάνουν στήριξη</w:t>
            </w:r>
          </w:p>
        </w:tc>
        <w:tc>
          <w:tcPr>
            <w:tcW w:w="1136" w:type="dxa"/>
          </w:tcPr>
          <w:p>
            <w:pPr>
              <w:pStyle w:val="TableParagraph"/>
              <w:spacing w:line="360" w:lineRule="auto" w:before="111"/>
              <w:ind w:left="95" w:right="98"/>
              <w:jc w:val="center"/>
              <w:rPr>
                <w:rFonts w:ascii="Trebuchet MS" w:hAnsi="Trebuchet MS"/>
                <w:sz w:val="16"/>
              </w:rPr>
            </w:pPr>
            <w:r>
              <w:rPr>
                <w:rFonts w:ascii="Trebuchet MS" w:hAnsi="Trebuchet MS"/>
                <w:sz w:val="16"/>
              </w:rPr>
              <w:t>Ισοδύναμα πλήρους χρόνου</w:t>
            </w:r>
          </w:p>
        </w:tc>
        <w:tc>
          <w:tcPr>
            <w:tcW w:w="991" w:type="dxa"/>
          </w:tcPr>
          <w:p>
            <w:pPr/>
          </w:p>
        </w:tc>
        <w:tc>
          <w:tcPr>
            <w:tcW w:w="992" w:type="dxa"/>
          </w:tcPr>
          <w:p>
            <w:pPr>
              <w:pStyle w:val="TableParagraph"/>
              <w:spacing w:before="9"/>
              <w:rPr>
                <w:rFonts w:ascii="Times New Roman"/>
                <w:sz w:val="25"/>
              </w:rPr>
            </w:pPr>
          </w:p>
          <w:p>
            <w:pPr>
              <w:pStyle w:val="TableParagraph"/>
              <w:spacing w:line="360" w:lineRule="auto"/>
              <w:ind w:left="374" w:right="101" w:hanging="257"/>
              <w:rPr>
                <w:rFonts w:ascii="Trebuchet MS" w:hAnsi="Trebuchet MS"/>
                <w:i/>
                <w:sz w:val="16"/>
              </w:rPr>
            </w:pPr>
            <w:r>
              <w:rPr>
                <w:rFonts w:ascii="Trebuchet MS" w:hAnsi="Trebuchet MS"/>
                <w:i/>
                <w:sz w:val="16"/>
              </w:rPr>
              <w:t>(προαιρετι </w:t>
            </w:r>
            <w:r>
              <w:rPr>
                <w:rFonts w:ascii="Trebuchet MS" w:hAnsi="Trebuchet MS"/>
                <w:i/>
                <w:sz w:val="16"/>
              </w:rPr>
              <w:t>κό)</w:t>
            </w:r>
          </w:p>
        </w:tc>
        <w:tc>
          <w:tcPr>
            <w:tcW w:w="994" w:type="dxa"/>
          </w:tcPr>
          <w:p>
            <w:pPr>
              <w:pStyle w:val="TableParagraph"/>
              <w:spacing w:before="9"/>
              <w:rPr>
                <w:rFonts w:ascii="Times New Roman"/>
                <w:sz w:val="25"/>
              </w:rPr>
            </w:pPr>
          </w:p>
          <w:p>
            <w:pPr>
              <w:pStyle w:val="TableParagraph"/>
              <w:spacing w:line="360" w:lineRule="auto"/>
              <w:ind w:left="374" w:right="103" w:hanging="257"/>
              <w:rPr>
                <w:rFonts w:ascii="Trebuchet MS" w:hAnsi="Trebuchet MS"/>
                <w:i/>
                <w:sz w:val="16"/>
              </w:rPr>
            </w:pPr>
            <w:r>
              <w:rPr>
                <w:rFonts w:ascii="Trebuchet MS" w:hAnsi="Trebuchet MS"/>
                <w:i/>
                <w:sz w:val="16"/>
              </w:rPr>
              <w:t>(προαιρετι </w:t>
            </w:r>
            <w:r>
              <w:rPr>
                <w:rFonts w:ascii="Trebuchet MS" w:hAnsi="Trebuchet MS"/>
                <w:i/>
                <w:sz w:val="16"/>
              </w:rPr>
              <w:t>κό)</w:t>
            </w:r>
          </w:p>
        </w:tc>
      </w:tr>
    </w:tbl>
    <w:p>
      <w:pPr>
        <w:pStyle w:val="BodyText"/>
        <w:rPr>
          <w:rFonts w:ascii="Times New Roman"/>
          <w:sz w:val="20"/>
        </w:rPr>
      </w:pPr>
    </w:p>
    <w:p>
      <w:pPr>
        <w:pStyle w:val="BodyText"/>
        <w:rPr>
          <w:rFonts w:ascii="Times New Roman"/>
          <w:sz w:val="20"/>
        </w:rPr>
      </w:pPr>
    </w:p>
    <w:p>
      <w:pPr>
        <w:spacing w:before="0"/>
        <w:ind w:left="3390" w:right="0" w:firstLine="0"/>
        <w:jc w:val="left"/>
        <w:rPr>
          <w:rFonts w:ascii="Trebuchet MS" w:hAnsi="Trebuchet MS"/>
          <w:b/>
          <w:sz w:val="20"/>
        </w:rPr>
      </w:pPr>
      <w:r>
        <w:rPr>
          <w:rFonts w:ascii="Trebuchet MS" w:hAnsi="Trebuchet MS"/>
          <w:b/>
          <w:sz w:val="20"/>
          <w:u w:val="single"/>
        </w:rPr>
        <w:t>Αποδοχή Όρων και Προϋποθέσεων</w:t>
      </w:r>
    </w:p>
    <w:p>
      <w:pPr>
        <w:pStyle w:val="BodyText"/>
        <w:spacing w:before="9"/>
        <w:rPr>
          <w:rFonts w:ascii="Trebuchet MS"/>
          <w:b/>
          <w:sz w:val="21"/>
        </w:rPr>
      </w:pPr>
    </w:p>
    <w:p>
      <w:pPr>
        <w:pStyle w:val="ListParagraph"/>
        <w:numPr>
          <w:ilvl w:val="1"/>
          <w:numId w:val="52"/>
        </w:numPr>
        <w:tabs>
          <w:tab w:pos="1581" w:val="left" w:leader="none"/>
        </w:tabs>
        <w:spacing w:line="240" w:lineRule="auto" w:before="99" w:after="0"/>
        <w:ind w:left="1580" w:right="325" w:hanging="360"/>
        <w:jc w:val="both"/>
        <w:rPr>
          <w:rFonts w:ascii="Trebuchet MS" w:hAnsi="Trebuchet MS"/>
          <w:sz w:val="20"/>
        </w:rPr>
      </w:pPr>
      <w:r>
        <w:rPr>
          <w:rFonts w:ascii="Trebuchet MS" w:hAnsi="Trebuchet MS"/>
          <w:sz w:val="20"/>
        </w:rPr>
        <w:t>Ο δικαιούχος αποδέχεται ότι θα τηρηθούν όλοι οι εθνικοί και ενωσιακοί κανόνες και οι κατευθυντήριες γραμμές, καθώς και οι οριζόντιες πολιτικές της</w:t>
      </w:r>
      <w:r>
        <w:rPr>
          <w:rFonts w:ascii="Trebuchet MS" w:hAnsi="Trebuchet MS"/>
          <w:spacing w:val="-21"/>
          <w:sz w:val="20"/>
        </w:rPr>
        <w:t> </w:t>
      </w:r>
      <w:r>
        <w:rPr>
          <w:rFonts w:ascii="Trebuchet MS" w:hAnsi="Trebuchet MS"/>
          <w:sz w:val="20"/>
        </w:rPr>
        <w:t>ΕΕ</w:t>
      </w:r>
    </w:p>
    <w:p>
      <w:pPr>
        <w:pStyle w:val="ListParagraph"/>
        <w:numPr>
          <w:ilvl w:val="1"/>
          <w:numId w:val="52"/>
        </w:numPr>
        <w:tabs>
          <w:tab w:pos="1581" w:val="left" w:leader="none"/>
        </w:tabs>
        <w:spacing w:line="240" w:lineRule="auto" w:before="0" w:after="0"/>
        <w:ind w:left="1580" w:right="317" w:hanging="360"/>
        <w:jc w:val="both"/>
        <w:rPr>
          <w:rFonts w:ascii="Trebuchet MS" w:hAnsi="Trebuchet MS"/>
          <w:sz w:val="20"/>
        </w:rPr>
      </w:pPr>
      <w:r>
        <w:rPr>
          <w:rFonts w:ascii="Trebuchet MS" w:hAnsi="Trebuchet MS"/>
          <w:sz w:val="20"/>
        </w:rPr>
        <w:t>Η αίτηση χρηματοδότησης επέχει θέση υπεύθυνης δήλωσης του άρθρου 8 του ν.1599/1986 (ΦΕΚ Α΄75) για τα στοιχεία που αναφέρονται σε αυτήν. Συνεπώς, θα πρέπει να εμφανίζει ταυτότητα περιεχομένου με τα σχετικά δικαιολογητικά. Η ανακρίβεια των στοιχείων που δηλώνονται στην αίτηση επισύρει τις προβλεπόμενες ποινικές και διοικητικές</w:t>
      </w:r>
      <w:r>
        <w:rPr>
          <w:rFonts w:ascii="Trebuchet MS" w:hAnsi="Trebuchet MS"/>
          <w:spacing w:val="-10"/>
          <w:sz w:val="20"/>
        </w:rPr>
        <w:t> </w:t>
      </w:r>
      <w:r>
        <w:rPr>
          <w:rFonts w:ascii="Trebuchet MS" w:hAnsi="Trebuchet MS"/>
          <w:sz w:val="20"/>
        </w:rPr>
        <w:t>κυρώσεις.</w:t>
      </w:r>
    </w:p>
    <w:p>
      <w:pPr>
        <w:pStyle w:val="ListParagraph"/>
        <w:numPr>
          <w:ilvl w:val="1"/>
          <w:numId w:val="52"/>
        </w:numPr>
        <w:tabs>
          <w:tab w:pos="1581" w:val="left" w:leader="none"/>
        </w:tabs>
        <w:spacing w:line="240" w:lineRule="auto" w:before="1" w:after="0"/>
        <w:ind w:left="1580" w:right="319" w:hanging="360"/>
        <w:jc w:val="both"/>
        <w:rPr>
          <w:rFonts w:ascii="Trebuchet MS" w:hAnsi="Trebuchet MS"/>
          <w:sz w:val="20"/>
        </w:rPr>
      </w:pPr>
      <w:r>
        <w:rPr>
          <w:rFonts w:ascii="Trebuchet MS" w:hAnsi="Trebuchet MS"/>
          <w:sz w:val="20"/>
        </w:rPr>
        <w:t>Οι δικαιούχοι φέρουν την ευθύνη της πλήρους και ορθής συμπλήρωσης της ηλεκτρονικής τους αίτησης χρηματοδότησης (συμπεριλαμβανομένων και των επισυναπτόμενων</w:t>
      </w:r>
      <w:r>
        <w:rPr>
          <w:rFonts w:ascii="Trebuchet MS" w:hAnsi="Trebuchet MS"/>
          <w:spacing w:val="-8"/>
          <w:sz w:val="20"/>
        </w:rPr>
        <w:t> </w:t>
      </w:r>
      <w:r>
        <w:rPr>
          <w:rFonts w:ascii="Trebuchet MS" w:hAnsi="Trebuchet MS"/>
          <w:sz w:val="20"/>
        </w:rPr>
        <w:t>αρχείων).</w:t>
      </w:r>
    </w:p>
    <w:p>
      <w:pPr>
        <w:pStyle w:val="ListParagraph"/>
        <w:numPr>
          <w:ilvl w:val="1"/>
          <w:numId w:val="52"/>
        </w:numPr>
        <w:tabs>
          <w:tab w:pos="1581" w:val="left" w:leader="none"/>
        </w:tabs>
        <w:spacing w:line="240" w:lineRule="auto" w:before="1" w:after="0"/>
        <w:ind w:left="1580" w:right="317" w:hanging="360"/>
        <w:jc w:val="both"/>
        <w:rPr>
          <w:rFonts w:ascii="Trebuchet MS" w:hAnsi="Trebuchet MS"/>
          <w:b/>
          <w:sz w:val="20"/>
        </w:rPr>
      </w:pPr>
      <w:r>
        <w:rPr>
          <w:rFonts w:ascii="Trebuchet MS" w:hAnsi="Trebuchet MS"/>
          <w:sz w:val="20"/>
        </w:rPr>
        <w:t>Ο δικαιούχος αποδέχεται ότι τα μηνύματα που θα αποστέλλονται από τη Διεύθυνση Αναπτυξιακού Προγραμματισμού Περιφέρειας Θεσσαλίας μέσω ηλεκτρονικού ταχυδρομείου και ειδικότερα στη διεύθυνση email που έχει δηλώσει στο σημείο </w:t>
      </w:r>
      <w:r>
        <w:rPr>
          <w:rFonts w:ascii="Trebuchet MS" w:hAnsi="Trebuchet MS"/>
          <w:spacing w:val="34"/>
          <w:sz w:val="20"/>
        </w:rPr>
        <w:t> </w:t>
      </w:r>
      <w:r>
        <w:rPr>
          <w:rFonts w:ascii="Trebuchet MS" w:hAnsi="Trebuchet MS"/>
          <w:b/>
          <w:sz w:val="20"/>
        </w:rPr>
        <w:t>1.3</w:t>
      </w:r>
    </w:p>
    <w:p>
      <w:pPr>
        <w:spacing w:before="0"/>
        <w:ind w:left="1580" w:right="0" w:firstLine="0"/>
        <w:jc w:val="left"/>
        <w:rPr>
          <w:rFonts w:ascii="Trebuchet MS" w:hAnsi="Trebuchet MS"/>
          <w:sz w:val="20"/>
        </w:rPr>
      </w:pPr>
      <w:r>
        <w:rPr>
          <w:rFonts w:ascii="Trebuchet MS" w:hAnsi="Trebuchet MS"/>
          <w:sz w:val="20"/>
        </w:rPr>
        <w:t>«ΣΤΟΙΧΕΙΑ ΕΚΠΡΟΣΩΠΩΝ» του Έντυπου Υποβολής, επέχουν θέση κοινοποίησης και συνεπάγονται την έναρξη όλων των εννόμων συνεπειών και προθεσμιών.</w:t>
      </w:r>
    </w:p>
    <w:p>
      <w:pPr>
        <w:pStyle w:val="BodyText"/>
        <w:spacing w:before="4"/>
        <w:rPr>
          <w:rFonts w:ascii="Trebuchet MS"/>
          <w:sz w:val="27"/>
        </w:rPr>
      </w:pPr>
    </w:p>
    <w:tbl>
      <w:tblPr>
        <w:tblW w:w="0" w:type="auto"/>
        <w:jc w:val="left"/>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586"/>
        <w:gridCol w:w="3097"/>
        <w:gridCol w:w="1678"/>
        <w:gridCol w:w="2434"/>
      </w:tblGrid>
      <w:tr>
        <w:trPr>
          <w:trHeight w:val="478" w:hRule="exact"/>
        </w:trPr>
        <w:tc>
          <w:tcPr>
            <w:tcW w:w="679" w:type="dxa"/>
            <w:tcBorders>
              <w:top w:val="nil"/>
              <w:left w:val="nil"/>
              <w:bottom w:val="nil"/>
              <w:right w:val="nil"/>
            </w:tcBorders>
            <w:shd w:val="clear" w:color="auto" w:fill="000000"/>
          </w:tcPr>
          <w:p>
            <w:pPr>
              <w:pStyle w:val="TableParagraph"/>
              <w:spacing w:before="124"/>
              <w:ind w:left="108"/>
              <w:rPr>
                <w:rFonts w:ascii="Trebuchet MS"/>
                <w:b/>
                <w:sz w:val="20"/>
              </w:rPr>
            </w:pPr>
            <w:r>
              <w:rPr>
                <w:rFonts w:ascii="Trebuchet MS"/>
                <w:b/>
                <w:color w:val="FFFFFF"/>
                <w:sz w:val="20"/>
              </w:rPr>
              <w:t>5.</w:t>
            </w:r>
          </w:p>
        </w:tc>
        <w:tc>
          <w:tcPr>
            <w:tcW w:w="7794" w:type="dxa"/>
            <w:gridSpan w:val="4"/>
            <w:tcBorders>
              <w:left w:val="nil"/>
            </w:tcBorders>
            <w:shd w:val="clear" w:color="auto" w:fill="C0C0C0"/>
          </w:tcPr>
          <w:p>
            <w:pPr>
              <w:pStyle w:val="TableParagraph"/>
              <w:spacing w:before="119"/>
              <w:ind w:left="103"/>
              <w:rPr>
                <w:rFonts w:ascii="Trebuchet MS" w:hAnsi="Trebuchet MS"/>
                <w:b/>
                <w:sz w:val="20"/>
              </w:rPr>
            </w:pPr>
            <w:r>
              <w:rPr>
                <w:rFonts w:ascii="Trebuchet MS" w:hAnsi="Trebuchet MS"/>
                <w:b/>
                <w:sz w:val="20"/>
              </w:rPr>
              <w:t>ΚΑΤΑΛΟΓΟΣ ΣΥΝΗΜΜΕΝΩΝ ΕΓΓΡΑΦΩΝ ΑΙΤΗΣΗΣ ΥΠΟΒΟΛΗΣ</w:t>
            </w:r>
          </w:p>
        </w:tc>
      </w:tr>
      <w:tr>
        <w:trPr>
          <w:trHeight w:val="538" w:hRule="exact"/>
        </w:trPr>
        <w:tc>
          <w:tcPr>
            <w:tcW w:w="1265" w:type="dxa"/>
            <w:gridSpan w:val="2"/>
            <w:tcBorders>
              <w:top w:val="nil"/>
            </w:tcBorders>
            <w:shd w:val="clear" w:color="auto" w:fill="D9D9D9"/>
          </w:tcPr>
          <w:p>
            <w:pPr>
              <w:pStyle w:val="TableParagraph"/>
              <w:spacing w:before="64"/>
              <w:ind w:left="103"/>
              <w:rPr>
                <w:rFonts w:ascii="Trebuchet MS" w:hAnsi="Trebuchet MS"/>
                <w:b/>
                <w:sz w:val="20"/>
              </w:rPr>
            </w:pPr>
            <w:r>
              <w:rPr>
                <w:rFonts w:ascii="Trebuchet MS" w:hAnsi="Trebuchet MS"/>
                <w:b/>
                <w:sz w:val="20"/>
              </w:rPr>
              <w:t>5.1 ΑΑ.</w:t>
            </w:r>
          </w:p>
        </w:tc>
        <w:tc>
          <w:tcPr>
            <w:tcW w:w="3097" w:type="dxa"/>
            <w:shd w:val="clear" w:color="auto" w:fill="D9D9D9"/>
          </w:tcPr>
          <w:p>
            <w:pPr>
              <w:pStyle w:val="TableParagraph"/>
              <w:spacing w:before="59"/>
              <w:ind w:left="103"/>
              <w:rPr>
                <w:rFonts w:ascii="Trebuchet MS" w:hAnsi="Trebuchet MS"/>
                <w:b/>
                <w:sz w:val="20"/>
              </w:rPr>
            </w:pPr>
            <w:r>
              <w:rPr>
                <w:rFonts w:ascii="Trebuchet MS" w:hAnsi="Trebuchet MS"/>
                <w:b/>
                <w:sz w:val="20"/>
              </w:rPr>
              <w:t>5.2 ΠΕΡΙΓΡΑΦΗ ΕΓΓΡΑΦΟΥ</w:t>
            </w:r>
          </w:p>
        </w:tc>
        <w:tc>
          <w:tcPr>
            <w:tcW w:w="1678" w:type="dxa"/>
            <w:shd w:val="clear" w:color="auto" w:fill="D9D9D9"/>
          </w:tcPr>
          <w:p>
            <w:pPr>
              <w:pStyle w:val="TableParagraph"/>
              <w:spacing w:before="90"/>
              <w:ind w:left="103"/>
              <w:rPr>
                <w:rFonts w:ascii="Trebuchet MS" w:hAnsi="Trebuchet MS"/>
                <w:b/>
                <w:sz w:val="20"/>
              </w:rPr>
            </w:pPr>
            <w:r>
              <w:rPr>
                <w:rFonts w:ascii="Trebuchet MS" w:hAnsi="Trebuchet MS"/>
                <w:b/>
                <w:sz w:val="20"/>
              </w:rPr>
              <w:t>5.3 ΑΡΧΕΙΟ</w:t>
            </w:r>
          </w:p>
        </w:tc>
        <w:tc>
          <w:tcPr>
            <w:tcW w:w="2434" w:type="dxa"/>
            <w:shd w:val="clear" w:color="auto" w:fill="D9D9D9"/>
          </w:tcPr>
          <w:p>
            <w:pPr>
              <w:pStyle w:val="TableParagraph"/>
              <w:spacing w:before="59"/>
              <w:ind w:left="897"/>
              <w:rPr>
                <w:rFonts w:ascii="Trebuchet MS" w:hAnsi="Trebuchet MS"/>
                <w:b/>
                <w:sz w:val="20"/>
              </w:rPr>
            </w:pPr>
            <w:r>
              <w:rPr>
                <w:rFonts w:ascii="Trebuchet MS" w:hAnsi="Trebuchet MS"/>
                <w:b/>
                <w:sz w:val="20"/>
              </w:rPr>
              <w:t>5.4 ΣΧΟΛΙΑ</w:t>
            </w:r>
          </w:p>
        </w:tc>
      </w:tr>
      <w:tr>
        <w:trPr>
          <w:trHeight w:val="444" w:hRule="exact"/>
        </w:trPr>
        <w:tc>
          <w:tcPr>
            <w:tcW w:w="1265" w:type="dxa"/>
            <w:gridSpan w:val="2"/>
          </w:tcPr>
          <w:p>
            <w:pPr>
              <w:pStyle w:val="TableParagraph"/>
              <w:spacing w:before="116"/>
              <w:jc w:val="center"/>
              <w:rPr>
                <w:rFonts w:ascii="Trebuchet MS"/>
                <w:b/>
                <w:sz w:val="18"/>
              </w:rPr>
            </w:pPr>
            <w:r>
              <w:rPr>
                <w:rFonts w:ascii="Trebuchet MS"/>
                <w:b/>
                <w:sz w:val="18"/>
              </w:rPr>
              <w:t>1</w:t>
            </w:r>
          </w:p>
        </w:tc>
        <w:tc>
          <w:tcPr>
            <w:tcW w:w="3097" w:type="dxa"/>
          </w:tcPr>
          <w:p>
            <w:pPr/>
          </w:p>
        </w:tc>
        <w:tc>
          <w:tcPr>
            <w:tcW w:w="1678" w:type="dxa"/>
          </w:tcPr>
          <w:p>
            <w:pPr/>
          </w:p>
        </w:tc>
        <w:tc>
          <w:tcPr>
            <w:tcW w:w="2434" w:type="dxa"/>
          </w:tcPr>
          <w:p>
            <w:pPr/>
          </w:p>
        </w:tc>
      </w:tr>
    </w:tbl>
    <w:p>
      <w:pPr>
        <w:spacing w:line="231" w:lineRule="exact" w:before="0"/>
        <w:ind w:left="860" w:right="0" w:firstLine="0"/>
        <w:jc w:val="left"/>
        <w:rPr>
          <w:rFonts w:ascii="Trebuchet MS" w:hAnsi="Trebuchet MS"/>
          <w:sz w:val="20"/>
        </w:rPr>
      </w:pPr>
      <w:r>
        <w:rPr>
          <w:rFonts w:ascii="Trebuchet MS" w:hAnsi="Trebuchet MS"/>
          <w:sz w:val="20"/>
        </w:rPr>
        <w:t>+προσθήκη από δυνητικό δικαιούχο</w:t>
      </w:r>
    </w:p>
    <w:p>
      <w:pPr>
        <w:spacing w:after="0" w:line="231" w:lineRule="exact"/>
        <w:jc w:val="left"/>
        <w:rPr>
          <w:rFonts w:ascii="Trebuchet MS" w:hAnsi="Trebuchet MS"/>
          <w:sz w:val="20"/>
        </w:rPr>
        <w:sectPr>
          <w:pgSz w:w="11910" w:h="16840"/>
          <w:pgMar w:header="275" w:footer="978" w:top="460" w:bottom="1160" w:left="940" w:right="1480"/>
          <w:pgBorders w:offsetFrom="page">
            <w:top w:val="single" w:color="000000" w:space="24" w:sz="4"/>
            <w:left w:val="single" w:color="000000" w:space="24" w:sz="4"/>
            <w:bottom w:val="single" w:color="000000" w:space="24" w:sz="4"/>
            <w:right w:val="single" w:color="000000" w:space="24" w:sz="4"/>
          </w:pgBorders>
        </w:sectPr>
      </w:pPr>
    </w:p>
    <w:p>
      <w:pPr>
        <w:pStyle w:val="BodyText"/>
        <w:rPr>
          <w:rFonts w:ascii="Trebuchet MS"/>
          <w:sz w:val="13"/>
        </w:rPr>
      </w:pPr>
    </w:p>
    <w:p>
      <w:pPr>
        <w:pStyle w:val="BodyText"/>
        <w:ind w:left="7824"/>
        <w:rPr>
          <w:rFonts w:ascii="Trebuchet MS"/>
          <w:sz w:val="20"/>
        </w:rPr>
      </w:pPr>
      <w:r>
        <w:rPr>
          <w:rFonts w:ascii="Trebuchet MS"/>
          <w:sz w:val="20"/>
        </w:rPr>
        <w:drawing>
          <wp:inline distT="0" distB="0" distL="0" distR="0">
            <wp:extent cx="954759" cy="640079"/>
            <wp:effectExtent l="0" t="0" r="0" b="0"/>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46" cstate="print"/>
                    <a:stretch>
                      <a:fillRect/>
                    </a:stretch>
                  </pic:blipFill>
                  <pic:spPr>
                    <a:xfrm>
                      <a:off x="0" y="0"/>
                      <a:ext cx="954759" cy="640079"/>
                    </a:xfrm>
                    <a:prstGeom prst="rect">
                      <a:avLst/>
                    </a:prstGeom>
                  </pic:spPr>
                </pic:pic>
              </a:graphicData>
            </a:graphic>
          </wp:inline>
        </w:drawing>
      </w:r>
      <w:r>
        <w:rPr>
          <w:rFonts w:ascii="Trebuchet MS"/>
          <w:sz w:val="20"/>
        </w:rPr>
      </w:r>
    </w:p>
    <w:p>
      <w:pPr>
        <w:spacing w:after="0"/>
        <w:rPr>
          <w:rFonts w:ascii="Trebuchet MS"/>
          <w:sz w:val="20"/>
        </w:rPr>
        <w:sectPr>
          <w:headerReference w:type="default" r:id="rId44"/>
          <w:footerReference w:type="default" r:id="rId45"/>
          <w:pgSz w:w="11910" w:h="16840"/>
          <w:pgMar w:header="0" w:footer="0" w:top="1580" w:bottom="280" w:left="900" w:right="740"/>
        </w:sectPr>
      </w:pPr>
    </w:p>
    <w:p>
      <w:pPr>
        <w:spacing w:before="109"/>
        <w:ind w:left="1152" w:right="0" w:hanging="2"/>
        <w:jc w:val="center"/>
        <w:rPr>
          <w:b/>
          <w:sz w:val="20"/>
        </w:rPr>
      </w:pPr>
      <w:r>
        <w:rPr/>
        <w:drawing>
          <wp:anchor distT="0" distB="0" distL="0" distR="0" allowOverlap="1" layoutInCell="1" locked="0" behindDoc="1" simplePos="0" relativeHeight="268166879">
            <wp:simplePos x="0" y="0"/>
            <wp:positionH relativeFrom="page">
              <wp:posOffset>1723389</wp:posOffset>
            </wp:positionH>
            <wp:positionV relativeFrom="paragraph">
              <wp:posOffset>-640441</wp:posOffset>
            </wp:positionV>
            <wp:extent cx="745489" cy="709929"/>
            <wp:effectExtent l="0" t="0" r="0" b="0"/>
            <wp:wrapNone/>
            <wp:docPr id="19" name="image4.png" descr=""/>
            <wp:cNvGraphicFramePr>
              <a:graphicFrameLocks noChangeAspect="1"/>
            </wp:cNvGraphicFramePr>
            <a:graphic>
              <a:graphicData uri="http://schemas.openxmlformats.org/drawingml/2006/picture">
                <pic:pic>
                  <pic:nvPicPr>
                    <pic:cNvPr id="20" name="image4.png"/>
                    <pic:cNvPicPr/>
                  </pic:nvPicPr>
                  <pic:blipFill>
                    <a:blip r:embed="rId15" cstate="print"/>
                    <a:stretch>
                      <a:fillRect/>
                    </a:stretch>
                  </pic:blipFill>
                  <pic:spPr>
                    <a:xfrm>
                      <a:off x="0" y="0"/>
                      <a:ext cx="745489" cy="709929"/>
                    </a:xfrm>
                    <a:prstGeom prst="rect">
                      <a:avLst/>
                    </a:prstGeom>
                  </pic:spPr>
                </pic:pic>
              </a:graphicData>
            </a:graphic>
          </wp:anchor>
        </w:drawing>
      </w:r>
      <w:r>
        <w:rPr>
          <w:b/>
          <w:sz w:val="20"/>
        </w:rPr>
        <w:t>ΕΛΛΗΝΙΚΗ ΔΗΜΟΚΡΑΤΙΑ ΠΕΡΙΦΕΡΕΙΑ ΘΕΣΣΑΛΙΑΣ ΕΙΔΙΚΗ ΥΠΗΡΕΣΙΑ</w:t>
      </w:r>
      <w:r>
        <w:rPr>
          <w:b/>
          <w:spacing w:val="-11"/>
          <w:sz w:val="20"/>
        </w:rPr>
        <w:t> </w:t>
      </w:r>
      <w:r>
        <w:rPr>
          <w:b/>
          <w:sz w:val="20"/>
        </w:rPr>
        <w:t>ΔΙΑΧΕΙΡΙΣΗΣ Ε.Π. ΠΕΡΙΦΕΡΕΙΑΣ</w:t>
      </w:r>
      <w:r>
        <w:rPr>
          <w:b/>
          <w:spacing w:val="-12"/>
          <w:sz w:val="20"/>
        </w:rPr>
        <w:t> </w:t>
      </w:r>
      <w:r>
        <w:rPr>
          <w:b/>
          <w:sz w:val="20"/>
        </w:rPr>
        <w:t>ΘΕΣΣΑΛΙΑΣ</w:t>
      </w:r>
    </w:p>
    <w:p>
      <w:pPr>
        <w:spacing w:before="6"/>
        <w:ind w:left="1457" w:right="0" w:firstLine="0"/>
        <w:jc w:val="left"/>
        <w:rPr>
          <w:b/>
          <w:sz w:val="20"/>
        </w:rPr>
      </w:pPr>
      <w:r>
        <w:rPr/>
        <w:br w:type="column"/>
      </w:r>
      <w:r>
        <w:rPr>
          <w:b/>
          <w:sz w:val="20"/>
        </w:rPr>
        <w:t>ΕΥΡΩΠΑΪΚΗ ΕΝΩΣΗ</w:t>
      </w:r>
    </w:p>
    <w:p>
      <w:pPr>
        <w:spacing w:before="0"/>
        <w:ind w:left="1152" w:right="556" w:firstLine="319"/>
        <w:jc w:val="left"/>
        <w:rPr>
          <w:b/>
          <w:sz w:val="20"/>
        </w:rPr>
      </w:pPr>
      <w:r>
        <w:rPr>
          <w:b/>
          <w:sz w:val="20"/>
        </w:rPr>
        <w:t>Ευρωπαϊκό Ταμείο Περιφερειακής Ανάπτυξης</w:t>
      </w:r>
    </w:p>
    <w:p>
      <w:pPr>
        <w:spacing w:after="0"/>
        <w:jc w:val="left"/>
        <w:rPr>
          <w:sz w:val="20"/>
        </w:rPr>
        <w:sectPr>
          <w:type w:val="continuous"/>
          <w:pgSz w:w="11910" w:h="16840"/>
          <w:pgMar w:top="800" w:bottom="1580" w:left="900" w:right="740"/>
          <w:cols w:num="2" w:equalWidth="0">
            <w:col w:w="3649" w:space="2671"/>
            <w:col w:w="3950"/>
          </w:cols>
        </w:sectPr>
      </w:pPr>
    </w:p>
    <w:p>
      <w:pPr>
        <w:pStyle w:val="BodyText"/>
        <w:spacing w:before="4"/>
        <w:rPr>
          <w:b/>
          <w:sz w:val="26"/>
        </w:rPr>
      </w:pPr>
    </w:p>
    <w:p>
      <w:pPr>
        <w:pStyle w:val="Heading1"/>
        <w:spacing w:line="324" w:lineRule="auto" w:before="44"/>
      </w:pPr>
      <w:r>
        <w:rPr/>
        <w:t>ΠΕΡΙΦΕΡΕΙΑΚΟ ΕΠΙΧΕΙΡΗΣΙΑΚΟ ΠΡΟΓΡΑΜΜΑ ΘΕΣΣΑΛΙΑΣ 2014-2020</w:t>
      </w:r>
    </w:p>
    <w:p>
      <w:pPr>
        <w:pStyle w:val="BodyText"/>
        <w:spacing w:before="10"/>
        <w:rPr>
          <w:b/>
          <w:sz w:val="37"/>
        </w:rPr>
      </w:pPr>
    </w:p>
    <w:p>
      <w:pPr>
        <w:spacing w:line="324" w:lineRule="auto" w:before="1"/>
        <w:ind w:left="3725" w:right="3036" w:firstLine="0"/>
        <w:jc w:val="center"/>
        <w:rPr>
          <w:b/>
          <w:sz w:val="28"/>
        </w:rPr>
      </w:pPr>
      <w:r>
        <w:rPr>
          <w:b/>
          <w:sz w:val="28"/>
        </w:rPr>
        <w:t>ΕΙΔΙΚΗ ΥΠΗΡΕΣΙΑ ΔΙΑΧΕΙΡΙΣΗΣ ΕΠ ΘΕΣΣΑΛΙΑΣ 2014-2020</w:t>
      </w:r>
    </w:p>
    <w:p>
      <w:pPr>
        <w:pStyle w:val="BodyText"/>
        <w:rPr>
          <w:b/>
          <w:sz w:val="28"/>
        </w:rPr>
      </w:pPr>
    </w:p>
    <w:p>
      <w:pPr>
        <w:pStyle w:val="BodyText"/>
        <w:rPr>
          <w:b/>
          <w:sz w:val="28"/>
        </w:rPr>
      </w:pPr>
    </w:p>
    <w:p>
      <w:pPr>
        <w:spacing w:before="242"/>
        <w:ind w:left="2308" w:right="1618" w:firstLine="0"/>
        <w:jc w:val="center"/>
        <w:rPr>
          <w:b/>
          <w:sz w:val="28"/>
        </w:rPr>
      </w:pPr>
      <w:r>
        <w:rPr>
          <w:b/>
          <w:sz w:val="28"/>
        </w:rPr>
        <w:t>ΕΝΔΙΑΜΕΣΟΣ ΦΟΡΕΑΣ :</w:t>
      </w:r>
    </w:p>
    <w:p>
      <w:pPr>
        <w:spacing w:before="119"/>
        <w:ind w:left="1046" w:right="362" w:firstLine="0"/>
        <w:jc w:val="center"/>
        <w:rPr>
          <w:b/>
          <w:sz w:val="28"/>
        </w:rPr>
      </w:pPr>
      <w:r>
        <w:rPr>
          <w:b/>
          <w:sz w:val="28"/>
        </w:rPr>
        <w:t>Διεύθυνση Αναπτυξιακού Προγραμματισμού Περιφέρειας Θεσσαλίας</w:t>
      </w:r>
    </w:p>
    <w:p>
      <w:pPr>
        <w:pStyle w:val="BodyText"/>
        <w:rPr>
          <w:b/>
          <w:sz w:val="28"/>
        </w:rPr>
      </w:pPr>
    </w:p>
    <w:p>
      <w:pPr>
        <w:spacing w:before="241"/>
        <w:ind w:left="2308" w:right="1619" w:firstLine="0"/>
        <w:jc w:val="center"/>
        <w:rPr>
          <w:b/>
          <w:sz w:val="28"/>
        </w:rPr>
      </w:pPr>
      <w:r>
        <w:rPr>
          <w:b/>
          <w:sz w:val="28"/>
        </w:rPr>
        <w:t>ΔΡΑΣΗ ΕΝΙΣΧΥΣΗΣ</w:t>
      </w:r>
      <w:r>
        <w:rPr>
          <w:b/>
          <w:spacing w:val="61"/>
          <w:sz w:val="28"/>
        </w:rPr>
        <w:t> </w:t>
      </w:r>
      <w:r>
        <w:rPr>
          <w:b/>
          <w:sz w:val="28"/>
        </w:rPr>
        <w:t>:</w:t>
      </w:r>
    </w:p>
    <w:p>
      <w:pPr>
        <w:spacing w:before="119"/>
        <w:ind w:left="802" w:right="115" w:firstLine="1"/>
        <w:jc w:val="center"/>
        <w:rPr>
          <w:b/>
          <w:sz w:val="28"/>
        </w:rPr>
      </w:pPr>
      <w:r>
        <w:rPr>
          <w:b/>
          <w:sz w:val="28"/>
        </w:rPr>
        <w:t>«Ενίσχυση υφιστάμενων επιχειρήσεων για την αξιοποίηση πατεντών ή και 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w:t>
      </w:r>
    </w:p>
    <w:p>
      <w:pPr>
        <w:spacing w:before="121"/>
        <w:ind w:left="2308" w:right="1617" w:firstLine="0"/>
        <w:jc w:val="center"/>
        <w:rPr>
          <w:b/>
          <w:sz w:val="28"/>
        </w:rPr>
      </w:pPr>
      <w:r>
        <w:rPr>
          <w:b/>
          <w:sz w:val="28"/>
        </w:rPr>
        <w:t>“Επανεπενδύω στη Θεσσαλία”</w:t>
      </w:r>
    </w:p>
    <w:p>
      <w:pPr>
        <w:pStyle w:val="BodyText"/>
        <w:rPr>
          <w:b/>
          <w:sz w:val="28"/>
        </w:rPr>
      </w:pPr>
    </w:p>
    <w:p>
      <w:pPr>
        <w:pStyle w:val="BodyText"/>
        <w:rPr>
          <w:b/>
          <w:sz w:val="28"/>
        </w:rPr>
      </w:pPr>
    </w:p>
    <w:p>
      <w:pPr>
        <w:pStyle w:val="Heading4"/>
        <w:spacing w:before="196"/>
        <w:ind w:left="1978" w:right="2135"/>
        <w:jc w:val="center"/>
      </w:pPr>
      <w:r>
        <w:rPr>
          <w:color w:val="FF0000"/>
          <w:u w:val="single" w:color="FF0000"/>
        </w:rPr>
        <w:t>ΠΑΡΑΡΤΗΜΑ I.2</w:t>
      </w:r>
    </w:p>
    <w:p>
      <w:pPr>
        <w:spacing w:before="120"/>
        <w:ind w:left="1976" w:right="2135" w:firstLine="0"/>
        <w:jc w:val="center"/>
        <w:rPr>
          <w:b/>
          <w:sz w:val="22"/>
        </w:rPr>
      </w:pPr>
      <w:r>
        <w:rPr>
          <w:b/>
          <w:sz w:val="22"/>
        </w:rPr>
        <w:t>ΕΝΤΥΠΟ ΥΠΟΒΟΛΗΣ ΑΙΤΗΣΗΣ ΧΡΗΜΑΤΟΔΟΤΗΣΗΣ ΜΕΡΟΣ 2</w:t>
      </w:r>
    </w:p>
    <w:p>
      <w:pPr>
        <w:pStyle w:val="BodyText"/>
        <w:rPr>
          <w:b/>
        </w:rPr>
      </w:pPr>
    </w:p>
    <w:p>
      <w:pPr>
        <w:spacing w:before="0"/>
        <w:ind w:left="519" w:right="679" w:firstLine="0"/>
        <w:jc w:val="center"/>
        <w:rPr>
          <w:i/>
          <w:sz w:val="22"/>
        </w:rPr>
      </w:pPr>
      <w:r>
        <w:rPr>
          <w:i/>
          <w:color w:val="FF0000"/>
          <w:sz w:val="22"/>
          <w:u w:val="single" w:color="FF0000"/>
        </w:rPr>
        <w:t>ΣΥΜΠΛΗΡΩΝΕΤΑΙ ΚΑΙ ΥΠΟΒΑΛΛΕΤΑΙ ΣΥΝΗΜΜΕΝΑ ΣΤΗΝ ΑΙΤΗΣΗ ΠΟΥ ΚΑΤΑΧΩΡΕΙΤΑΙ ΣΤΟ </w:t>
      </w:r>
      <w:r>
        <w:rPr>
          <w:i/>
          <w:color w:val="FF0000"/>
          <w:sz w:val="22"/>
          <w:u w:val="single" w:color="FF0000"/>
        </w:rPr>
        <w:t>ΠΛΗΡΟΦΟΡΙΑΚΟ ΣΥΣΤΗΜΑ ΚΡΑΤΙΚΩΝ ΕΝΙΣΧΥΣΕΩΝ,</w:t>
      </w:r>
    </w:p>
    <w:p>
      <w:pPr>
        <w:spacing w:before="120"/>
        <w:ind w:left="1978" w:right="2135" w:firstLine="0"/>
        <w:jc w:val="center"/>
        <w:rPr>
          <w:i/>
          <w:sz w:val="22"/>
        </w:rPr>
      </w:pPr>
      <w:r>
        <w:rPr>
          <w:i/>
          <w:color w:val="FF0000"/>
          <w:sz w:val="22"/>
          <w:u w:val="single" w:color="FF0000"/>
        </w:rPr>
        <w:t>σύμφωνα με τις οδηγίες της Πρόσκλησης</w:t>
      </w:r>
    </w:p>
    <w:p>
      <w:pPr>
        <w:pStyle w:val="BodyText"/>
        <w:rPr>
          <w:i/>
          <w:sz w:val="20"/>
        </w:rPr>
      </w:pPr>
    </w:p>
    <w:p>
      <w:pPr>
        <w:pStyle w:val="BodyText"/>
        <w:rPr>
          <w:i/>
          <w:sz w:val="20"/>
        </w:rPr>
      </w:pPr>
    </w:p>
    <w:p>
      <w:pPr>
        <w:pStyle w:val="BodyText"/>
        <w:spacing w:before="11"/>
        <w:rPr>
          <w:i/>
          <w:sz w:val="23"/>
        </w:rPr>
      </w:pPr>
      <w:r>
        <w:rPr/>
        <w:pict>
          <v:group style="position:absolute;margin-left:50.630001pt;margin-top:16.541849pt;width:494.15pt;height:.5pt;mso-position-horizontal-relative:page;mso-position-vertical-relative:paragraph;z-index:1120;mso-wrap-distance-left:0;mso-wrap-distance-right:0" coordorigin="1013,331" coordsize="9883,10">
            <v:line style="position:absolute" from="1018,336" to="4537,336" stroked="true" strokeweight=".47998pt" strokecolor="#000000">
              <v:stroke dashstyle="solid"/>
            </v:line>
            <v:line style="position:absolute" from="4537,336" to="4547,336" stroked="true" strokeweight=".47998pt" strokecolor="#000000">
              <v:stroke dashstyle="solid"/>
            </v:line>
            <v:line style="position:absolute" from="4547,336" to="8027,336" stroked="true" strokeweight=".47998pt" strokecolor="#000000">
              <v:stroke dashstyle="solid"/>
            </v:line>
            <v:line style="position:absolute" from="8027,336" to="8037,336" stroked="true" strokeweight=".47998pt" strokecolor="#000000">
              <v:stroke dashstyle="solid"/>
            </v:line>
            <v:line style="position:absolute" from="8037,336" to="10891,336" stroked="true" strokeweight=".47998pt" strokecolor="#000000">
              <v:stroke dashstyle="solid"/>
            </v:line>
            <w10:wrap type="topAndBottom"/>
          </v:group>
        </w:pict>
      </w:r>
    </w:p>
    <w:p>
      <w:pPr>
        <w:pStyle w:val="BodyText"/>
        <w:spacing w:before="6"/>
        <w:rPr>
          <w:i/>
          <w:sz w:val="18"/>
        </w:rPr>
      </w:pPr>
    </w:p>
    <w:p>
      <w:pPr>
        <w:pStyle w:val="BodyText"/>
        <w:tabs>
          <w:tab w:pos="4654" w:val="left" w:leader="none"/>
        </w:tabs>
        <w:spacing w:before="57"/>
        <w:ind w:left="1150"/>
        <w:rPr>
          <w:b/>
        </w:rPr>
      </w:pPr>
      <w:r>
        <w:rPr/>
        <w:drawing>
          <wp:anchor distT="0" distB="0" distL="0" distR="0" allowOverlap="1" layoutInCell="1" locked="0" behindDoc="0" simplePos="0" relativeHeight="1144">
            <wp:simplePos x="0" y="0"/>
            <wp:positionH relativeFrom="page">
              <wp:posOffset>6062345</wp:posOffset>
            </wp:positionH>
            <wp:positionV relativeFrom="paragraph">
              <wp:posOffset>-91520</wp:posOffset>
            </wp:positionV>
            <wp:extent cx="781684" cy="466725"/>
            <wp:effectExtent l="0" t="0" r="0" b="0"/>
            <wp:wrapNone/>
            <wp:docPr id="21" name="image9.jpeg" descr=""/>
            <wp:cNvGraphicFramePr>
              <a:graphicFrameLocks noChangeAspect="1"/>
            </wp:cNvGraphicFramePr>
            <a:graphic>
              <a:graphicData uri="http://schemas.openxmlformats.org/drawingml/2006/picture">
                <pic:pic>
                  <pic:nvPicPr>
                    <pic:cNvPr id="22" name="image9.jpeg"/>
                    <pic:cNvPicPr/>
                  </pic:nvPicPr>
                  <pic:blipFill>
                    <a:blip r:embed="rId47" cstate="print"/>
                    <a:stretch>
                      <a:fillRect/>
                    </a:stretch>
                  </pic:blipFill>
                  <pic:spPr>
                    <a:xfrm>
                      <a:off x="0" y="0"/>
                      <a:ext cx="781684" cy="466725"/>
                    </a:xfrm>
                    <a:prstGeom prst="rect">
                      <a:avLst/>
                    </a:prstGeom>
                  </pic:spPr>
                </pic:pic>
              </a:graphicData>
            </a:graphic>
          </wp:anchor>
        </w:drawing>
      </w:r>
      <w:r>
        <w:rPr/>
        <w:t>ΠΑΡΑΡΤΗΜΑ</w:t>
      </w:r>
      <w:r>
        <w:rPr>
          <w:spacing w:val="-1"/>
        </w:rPr>
        <w:t> </w:t>
      </w:r>
      <w:r>
        <w:rPr/>
        <w:t>Ι.2</w:t>
        <w:tab/>
        <w:t>Σελίδα </w:t>
      </w:r>
      <w:r>
        <w:rPr>
          <w:b/>
        </w:rPr>
        <w:t>1 </w:t>
      </w:r>
      <w:r>
        <w:rPr/>
        <w:t>από</w:t>
      </w:r>
      <w:r>
        <w:rPr>
          <w:spacing w:val="-3"/>
        </w:rPr>
        <w:t> </w:t>
      </w:r>
      <w:r>
        <w:rPr>
          <w:b/>
        </w:rPr>
        <w:t>15</w:t>
      </w:r>
    </w:p>
    <w:p>
      <w:pPr>
        <w:spacing w:after="0"/>
        <w:sectPr>
          <w:type w:val="continuous"/>
          <w:pgSz w:w="11910" w:h="16840"/>
          <w:pgMar w:top="800" w:bottom="1580" w:left="900" w:right="74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7"/>
        <w:gridCol w:w="4854"/>
      </w:tblGrid>
      <w:tr>
        <w:trPr>
          <w:trHeight w:val="598" w:hRule="exact"/>
        </w:trPr>
        <w:tc>
          <w:tcPr>
            <w:tcW w:w="4787" w:type="dxa"/>
          </w:tcPr>
          <w:p>
            <w:pPr>
              <w:pStyle w:val="TableParagraph"/>
              <w:spacing w:before="2"/>
              <w:ind w:left="718" w:right="86" w:firstLine="1353"/>
              <w:rPr>
                <w:b/>
                <w:sz w:val="24"/>
              </w:rPr>
            </w:pPr>
            <w:r>
              <w:rPr>
                <w:b/>
                <w:sz w:val="24"/>
              </w:rPr>
              <w:t>ΚΩΔΙΚΟΣ ΠΡΑΞΗΣ (ΕΡΓΟΥ) (ΑΡΙΘΜΟΣ ΗΛΕΚΤΡΟΝΙΚΗΣ ΥΠΟΒΟΛΗΣ)</w:t>
            </w:r>
          </w:p>
        </w:tc>
        <w:tc>
          <w:tcPr>
            <w:tcW w:w="4854" w:type="dxa"/>
          </w:tcPr>
          <w:p>
            <w:pPr/>
          </w:p>
        </w:tc>
      </w:tr>
      <w:tr>
        <w:trPr>
          <w:trHeight w:val="302" w:hRule="exact"/>
        </w:trPr>
        <w:tc>
          <w:tcPr>
            <w:tcW w:w="4787" w:type="dxa"/>
          </w:tcPr>
          <w:p>
            <w:pPr>
              <w:pStyle w:val="TableParagraph"/>
              <w:spacing w:line="292" w:lineRule="exact"/>
              <w:ind w:right="104"/>
              <w:jc w:val="right"/>
              <w:rPr>
                <w:b/>
                <w:sz w:val="24"/>
              </w:rPr>
            </w:pPr>
            <w:r>
              <w:rPr>
                <w:b/>
                <w:sz w:val="24"/>
              </w:rPr>
              <w:t>Ημερομηνία ηλεκτρονικής υποβολής</w:t>
            </w:r>
          </w:p>
        </w:tc>
        <w:tc>
          <w:tcPr>
            <w:tcW w:w="4854" w:type="dxa"/>
          </w:tcPr>
          <w:p>
            <w:pPr/>
          </w:p>
        </w:tc>
      </w:tr>
      <w:tr>
        <w:trPr>
          <w:trHeight w:val="595" w:hRule="exact"/>
        </w:trPr>
        <w:tc>
          <w:tcPr>
            <w:tcW w:w="4787" w:type="dxa"/>
          </w:tcPr>
          <w:p>
            <w:pPr>
              <w:pStyle w:val="TableParagraph"/>
              <w:spacing w:line="292" w:lineRule="exact"/>
              <w:ind w:right="105"/>
              <w:jc w:val="right"/>
              <w:rPr>
                <w:b/>
                <w:sz w:val="24"/>
              </w:rPr>
            </w:pPr>
            <w:r>
              <w:rPr>
                <w:b/>
                <w:sz w:val="24"/>
              </w:rPr>
              <w:t>Αριθ. Πρωτοκόλλου υποβολής φυσικού</w:t>
            </w:r>
          </w:p>
          <w:p>
            <w:pPr>
              <w:pStyle w:val="TableParagraph"/>
              <w:ind w:right="102"/>
              <w:jc w:val="right"/>
              <w:rPr>
                <w:b/>
                <w:sz w:val="24"/>
              </w:rPr>
            </w:pPr>
            <w:r>
              <w:rPr>
                <w:b/>
                <w:sz w:val="24"/>
              </w:rPr>
              <w:t>φακέλου</w:t>
            </w:r>
          </w:p>
        </w:tc>
        <w:tc>
          <w:tcPr>
            <w:tcW w:w="4854" w:type="dxa"/>
          </w:tcPr>
          <w:p>
            <w:pPr/>
          </w:p>
        </w:tc>
      </w:tr>
      <w:tr>
        <w:trPr>
          <w:trHeight w:val="302" w:hRule="exact"/>
        </w:trPr>
        <w:tc>
          <w:tcPr>
            <w:tcW w:w="4787" w:type="dxa"/>
          </w:tcPr>
          <w:p>
            <w:pPr>
              <w:pStyle w:val="TableParagraph"/>
              <w:spacing w:line="292" w:lineRule="exact"/>
              <w:ind w:right="103"/>
              <w:jc w:val="right"/>
              <w:rPr>
                <w:b/>
                <w:sz w:val="24"/>
              </w:rPr>
            </w:pPr>
            <w:r>
              <w:rPr>
                <w:b/>
                <w:sz w:val="24"/>
              </w:rPr>
              <w:t>Ημερομηνία Παραλαβής φυσικού φακέλου</w:t>
            </w:r>
          </w:p>
        </w:tc>
        <w:tc>
          <w:tcPr>
            <w:tcW w:w="4854" w:type="dxa"/>
          </w:tcPr>
          <w:p>
            <w:pPr/>
          </w:p>
        </w:tc>
      </w:tr>
      <w:tr>
        <w:trPr>
          <w:trHeight w:val="305" w:hRule="exact"/>
        </w:trPr>
        <w:tc>
          <w:tcPr>
            <w:tcW w:w="4787" w:type="dxa"/>
          </w:tcPr>
          <w:p>
            <w:pPr>
              <w:pStyle w:val="TableParagraph"/>
              <w:spacing w:before="2"/>
              <w:ind w:right="102"/>
              <w:jc w:val="right"/>
              <w:rPr>
                <w:b/>
                <w:sz w:val="24"/>
              </w:rPr>
            </w:pPr>
            <w:r>
              <w:rPr>
                <w:b/>
                <w:sz w:val="24"/>
              </w:rPr>
              <w:t>ΤΙΤΛΟΣ ΕΡΓΟΥ</w:t>
            </w:r>
          </w:p>
        </w:tc>
        <w:tc>
          <w:tcPr>
            <w:tcW w:w="4854" w:type="dxa"/>
          </w:tcPr>
          <w:p>
            <w:pPr/>
          </w:p>
        </w:tc>
      </w:tr>
      <w:tr>
        <w:trPr>
          <w:trHeight w:val="302" w:hRule="exact"/>
        </w:trPr>
        <w:tc>
          <w:tcPr>
            <w:tcW w:w="4787" w:type="dxa"/>
          </w:tcPr>
          <w:p>
            <w:pPr>
              <w:pStyle w:val="TableParagraph"/>
              <w:spacing w:line="292" w:lineRule="exact"/>
              <w:ind w:right="105"/>
              <w:jc w:val="right"/>
              <w:rPr>
                <w:b/>
                <w:sz w:val="24"/>
              </w:rPr>
            </w:pPr>
            <w:r>
              <w:rPr>
                <w:b/>
                <w:sz w:val="24"/>
              </w:rPr>
              <w:t>ΤΙΤΛΟΣ ΕΡΓΟΥ (στα αγγλικά)</w:t>
            </w:r>
          </w:p>
        </w:tc>
        <w:tc>
          <w:tcPr>
            <w:tcW w:w="4854" w:type="dxa"/>
          </w:tcPr>
          <w:p>
            <w:pPr/>
          </w:p>
        </w:tc>
      </w:tr>
    </w:tbl>
    <w:p>
      <w:pPr>
        <w:pStyle w:val="BodyText"/>
        <w:rPr>
          <w:b/>
          <w:sz w:val="20"/>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0"/>
        <w:gridCol w:w="3618"/>
        <w:gridCol w:w="4395"/>
      </w:tblGrid>
      <w:tr>
        <w:trPr>
          <w:trHeight w:val="610" w:hRule="exact"/>
        </w:trPr>
        <w:tc>
          <w:tcPr>
            <w:tcW w:w="1630" w:type="dxa"/>
            <w:shd w:val="clear" w:color="auto" w:fill="A6A6A6"/>
          </w:tcPr>
          <w:p>
            <w:pPr>
              <w:pStyle w:val="TableParagraph"/>
              <w:spacing w:before="176"/>
              <w:ind w:left="651" w:right="652"/>
              <w:jc w:val="center"/>
              <w:rPr>
                <w:b/>
                <w:sz w:val="20"/>
              </w:rPr>
            </w:pPr>
            <w:r>
              <w:rPr>
                <w:b/>
                <w:sz w:val="20"/>
              </w:rPr>
              <w:t>Α.1</w:t>
            </w:r>
          </w:p>
        </w:tc>
        <w:tc>
          <w:tcPr>
            <w:tcW w:w="8013" w:type="dxa"/>
            <w:gridSpan w:val="2"/>
            <w:shd w:val="clear" w:color="auto" w:fill="D9D9D9"/>
          </w:tcPr>
          <w:p>
            <w:pPr>
              <w:pStyle w:val="TableParagraph"/>
              <w:spacing w:before="176"/>
              <w:ind w:left="2501"/>
              <w:rPr>
                <w:b/>
                <w:sz w:val="20"/>
              </w:rPr>
            </w:pPr>
            <w:r>
              <w:rPr>
                <w:b/>
                <w:sz w:val="20"/>
              </w:rPr>
              <w:t>ΠΡΟΣΘΕΤΑ ΣΤΟΙΧΕΙΑ ΕΠΙΧΕΙΡΗΣΕΩΝ</w:t>
            </w:r>
          </w:p>
        </w:tc>
      </w:tr>
      <w:tr>
        <w:trPr>
          <w:trHeight w:val="500" w:hRule="exact"/>
        </w:trPr>
        <w:tc>
          <w:tcPr>
            <w:tcW w:w="5248" w:type="dxa"/>
            <w:gridSpan w:val="2"/>
          </w:tcPr>
          <w:p>
            <w:pPr>
              <w:pStyle w:val="TableParagraph"/>
              <w:ind w:left="103" w:right="105"/>
              <w:rPr>
                <w:sz w:val="20"/>
              </w:rPr>
            </w:pPr>
            <w:r>
              <w:rPr>
                <w:sz w:val="20"/>
              </w:rPr>
              <w:t>Επωνυμία Φορέα (</w:t>
            </w:r>
            <w:r>
              <w:rPr>
                <w:i/>
                <w:sz w:val="20"/>
              </w:rPr>
              <w:t>όπως έχει δηλωθεί στο έντυπο </w:t>
            </w:r>
            <w:r>
              <w:rPr>
                <w:i/>
                <w:sz w:val="20"/>
              </w:rPr>
              <w:t>ηλεκτρονικής υποβολής στο ΠΣΚΕ</w:t>
            </w:r>
            <w:r>
              <w:rPr>
                <w:sz w:val="20"/>
              </w:rPr>
              <w:t>)</w:t>
            </w:r>
          </w:p>
        </w:tc>
        <w:tc>
          <w:tcPr>
            <w:tcW w:w="4395" w:type="dxa"/>
          </w:tcPr>
          <w:p>
            <w:pPr/>
          </w:p>
        </w:tc>
      </w:tr>
      <w:tr>
        <w:trPr>
          <w:trHeight w:val="254" w:hRule="exact"/>
        </w:trPr>
        <w:tc>
          <w:tcPr>
            <w:tcW w:w="5248" w:type="dxa"/>
            <w:gridSpan w:val="2"/>
          </w:tcPr>
          <w:p>
            <w:pPr>
              <w:pStyle w:val="TableParagraph"/>
              <w:spacing w:line="243" w:lineRule="exact"/>
              <w:ind w:left="103"/>
              <w:rPr>
                <w:sz w:val="20"/>
              </w:rPr>
            </w:pPr>
            <w:r>
              <w:rPr>
                <w:sz w:val="20"/>
              </w:rPr>
              <w:t>Διακριτικός Τίτλος Φορέα</w:t>
            </w:r>
          </w:p>
        </w:tc>
        <w:tc>
          <w:tcPr>
            <w:tcW w:w="4395" w:type="dxa"/>
          </w:tcPr>
          <w:p>
            <w:pPr/>
          </w:p>
        </w:tc>
      </w:tr>
      <w:tr>
        <w:trPr>
          <w:trHeight w:val="252" w:hRule="exact"/>
        </w:trPr>
        <w:tc>
          <w:tcPr>
            <w:tcW w:w="5248" w:type="dxa"/>
            <w:gridSpan w:val="2"/>
          </w:tcPr>
          <w:p>
            <w:pPr/>
          </w:p>
        </w:tc>
        <w:tc>
          <w:tcPr>
            <w:tcW w:w="4395" w:type="dxa"/>
          </w:tcPr>
          <w:p>
            <w:pPr/>
          </w:p>
        </w:tc>
      </w:tr>
      <w:tr>
        <w:trPr>
          <w:trHeight w:val="254" w:hRule="exact"/>
        </w:trPr>
        <w:tc>
          <w:tcPr>
            <w:tcW w:w="5248" w:type="dxa"/>
            <w:gridSpan w:val="2"/>
          </w:tcPr>
          <w:p>
            <w:pPr/>
          </w:p>
        </w:tc>
        <w:tc>
          <w:tcPr>
            <w:tcW w:w="4395" w:type="dxa"/>
          </w:tcPr>
          <w:p>
            <w:pPr/>
          </w:p>
        </w:tc>
      </w:tr>
      <w:tr>
        <w:trPr>
          <w:trHeight w:val="1476" w:hRule="exact"/>
        </w:trPr>
        <w:tc>
          <w:tcPr>
            <w:tcW w:w="5248" w:type="dxa"/>
            <w:gridSpan w:val="2"/>
          </w:tcPr>
          <w:p>
            <w:pPr>
              <w:pStyle w:val="TableParagraph"/>
              <w:spacing w:line="243" w:lineRule="exact"/>
              <w:ind w:left="103"/>
              <w:rPr>
                <w:sz w:val="20"/>
              </w:rPr>
            </w:pPr>
            <w:r>
              <w:rPr>
                <w:sz w:val="20"/>
              </w:rPr>
              <w:t>Υπεύθυνος του έργου</w:t>
            </w:r>
          </w:p>
          <w:p>
            <w:pPr>
              <w:pStyle w:val="TableParagraph"/>
              <w:spacing w:before="1"/>
              <w:rPr>
                <w:b/>
                <w:sz w:val="20"/>
              </w:rPr>
            </w:pPr>
          </w:p>
          <w:p>
            <w:pPr>
              <w:pStyle w:val="TableParagraph"/>
              <w:ind w:left="103" w:right="3404"/>
              <w:rPr>
                <w:sz w:val="20"/>
              </w:rPr>
            </w:pPr>
            <w:r>
              <w:rPr>
                <w:w w:val="95"/>
                <w:sz w:val="20"/>
              </w:rPr>
              <w:t>Ονοματεπώνυμο </w:t>
            </w:r>
            <w:r>
              <w:rPr>
                <w:sz w:val="20"/>
              </w:rPr>
              <w:t>Θέση στο φορέα</w:t>
            </w:r>
          </w:p>
          <w:p>
            <w:pPr>
              <w:pStyle w:val="TableParagraph"/>
              <w:spacing w:line="242" w:lineRule="exact"/>
              <w:ind w:left="103"/>
              <w:rPr>
                <w:sz w:val="20"/>
              </w:rPr>
            </w:pPr>
            <w:r>
              <w:rPr>
                <w:sz w:val="20"/>
              </w:rPr>
              <w:t>Τηλέφωνο επικοινωνίας</w:t>
            </w:r>
          </w:p>
          <w:p>
            <w:pPr>
              <w:pStyle w:val="TableParagraph"/>
              <w:ind w:left="103"/>
              <w:rPr>
                <w:sz w:val="20"/>
              </w:rPr>
            </w:pPr>
            <w:r>
              <w:rPr>
                <w:sz w:val="20"/>
              </w:rPr>
              <w:t>E-mail</w:t>
            </w:r>
          </w:p>
        </w:tc>
        <w:tc>
          <w:tcPr>
            <w:tcW w:w="4395" w:type="dxa"/>
          </w:tcPr>
          <w:p>
            <w:pPr/>
          </w:p>
        </w:tc>
      </w:tr>
      <w:tr>
        <w:trPr>
          <w:trHeight w:val="987" w:hRule="exact"/>
        </w:trPr>
        <w:tc>
          <w:tcPr>
            <w:tcW w:w="5248" w:type="dxa"/>
            <w:gridSpan w:val="2"/>
            <w:shd w:val="clear" w:color="auto" w:fill="E7E6E6"/>
          </w:tcPr>
          <w:p>
            <w:pPr>
              <w:pStyle w:val="TableParagraph"/>
              <w:rPr>
                <w:b/>
                <w:sz w:val="20"/>
              </w:rPr>
            </w:pPr>
          </w:p>
          <w:p>
            <w:pPr>
              <w:pStyle w:val="TableParagraph"/>
              <w:spacing w:before="122"/>
              <w:ind w:left="1898" w:right="1899"/>
              <w:jc w:val="center"/>
              <w:rPr>
                <w:b/>
                <w:sz w:val="20"/>
              </w:rPr>
            </w:pPr>
            <w:r>
              <w:rPr>
                <w:b/>
                <w:sz w:val="20"/>
              </w:rPr>
              <w:t>ΕΠΙΛΕΞΙΜΟΤΗΤΑ</w:t>
            </w:r>
          </w:p>
        </w:tc>
        <w:tc>
          <w:tcPr>
            <w:tcW w:w="4395" w:type="dxa"/>
            <w:shd w:val="clear" w:color="auto" w:fill="E7E6E6"/>
          </w:tcPr>
          <w:p>
            <w:pPr>
              <w:pStyle w:val="TableParagraph"/>
              <w:spacing w:line="243" w:lineRule="exact"/>
              <w:ind w:left="887" w:right="888"/>
              <w:jc w:val="center"/>
              <w:rPr>
                <w:b/>
                <w:sz w:val="20"/>
              </w:rPr>
            </w:pPr>
            <w:r>
              <w:rPr>
                <w:b/>
                <w:sz w:val="20"/>
              </w:rPr>
              <w:t>ΠΑΡΑΠΟΜΠΗ ΣΕ ΤΕΚΜΗΡΙΩΣΗ</w:t>
            </w:r>
          </w:p>
          <w:p>
            <w:pPr>
              <w:pStyle w:val="TableParagraph"/>
              <w:ind w:left="304" w:right="303" w:hanging="2"/>
              <w:jc w:val="center"/>
              <w:rPr>
                <w:b/>
                <w:sz w:val="20"/>
              </w:rPr>
            </w:pPr>
            <w:r>
              <w:rPr>
                <w:b/>
                <w:sz w:val="20"/>
              </w:rPr>
              <w:t>Γίνεται παραπομπή στα σχετικά έγγραφα ή δικαιολογητικά με τα οποία τεκμηριώνεται η κάλυψη του όρου επιλεξιμότητας</w:t>
            </w:r>
          </w:p>
        </w:tc>
      </w:tr>
      <w:tr>
        <w:trPr>
          <w:trHeight w:val="1231" w:hRule="exact"/>
        </w:trPr>
        <w:tc>
          <w:tcPr>
            <w:tcW w:w="5248" w:type="dxa"/>
            <w:gridSpan w:val="2"/>
          </w:tcPr>
          <w:p>
            <w:pPr>
              <w:pStyle w:val="TableParagraph"/>
              <w:ind w:left="103" w:right="103"/>
              <w:jc w:val="both"/>
              <w:rPr>
                <w:sz w:val="20"/>
              </w:rPr>
            </w:pPr>
            <w:r>
              <w:rPr>
                <w:sz w:val="20"/>
              </w:rPr>
              <w:t>Δικαιούχος που εμπίπτει στην πρόσκληση και έχει την ιδιότητα της Μικρομεσαίας Επιχείρησης σύμφωνα με τον Ορισμό των ΜΜΕ της σύστασης της ΕΕ 2003/361/ΕΚ, λαμβανομένων υπόψη των όρων για τη διατήρηση της ιδιότητας αυτής.</w:t>
            </w:r>
          </w:p>
        </w:tc>
        <w:tc>
          <w:tcPr>
            <w:tcW w:w="4395" w:type="dxa"/>
          </w:tcPr>
          <w:p>
            <w:pPr/>
          </w:p>
        </w:tc>
      </w:tr>
      <w:tr>
        <w:trPr>
          <w:trHeight w:val="1229" w:hRule="exact"/>
        </w:trPr>
        <w:tc>
          <w:tcPr>
            <w:tcW w:w="5248" w:type="dxa"/>
            <w:gridSpan w:val="2"/>
          </w:tcPr>
          <w:p>
            <w:pPr>
              <w:pStyle w:val="TableParagraph"/>
              <w:ind w:left="103" w:right="106"/>
              <w:jc w:val="both"/>
              <w:rPr>
                <w:sz w:val="20"/>
              </w:rPr>
            </w:pPr>
            <w:r>
              <w:rPr>
                <w:sz w:val="20"/>
              </w:rPr>
              <w:t>Η πρόταση εμπίπτει στους Κωδικούς Αριθμούς Δραστηριότητας (ΚΑΔ), όπως αναλυτικά παρουσιάζονται στο Παράρτημα «Πίνακας Επιλέξιμων ΚΑΔ» της Πρόσκλησης. Οι επιχειρήσεις διαθέτουν τον ΚΑΔ επένδυσης κατά την υποβολή της πρότασης.</w:t>
            </w:r>
          </w:p>
        </w:tc>
        <w:tc>
          <w:tcPr>
            <w:tcW w:w="4395" w:type="dxa"/>
          </w:tcPr>
          <w:p>
            <w:pPr/>
          </w:p>
        </w:tc>
      </w:tr>
      <w:tr>
        <w:trPr>
          <w:trHeight w:val="500" w:hRule="exact"/>
        </w:trPr>
        <w:tc>
          <w:tcPr>
            <w:tcW w:w="5248" w:type="dxa"/>
            <w:gridSpan w:val="2"/>
          </w:tcPr>
          <w:p>
            <w:pPr>
              <w:pStyle w:val="TableParagraph"/>
              <w:tabs>
                <w:tab w:pos="586" w:val="left" w:leader="none"/>
                <w:tab w:pos="1998" w:val="left" w:leader="none"/>
                <w:tab w:pos="3204" w:val="left" w:leader="none"/>
                <w:tab w:pos="4032" w:val="left" w:leader="none"/>
              </w:tabs>
              <w:spacing w:before="1"/>
              <w:ind w:left="103" w:right="105"/>
              <w:rPr>
                <w:sz w:val="20"/>
              </w:rPr>
            </w:pPr>
            <w:r>
              <w:rPr>
                <w:sz w:val="20"/>
              </w:rPr>
              <w:t>Το</w:t>
              <w:tab/>
              <w:t>προτεινόμενο</w:t>
              <w:tab/>
              <w:t>επενδυτικό</w:t>
              <w:tab/>
              <w:t>σχέδιο</w:t>
              <w:tab/>
              <w:t>χωροθετείται αποκλειστικά στην Περιφέρεια</w:t>
            </w:r>
            <w:r>
              <w:rPr>
                <w:spacing w:val="-12"/>
                <w:sz w:val="20"/>
              </w:rPr>
              <w:t> </w:t>
            </w:r>
            <w:r>
              <w:rPr>
                <w:sz w:val="20"/>
              </w:rPr>
              <w:t>Θεσσαλίας.</w:t>
            </w:r>
          </w:p>
        </w:tc>
        <w:tc>
          <w:tcPr>
            <w:tcW w:w="4395" w:type="dxa"/>
          </w:tcPr>
          <w:p>
            <w:pPr/>
          </w:p>
        </w:tc>
      </w:tr>
      <w:tr>
        <w:trPr>
          <w:trHeight w:val="986" w:hRule="exact"/>
        </w:trPr>
        <w:tc>
          <w:tcPr>
            <w:tcW w:w="5248" w:type="dxa"/>
            <w:gridSpan w:val="2"/>
          </w:tcPr>
          <w:p>
            <w:pPr>
              <w:pStyle w:val="TableParagraph"/>
              <w:ind w:left="103" w:right="105"/>
              <w:jc w:val="both"/>
              <w:rPr>
                <w:sz w:val="20"/>
              </w:rPr>
            </w:pPr>
            <w:r>
              <w:rPr>
                <w:sz w:val="20"/>
              </w:rPr>
              <w:t>Η υφιστάμενη επιχείρηση χρησιμοποιεί διπλογραφικό ή απλογραφικό λογιστικό σύστημα (τηρεί βιβλία Β΄ ή Γ' κατηγορίας) και μέχρι τις 31/12/2018 έχει κλεισμένες τουλάχιστον τρεις διαχειριστικές χρήσεις.</w:t>
            </w:r>
          </w:p>
        </w:tc>
        <w:tc>
          <w:tcPr>
            <w:tcW w:w="4395" w:type="dxa"/>
          </w:tcPr>
          <w:p>
            <w:pPr/>
          </w:p>
        </w:tc>
      </w:tr>
      <w:tr>
        <w:trPr>
          <w:trHeight w:val="1231" w:hRule="exact"/>
        </w:trPr>
        <w:tc>
          <w:tcPr>
            <w:tcW w:w="5248" w:type="dxa"/>
            <w:gridSpan w:val="2"/>
          </w:tcPr>
          <w:p>
            <w:pPr>
              <w:pStyle w:val="TableParagraph"/>
              <w:ind w:left="103" w:right="106"/>
              <w:jc w:val="both"/>
              <w:rPr>
                <w:sz w:val="20"/>
              </w:rPr>
            </w:pPr>
            <w:r>
              <w:rPr>
                <w:sz w:val="20"/>
              </w:rPr>
              <w:t>Η ιδιωτική συμμετοχή της επιχείρησης στο  επενδυτικό σχέδιο δεν υπερβαίνει ανά έτος το 50% του μέσου όρου των κύκλων εργασιών της για τα τρία (3) τελευταία έτη, όπως αυτός προκύπτει από τους δημοσιευμένους ισολογισμούς της ή ισοδύναμα οικονομικά στοιχεία.</w:t>
            </w:r>
          </w:p>
        </w:tc>
        <w:tc>
          <w:tcPr>
            <w:tcW w:w="4395" w:type="dxa"/>
          </w:tcPr>
          <w:p>
            <w:pPr/>
          </w:p>
        </w:tc>
      </w:tr>
      <w:tr>
        <w:trPr>
          <w:trHeight w:val="1232" w:hRule="exact"/>
        </w:trPr>
        <w:tc>
          <w:tcPr>
            <w:tcW w:w="5248" w:type="dxa"/>
            <w:gridSpan w:val="2"/>
          </w:tcPr>
          <w:p>
            <w:pPr>
              <w:pStyle w:val="TableParagraph"/>
              <w:ind w:left="103" w:right="105"/>
              <w:jc w:val="both"/>
              <w:rPr>
                <w:sz w:val="20"/>
              </w:rPr>
            </w:pPr>
            <w:r>
              <w:rPr>
                <w:sz w:val="20"/>
              </w:rPr>
              <w:t>Η επιχείρηση λειτουργεί αποκλειστικά με μία από τις ακόλουθες μορφές επιχείρησης εταιρικού / εμπορικού χαρακτήρα: ΑΕ, ΕΠΕ, ΟΕ, ΕΕ, Ι.Κ.Ε, Ατομική Επιχείρηση, Συνεταιρισμός, ΚΟΙΝΣΕΠ, Ναυτιλιακή Εταιρεία Πλοίων Αναψυχής (Ν.Ε.Π.Α.).</w:t>
            </w:r>
          </w:p>
        </w:tc>
        <w:tc>
          <w:tcPr>
            <w:tcW w:w="4395" w:type="dxa"/>
          </w:tcPr>
          <w:p>
            <w:pPr/>
          </w:p>
        </w:tc>
      </w:tr>
    </w:tbl>
    <w:p>
      <w:pPr>
        <w:pStyle w:val="BodyText"/>
        <w:spacing w:before="7"/>
        <w:rPr>
          <w:b/>
          <w:sz w:val="6"/>
        </w:rPr>
      </w:pPr>
      <w:r>
        <w:rPr/>
        <w:pict>
          <v:group style="position:absolute;margin-left:56.389999pt;margin-top:5.99001pt;width:482.65pt;height:.5pt;mso-position-horizontal-relative:page;mso-position-vertical-relative:paragraph;z-index:1192;mso-wrap-distance-left:0;mso-wrap-distance-right:0" coordorigin="1128,120" coordsize="9653,10">
            <v:line style="position:absolute" from="1133,125" to="4537,125" stroked="true" strokeweight=".47998pt" strokecolor="#000000">
              <v:stroke dashstyle="solid"/>
            </v:line>
            <v:line style="position:absolute" from="4537,125" to="4547,125" stroked="true" strokeweight=".47998pt" strokecolor="#000000">
              <v:stroke dashstyle="solid"/>
            </v:line>
            <v:line style="position:absolute" from="4547,125" to="8082,125" stroked="true" strokeweight=".47998pt" strokecolor="#000000">
              <v:stroke dashstyle="solid"/>
            </v:line>
            <v:line style="position:absolute" from="8082,125" to="8092,125" stroked="true" strokeweight=".47998pt" strokecolor="#000000">
              <v:stroke dashstyle="solid"/>
            </v:line>
            <v:line style="position:absolute" from="8092,125" to="10775,125" stroked="true" strokeweight=".47998pt" strokecolor="#000000">
              <v:stroke dashstyle="solid"/>
            </v:line>
            <w10:wrap type="topAndBottom"/>
          </v:group>
        </w:pict>
      </w:r>
    </w:p>
    <w:p>
      <w:pPr>
        <w:spacing w:after="0"/>
        <w:rPr>
          <w:sz w:val="6"/>
        </w:rPr>
        <w:sectPr>
          <w:headerReference w:type="default" r:id="rId48"/>
          <w:footerReference w:type="default" r:id="rId49"/>
          <w:pgSz w:w="11910" w:h="16840"/>
          <w:pgMar w:header="0" w:footer="1214" w:top="1500" w:bottom="1400" w:left="1020" w:right="102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8"/>
        <w:gridCol w:w="4395"/>
      </w:tblGrid>
      <w:tr>
        <w:trPr>
          <w:trHeight w:val="987" w:hRule="exact"/>
        </w:trPr>
        <w:tc>
          <w:tcPr>
            <w:tcW w:w="5248" w:type="dxa"/>
          </w:tcPr>
          <w:p>
            <w:pPr>
              <w:pStyle w:val="TableParagraph"/>
              <w:ind w:left="103" w:right="104"/>
              <w:jc w:val="both"/>
              <w:rPr>
                <w:sz w:val="20"/>
              </w:rPr>
            </w:pPr>
            <w:r>
              <w:rPr>
                <w:sz w:val="20"/>
              </w:rPr>
              <w:t>Η επιχείρηση έχει την - κατά περίπτωση - απαιτούμενη εν ισχύ άδεια λειτουργία ή την υποβληθείσα στον αρμόδιο φορέα αίτηση έκδοσης ή ανανέωσης αυτής για τη/ις δραστηριότητα/ες  στην/ις οποία/ες δραστηριοποιείται.</w:t>
            </w:r>
          </w:p>
        </w:tc>
        <w:tc>
          <w:tcPr>
            <w:tcW w:w="4395" w:type="dxa"/>
          </w:tcPr>
          <w:p>
            <w:pPr/>
          </w:p>
        </w:tc>
      </w:tr>
      <w:tr>
        <w:trPr>
          <w:trHeight w:val="497" w:hRule="exact"/>
        </w:trPr>
        <w:tc>
          <w:tcPr>
            <w:tcW w:w="5248" w:type="dxa"/>
          </w:tcPr>
          <w:p>
            <w:pPr>
              <w:pStyle w:val="TableParagraph"/>
              <w:ind w:left="103" w:right="103"/>
              <w:rPr>
                <w:sz w:val="20"/>
              </w:rPr>
            </w:pPr>
            <w:r>
              <w:rPr>
                <w:sz w:val="20"/>
              </w:rPr>
              <w:t>Η επιχείρηση υποβάλλει μόνο μία πρόταση στην Πρόσκληση, (ένα και μοναδικό επενδυτικό σχέδιο ανά Α.Φ.Μ.).</w:t>
            </w:r>
          </w:p>
        </w:tc>
        <w:tc>
          <w:tcPr>
            <w:tcW w:w="4395" w:type="dxa"/>
          </w:tcPr>
          <w:p>
            <w:pPr/>
          </w:p>
        </w:tc>
      </w:tr>
      <w:tr>
        <w:trPr>
          <w:trHeight w:val="1231" w:hRule="exact"/>
        </w:trPr>
        <w:tc>
          <w:tcPr>
            <w:tcW w:w="5248" w:type="dxa"/>
          </w:tcPr>
          <w:p>
            <w:pPr>
              <w:pStyle w:val="TableParagraph"/>
              <w:spacing w:before="1"/>
              <w:ind w:left="103" w:right="106"/>
              <w:jc w:val="both"/>
              <w:rPr>
                <w:sz w:val="20"/>
              </w:rPr>
            </w:pPr>
            <w:r>
              <w:rPr>
                <w:sz w:val="20"/>
              </w:rPr>
              <w:t>Το συγκεκριμένο επενδυτικό σχέδιο ή μέρος αυτού καθώς και οι δαπάνες που περιλαμβάνει δεν έχουν  χρηματοδοτηθεί, ενταχθεί και δεν θα υποβληθούν προς έγκριση χρηματοδότησης σε άλλο πρόγραμμα που χρηματοδοτείται από εθνικούς ή κοινοτικούς</w:t>
            </w:r>
            <w:r>
              <w:rPr>
                <w:spacing w:val="-14"/>
                <w:sz w:val="20"/>
              </w:rPr>
              <w:t> </w:t>
            </w:r>
            <w:r>
              <w:rPr>
                <w:sz w:val="20"/>
              </w:rPr>
              <w:t>πόρους.</w:t>
            </w:r>
          </w:p>
        </w:tc>
        <w:tc>
          <w:tcPr>
            <w:tcW w:w="4395" w:type="dxa"/>
          </w:tcPr>
          <w:p>
            <w:pPr/>
          </w:p>
        </w:tc>
      </w:tr>
      <w:tr>
        <w:trPr>
          <w:trHeight w:val="987" w:hRule="exact"/>
        </w:trPr>
        <w:tc>
          <w:tcPr>
            <w:tcW w:w="5248" w:type="dxa"/>
          </w:tcPr>
          <w:p>
            <w:pPr>
              <w:pStyle w:val="TableParagraph"/>
              <w:ind w:left="103" w:right="104"/>
              <w:jc w:val="both"/>
              <w:rPr>
                <w:sz w:val="20"/>
              </w:rPr>
            </w:pPr>
            <w:r>
              <w:rPr>
                <w:sz w:val="20"/>
              </w:rPr>
              <w:t>Να μην εκκρεμεί σε βάρος της επιχείρησης ανάκτηση κρατικής ενίσχυσης έπειτα από απόφαση της Ευρωπαϊκής Επιτροπής με την οποία μια ενίσχυση κηρύσσεται παράνομη και ασυμβίβαστη με την εσωτερική αγορά.</w:t>
            </w:r>
          </w:p>
        </w:tc>
        <w:tc>
          <w:tcPr>
            <w:tcW w:w="4395" w:type="dxa"/>
          </w:tcPr>
          <w:p>
            <w:pPr/>
          </w:p>
        </w:tc>
      </w:tr>
      <w:tr>
        <w:trPr>
          <w:trHeight w:val="499" w:hRule="exact"/>
        </w:trPr>
        <w:tc>
          <w:tcPr>
            <w:tcW w:w="5248" w:type="dxa"/>
          </w:tcPr>
          <w:p>
            <w:pPr>
              <w:pStyle w:val="TableParagraph"/>
              <w:ind w:left="103" w:right="105"/>
              <w:rPr>
                <w:sz w:val="20"/>
              </w:rPr>
            </w:pPr>
            <w:r>
              <w:rPr>
                <w:sz w:val="20"/>
              </w:rPr>
              <w:t>Η επιχείρηση δεν βρίσκεται υπό πτώχευση, εκκαθάριση ή αναγκαστική διαχείριση.</w:t>
            </w:r>
          </w:p>
        </w:tc>
        <w:tc>
          <w:tcPr>
            <w:tcW w:w="4395" w:type="dxa"/>
          </w:tcPr>
          <w:p>
            <w:pPr/>
          </w:p>
        </w:tc>
      </w:tr>
      <w:tr>
        <w:trPr>
          <w:trHeight w:val="1034" w:hRule="exact"/>
        </w:trPr>
        <w:tc>
          <w:tcPr>
            <w:tcW w:w="5248" w:type="dxa"/>
          </w:tcPr>
          <w:p>
            <w:pPr>
              <w:pStyle w:val="TableParagraph"/>
              <w:spacing w:before="145"/>
              <w:ind w:left="103" w:right="105"/>
              <w:jc w:val="both"/>
              <w:rPr>
                <w:sz w:val="20"/>
              </w:rPr>
            </w:pPr>
            <w:r>
              <w:rPr>
                <w:sz w:val="20"/>
              </w:rPr>
              <w:t>Η επιχείρηση δεν αποτελεί προβληματική επιχείρηση σύμφωνα με τα οριζόμενα στο ΠΑΡΑΡΤΗΜΑ VI Ορισμός Προβληματικών  Επιχειρήσεων της παρούσας πρόσκλησης.</w:t>
            </w:r>
          </w:p>
        </w:tc>
        <w:tc>
          <w:tcPr>
            <w:tcW w:w="4395" w:type="dxa"/>
          </w:tcPr>
          <w:p>
            <w:pPr/>
          </w:p>
        </w:tc>
      </w:tr>
      <w:tr>
        <w:trPr>
          <w:trHeight w:val="4404" w:hRule="exact"/>
        </w:trPr>
        <w:tc>
          <w:tcPr>
            <w:tcW w:w="5248" w:type="dxa"/>
          </w:tcPr>
          <w:p>
            <w:pPr>
              <w:pStyle w:val="TableParagraph"/>
              <w:ind w:left="103" w:right="102"/>
              <w:jc w:val="both"/>
              <w:rPr>
                <w:sz w:val="20"/>
              </w:rPr>
            </w:pPr>
            <w:r>
              <w:rPr>
                <w:sz w:val="20"/>
              </w:rPr>
              <w:t>Να διαθέτουν ή να δεσμευτούν με υπεύθυνη δήλωση του Νόμιμου Εκπροσώπου ότι μέχρι την ολοκλήρωση της επένδυσης θα μεριμνήσουν για τις κατάλληλες υποδομές και υπηρεσίες γι΄αυτήν, με σκοπό την ελαχιστοποίηση των εμποδίων και τη διευκόλυνση της πρόσβασης σε αυτές, όπου αυτό είναι απαραίτητο και αναγκαίο, ατόμων με αναπηρία, σύμφωνα με τα προβλεπόμενα στο άρθρο 7 του Κανονισμού (ΕΕ) αριθ. 1303/2013 του Ευρωπαϊκού Κοινοβουλίου και του Συμβουλίου, της 17ης Δεκεμβρίου 2013,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1083/2006. Ως υποδομές νοούνται τόσο οι κτιριακές υποδομές, όσο και οι ηλεκτρονικές εφαρμογές που απευθύνονται στο πελατειακό κοινό (π.χ. ιστοσελίδες και λοιπές ηλεκτρονικές εφαρμογές, όπως ηλεκτρονικά σημεία πληροφόρησης ή/και εξυπηρέτησης κ.λ.π.) σύμφωνα με τις οδηγίες του ΕΣΑμεΑ.</w:t>
            </w:r>
          </w:p>
        </w:tc>
        <w:tc>
          <w:tcPr>
            <w:tcW w:w="4395" w:type="dxa"/>
          </w:tcPr>
          <w:p>
            <w:pPr/>
          </w:p>
        </w:tc>
      </w:tr>
      <w:tr>
        <w:trPr>
          <w:trHeight w:val="1964" w:hRule="exact"/>
        </w:trPr>
        <w:tc>
          <w:tcPr>
            <w:tcW w:w="5248" w:type="dxa"/>
          </w:tcPr>
          <w:p>
            <w:pPr>
              <w:pStyle w:val="TableParagraph"/>
              <w:ind w:left="103" w:right="103"/>
              <w:jc w:val="both"/>
              <w:rPr>
                <w:sz w:val="20"/>
              </w:rPr>
            </w:pPr>
            <w:r>
              <w:rPr>
                <w:sz w:val="20"/>
              </w:rPr>
              <w:t>Η επιχείρηση δεν εντάσσεται σε ήδη οργανωμένο ομοιόμορφο δίκτυο διανομής προϊόντων ή παροχής υπηρεσιών η οποία εκμεταλλεύεται κατόπιν σχετικών συμβάσεων άδειες εκμετάλλευσης δικαιωμάτων διανοητικής ιδιοκτησίας, που αφορούν συνήθως εμπορικά σήματα ή διακριτικούς τίτλους και τεχνογνωσία για την χρήση και τη διανομή αγαθών ή υπηρεσιών (π.χ. franchising, shop in shop, δίκτυο πρακτόρευσης).</w:t>
            </w:r>
          </w:p>
        </w:tc>
        <w:tc>
          <w:tcPr>
            <w:tcW w:w="4395" w:type="dxa"/>
          </w:tcPr>
          <w:p>
            <w:pPr/>
          </w:p>
        </w:tc>
      </w:tr>
      <w:tr>
        <w:trPr>
          <w:trHeight w:val="744" w:hRule="exact"/>
        </w:trPr>
        <w:tc>
          <w:tcPr>
            <w:tcW w:w="5248" w:type="dxa"/>
          </w:tcPr>
          <w:p>
            <w:pPr>
              <w:pStyle w:val="TableParagraph"/>
              <w:ind w:left="103" w:right="102"/>
              <w:jc w:val="both"/>
              <w:rPr>
                <w:sz w:val="20"/>
              </w:rPr>
            </w:pPr>
            <w:r>
              <w:rPr>
                <w:sz w:val="20"/>
              </w:rPr>
              <w:t>Η περίοδος υλοποίησης του επενδυτικού σχεδίου είναι εντός της περιόδου επιλεξιμότητας της Προγραμματικής Περιόδου και της Πρόσκλησης.</w:t>
            </w:r>
          </w:p>
        </w:tc>
        <w:tc>
          <w:tcPr>
            <w:tcW w:w="4395" w:type="dxa"/>
          </w:tcPr>
          <w:p>
            <w:pPr/>
          </w:p>
        </w:tc>
      </w:tr>
    </w:tbl>
    <w:p>
      <w:pPr>
        <w:spacing w:after="0"/>
        <w:sectPr>
          <w:headerReference w:type="default" r:id="rId50"/>
          <w:footerReference w:type="default" r:id="rId51"/>
          <w:pgSz w:w="11910" w:h="16840"/>
          <w:pgMar w:header="0" w:footer="1214" w:top="1260" w:bottom="1400" w:left="1020" w:right="1020"/>
          <w:pgNumType w:start="3"/>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8"/>
        <w:gridCol w:w="4395"/>
      </w:tblGrid>
      <w:tr>
        <w:trPr>
          <w:trHeight w:val="1474" w:hRule="exact"/>
        </w:trPr>
        <w:tc>
          <w:tcPr>
            <w:tcW w:w="5248" w:type="dxa"/>
          </w:tcPr>
          <w:p>
            <w:pPr>
              <w:pStyle w:val="TableParagraph"/>
              <w:ind w:left="103" w:right="107"/>
              <w:jc w:val="both"/>
              <w:rPr>
                <w:sz w:val="20"/>
              </w:rPr>
            </w:pPr>
            <w:r>
              <w:rPr>
                <w:sz w:val="20"/>
              </w:rPr>
              <w:t>Η πρόταση είναι εναρμονισμένη και υπακούει στους περιορισμούς σχετικά με τη σώρευση ενισχύσεων που προβλέπουν οι Κανονισμοί που την διέπουν. Η ενίσχυση που χορηγείται δυνάμει της παρούσας πρόσκλησης με τον Καν. (Ε.Ε.) 1407/2013 και πληροί όλες τις προϋποθέσεις του Κανονισμού αυτού.</w:t>
            </w:r>
          </w:p>
        </w:tc>
        <w:tc>
          <w:tcPr>
            <w:tcW w:w="4395" w:type="dxa"/>
          </w:tcPr>
          <w:p>
            <w:pPr/>
          </w:p>
        </w:tc>
      </w:tr>
      <w:tr>
        <w:trPr>
          <w:trHeight w:val="744" w:hRule="exact"/>
        </w:trPr>
        <w:tc>
          <w:tcPr>
            <w:tcW w:w="5248" w:type="dxa"/>
          </w:tcPr>
          <w:p>
            <w:pPr>
              <w:pStyle w:val="TableParagraph"/>
              <w:ind w:left="103" w:right="106"/>
              <w:jc w:val="both"/>
              <w:rPr>
                <w:sz w:val="20"/>
              </w:rPr>
            </w:pPr>
            <w:r>
              <w:rPr>
                <w:sz w:val="20"/>
              </w:rPr>
              <w:t>Το επενδυτικό σχέδιο (φυσικό και οικονομικό αντικείμενο) να μην έχει ολοκληρωθεί, πριν την ημερομηνία υποβολής  της</w:t>
            </w:r>
            <w:r>
              <w:rPr>
                <w:spacing w:val="-6"/>
                <w:sz w:val="20"/>
              </w:rPr>
              <w:t> </w:t>
            </w:r>
            <w:r>
              <w:rPr>
                <w:sz w:val="20"/>
              </w:rPr>
              <w:t>πρότασης.</w:t>
            </w:r>
          </w:p>
        </w:tc>
        <w:tc>
          <w:tcPr>
            <w:tcW w:w="4395" w:type="dxa"/>
          </w:tcPr>
          <w:p>
            <w:pPr/>
          </w:p>
        </w:tc>
      </w:tr>
      <w:tr>
        <w:trPr>
          <w:trHeight w:val="742" w:hRule="exact"/>
        </w:trPr>
        <w:tc>
          <w:tcPr>
            <w:tcW w:w="5248" w:type="dxa"/>
          </w:tcPr>
          <w:p>
            <w:pPr>
              <w:pStyle w:val="TableParagraph"/>
              <w:ind w:left="103" w:right="104"/>
              <w:jc w:val="both"/>
              <w:rPr>
                <w:sz w:val="20"/>
              </w:rPr>
            </w:pPr>
            <w:r>
              <w:rPr>
                <w:sz w:val="20"/>
              </w:rPr>
              <w:t>Δεν συντρέχουν λόγοι αποκλεισμού της επιχείρησης του άρθρου 40 του Ν. 4488/2017(Α137/13.09.2017), όπως  ισχύει.</w:t>
            </w:r>
          </w:p>
        </w:tc>
        <w:tc>
          <w:tcPr>
            <w:tcW w:w="4395" w:type="dxa"/>
          </w:tcPr>
          <w:p>
            <w:pPr/>
          </w:p>
        </w:tc>
      </w:tr>
    </w:tbl>
    <w:p>
      <w:pPr>
        <w:pStyle w:val="BodyText"/>
        <w:rPr>
          <w:b/>
          <w:sz w:val="20"/>
        </w:rPr>
      </w:pPr>
    </w:p>
    <w:p>
      <w:pPr>
        <w:pStyle w:val="BodyText"/>
        <w:spacing w:before="2"/>
        <w:rPr>
          <w:b/>
          <w:sz w:val="16"/>
        </w:rPr>
      </w:pPr>
      <w:r>
        <w:rPr/>
        <w:pict>
          <v:group style="position:absolute;margin-left:56.509998pt;margin-top:11.822968pt;width:482.55pt;height:119.35pt;mso-position-horizontal-relative:page;mso-position-vertical-relative:paragraph;z-index:1264;mso-wrap-distance-left:0;mso-wrap-distance-right:0" coordorigin="1130,236" coordsize="9651,2387">
            <v:rect style="position:absolute;left:10668;top:254;width:103;height:365" filled="true" fillcolor="#a6a6a6" stroked="false">
              <v:fill type="solid"/>
            </v:rect>
            <v:rect style="position:absolute;left:1140;top:254;width:101;height:365" filled="true" fillcolor="#a6a6a6" stroked="false">
              <v:fill type="solid"/>
            </v:rect>
            <v:rect style="position:absolute;left:1241;top:254;width:9427;height:365" filled="true" fillcolor="#a6a6a6" stroked="false">
              <v:fill type="solid"/>
            </v:rect>
            <v:line style="position:absolute" from="1140,246" to="10771,246" stroked="true" strokeweight=".48pt" strokecolor="#000000">
              <v:stroke dashstyle="solid"/>
            </v:line>
            <v:line style="position:absolute" from="1140,624" to="10771,624" stroked="true" strokeweight=".48pt" strokecolor="#000000">
              <v:stroke dashstyle="solid"/>
            </v:line>
            <v:line style="position:absolute" from="1135,241" to="1135,2618" stroked="true" strokeweight=".48pt" strokecolor="#000000">
              <v:stroke dashstyle="solid"/>
            </v:line>
            <v:line style="position:absolute" from="1140,2613" to="10771,2613" stroked="true" strokeweight=".48001pt" strokecolor="#000000">
              <v:stroke dashstyle="solid"/>
            </v:line>
            <v:line style="position:absolute" from="10776,241" to="10776,2618" stroked="true" strokeweight=".47998pt" strokecolor="#000000">
              <v:stroke dashstyle="solid"/>
            </v:line>
            <v:shape style="position:absolute;left:1135;top:248;width:9641;height:377" type="#_x0000_t202" filled="false" stroked="false">
              <v:textbox inset="0,0,0,0">
                <w:txbxContent>
                  <w:p>
                    <w:pPr>
                      <w:spacing w:before="5"/>
                      <w:ind w:left="105" w:right="0" w:firstLine="0"/>
                      <w:jc w:val="left"/>
                      <w:rPr>
                        <w:b/>
                        <w:sz w:val="20"/>
                      </w:rPr>
                    </w:pPr>
                    <w:r>
                      <w:rPr>
                        <w:b/>
                        <w:sz w:val="20"/>
                      </w:rPr>
                      <w:t>Β.1  Σύντομη Περιγραφή της επιχείρησης</w:t>
                    </w:r>
                  </w:p>
                </w:txbxContent>
              </v:textbox>
              <w10:wrap type="none"/>
            </v:shape>
            <v:shape style="position:absolute;left:1135;top:624;width:9641;height:1990" type="#_x0000_t202" filled="false" stroked="false">
              <v:textbox inset="0,0,0,0">
                <w:txbxContent>
                  <w:p>
                    <w:pPr>
                      <w:spacing w:line="240" w:lineRule="auto" w:before="4"/>
                      <w:rPr>
                        <w:b/>
                        <w:sz w:val="18"/>
                      </w:rPr>
                    </w:pPr>
                  </w:p>
                  <w:p>
                    <w:pPr>
                      <w:spacing w:before="1"/>
                      <w:ind w:left="105" w:right="139" w:firstLine="0"/>
                      <w:jc w:val="both"/>
                      <w:rPr>
                        <w:i/>
                        <w:sz w:val="18"/>
                      </w:rPr>
                    </w:pPr>
                    <w:r>
                      <w:rPr>
                        <w:i/>
                        <w:sz w:val="18"/>
                      </w:rPr>
                      <w:t>Δίνεται σύντομη περιγραφή του ιστορικού και των δραστηριοτήτων της επιχείρησης με αναφορά στα προϊόντα/ υπηρεσίες, τον </w:t>
                    </w:r>
                    <w:r>
                      <w:rPr>
                        <w:i/>
                        <w:sz w:val="18"/>
                      </w:rPr>
                      <w:t>τόπο εγκατάστασης, την οργάνωση, το ιστορικό, τους εργαζόμενους, τους πελάτες, τους προμηθευτές και τα οικονομικά μεγέθη της επιχείρησης.</w:t>
                    </w:r>
                  </w:p>
                </w:txbxContent>
              </v:textbox>
              <w10:wrap type="none"/>
            </v:shape>
            <w10:wrap type="topAndBottom"/>
          </v:group>
        </w:pict>
      </w:r>
    </w:p>
    <w:p>
      <w:pPr>
        <w:pStyle w:val="BodyText"/>
        <w:rPr>
          <w:b/>
          <w:sz w:val="20"/>
        </w:rPr>
      </w:pPr>
    </w:p>
    <w:p>
      <w:pPr>
        <w:pStyle w:val="BodyText"/>
        <w:spacing w:before="1"/>
        <w:rPr>
          <w:b/>
          <w:sz w:val="17"/>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8824"/>
      </w:tblGrid>
      <w:tr>
        <w:trPr>
          <w:trHeight w:val="377" w:hRule="exact"/>
        </w:trPr>
        <w:tc>
          <w:tcPr>
            <w:tcW w:w="9640" w:type="dxa"/>
            <w:gridSpan w:val="2"/>
            <w:shd w:val="clear" w:color="auto" w:fill="A6A6A6"/>
          </w:tcPr>
          <w:p>
            <w:pPr>
              <w:pStyle w:val="TableParagraph"/>
              <w:spacing w:line="243" w:lineRule="exact"/>
              <w:ind w:left="100"/>
              <w:rPr>
                <w:b/>
                <w:sz w:val="20"/>
              </w:rPr>
            </w:pPr>
            <w:r>
              <w:rPr>
                <w:b/>
                <w:sz w:val="20"/>
              </w:rPr>
              <w:t>Β.2  ΣΤΟΙΧΕΙΑ ΕΠΕΝΔΥΤΙΚΟΥ ΣΧΕΔΙΟΥ</w:t>
            </w:r>
          </w:p>
        </w:tc>
      </w:tr>
      <w:tr>
        <w:trPr>
          <w:trHeight w:val="228" w:hRule="exact"/>
        </w:trPr>
        <w:tc>
          <w:tcPr>
            <w:tcW w:w="816" w:type="dxa"/>
            <w:shd w:val="clear" w:color="auto" w:fill="D9D9D9"/>
          </w:tcPr>
          <w:p>
            <w:pPr>
              <w:pStyle w:val="TableParagraph"/>
              <w:spacing w:line="219" w:lineRule="exact"/>
              <w:ind w:right="357"/>
              <w:jc w:val="right"/>
              <w:rPr>
                <w:sz w:val="18"/>
              </w:rPr>
            </w:pPr>
            <w:r>
              <w:rPr>
                <w:sz w:val="18"/>
              </w:rPr>
              <w:t>1</w:t>
            </w:r>
          </w:p>
        </w:tc>
        <w:tc>
          <w:tcPr>
            <w:tcW w:w="8824" w:type="dxa"/>
            <w:shd w:val="clear" w:color="auto" w:fill="D9D9D9"/>
          </w:tcPr>
          <w:p>
            <w:pPr>
              <w:pStyle w:val="TableParagraph"/>
              <w:spacing w:line="219" w:lineRule="exact"/>
              <w:ind w:left="103"/>
              <w:rPr>
                <w:b/>
                <w:sz w:val="18"/>
              </w:rPr>
            </w:pPr>
            <w:r>
              <w:rPr>
                <w:b/>
                <w:sz w:val="18"/>
              </w:rPr>
              <w:t>Σύντομη περιγραφή του επενδυτικού σχεδίου</w:t>
            </w:r>
          </w:p>
        </w:tc>
      </w:tr>
      <w:tr>
        <w:trPr>
          <w:trHeight w:val="1990" w:hRule="exact"/>
        </w:trPr>
        <w:tc>
          <w:tcPr>
            <w:tcW w:w="9640" w:type="dxa"/>
            <w:gridSpan w:val="2"/>
          </w:tcPr>
          <w:p>
            <w:pPr>
              <w:pStyle w:val="TableParagraph"/>
              <w:rPr>
                <w:b/>
                <w:sz w:val="18"/>
              </w:rPr>
            </w:pPr>
          </w:p>
          <w:p>
            <w:pPr>
              <w:pStyle w:val="TableParagraph"/>
              <w:ind w:left="100" w:right="127"/>
              <w:rPr>
                <w:i/>
                <w:sz w:val="18"/>
              </w:rPr>
            </w:pPr>
            <w:r>
              <w:rPr>
                <w:i/>
                <w:sz w:val="18"/>
              </w:rPr>
              <w:t>Δίνεται σύντομη και σαφής περιγραφή του αντικειμένου του επενδυτικού σχεδίου με αναφορά στους στόχους που επιδιώκει, </w:t>
            </w:r>
            <w:r>
              <w:rPr>
                <w:i/>
                <w:sz w:val="18"/>
              </w:rPr>
              <w:t>στις ανάγκες της επιχείρησης που εξυπηρετεί, στους λόγους για τους οποίους η επένδυση κρίνεται σημαντική ή απαραίτητη για την επιχείρηση, και στην περιγραφή των ενεργειών για την υλοποίηση του σχεδίου.</w:t>
            </w:r>
          </w:p>
        </w:tc>
      </w:tr>
      <w:tr>
        <w:trPr>
          <w:trHeight w:val="228" w:hRule="exact"/>
        </w:trPr>
        <w:tc>
          <w:tcPr>
            <w:tcW w:w="816" w:type="dxa"/>
            <w:shd w:val="clear" w:color="auto" w:fill="D9D9D9"/>
          </w:tcPr>
          <w:p>
            <w:pPr>
              <w:pStyle w:val="TableParagraph"/>
              <w:spacing w:line="219" w:lineRule="exact"/>
              <w:ind w:right="357"/>
              <w:jc w:val="right"/>
              <w:rPr>
                <w:sz w:val="18"/>
              </w:rPr>
            </w:pPr>
            <w:r>
              <w:rPr>
                <w:sz w:val="18"/>
              </w:rPr>
              <w:t>2</w:t>
            </w:r>
          </w:p>
        </w:tc>
        <w:tc>
          <w:tcPr>
            <w:tcW w:w="8824" w:type="dxa"/>
            <w:shd w:val="clear" w:color="auto" w:fill="D9D9D9"/>
          </w:tcPr>
          <w:p>
            <w:pPr>
              <w:pStyle w:val="TableParagraph"/>
              <w:spacing w:line="219" w:lineRule="exact"/>
              <w:ind w:left="103"/>
              <w:rPr>
                <w:b/>
                <w:sz w:val="18"/>
              </w:rPr>
            </w:pPr>
            <w:r>
              <w:rPr>
                <w:b/>
                <w:sz w:val="18"/>
              </w:rPr>
              <w:t>Περιγραφή των παρεμβάσεων του επενδυτικού σχεδίου</w:t>
            </w:r>
          </w:p>
        </w:tc>
      </w:tr>
      <w:tr>
        <w:trPr>
          <w:trHeight w:val="2209" w:hRule="exact"/>
        </w:trPr>
        <w:tc>
          <w:tcPr>
            <w:tcW w:w="9640" w:type="dxa"/>
            <w:gridSpan w:val="2"/>
          </w:tcPr>
          <w:p>
            <w:pPr>
              <w:pStyle w:val="TableParagraph"/>
              <w:rPr>
                <w:b/>
                <w:sz w:val="18"/>
              </w:rPr>
            </w:pPr>
          </w:p>
          <w:p>
            <w:pPr>
              <w:pStyle w:val="TableParagraph"/>
              <w:ind w:left="100" w:right="231"/>
              <w:rPr>
                <w:i/>
                <w:sz w:val="18"/>
              </w:rPr>
            </w:pPr>
            <w:r>
              <w:rPr>
                <w:i/>
                <w:sz w:val="18"/>
              </w:rPr>
              <w:t>Δίνεται σύντομη περιγραφή του τρόπου με τον οποίο το επενδυτικό σχέδιο υποστηρίζει είτε την επέκταση της επιχείρησης σε </w:t>
            </w:r>
            <w:r>
              <w:rPr>
                <w:i/>
                <w:sz w:val="18"/>
              </w:rPr>
              <w:t>νέες δραστηριότητες ή νέα προϊόντα, είτε την αύξηση της παραγωγικής δυναμικότητας της επιχείρησης, είτε την βελτίωση του περιβαλλοντικού αποτυπώματος της επιχείρησης/ Εξοικονόμηση Ενέργειας, είτε την αξιοποίηση πατεντών ή και καινοτομιών, είτε την αναβάθμιση της ποιότητας του παραγόμενου προϊόντος.</w:t>
            </w:r>
          </w:p>
        </w:tc>
      </w:tr>
      <w:tr>
        <w:trPr>
          <w:trHeight w:val="230" w:hRule="exact"/>
        </w:trPr>
        <w:tc>
          <w:tcPr>
            <w:tcW w:w="816" w:type="dxa"/>
            <w:shd w:val="clear" w:color="auto" w:fill="D9D9D9"/>
          </w:tcPr>
          <w:p>
            <w:pPr>
              <w:pStyle w:val="TableParagraph"/>
              <w:spacing w:line="219" w:lineRule="exact"/>
              <w:ind w:right="357"/>
              <w:jc w:val="right"/>
              <w:rPr>
                <w:sz w:val="18"/>
              </w:rPr>
            </w:pPr>
            <w:r>
              <w:rPr>
                <w:sz w:val="18"/>
              </w:rPr>
              <w:t>3</w:t>
            </w:r>
          </w:p>
        </w:tc>
        <w:tc>
          <w:tcPr>
            <w:tcW w:w="8824" w:type="dxa"/>
            <w:shd w:val="clear" w:color="auto" w:fill="D9D9D9"/>
          </w:tcPr>
          <w:p>
            <w:pPr>
              <w:pStyle w:val="TableParagraph"/>
              <w:spacing w:line="219" w:lineRule="exact"/>
              <w:ind w:left="103"/>
              <w:rPr>
                <w:b/>
                <w:sz w:val="18"/>
              </w:rPr>
            </w:pPr>
            <w:r>
              <w:rPr>
                <w:b/>
                <w:sz w:val="18"/>
              </w:rPr>
              <w:t>Σύντομη Περιγραφή του προϋπολογισμού του επενδυτικού σχεδίου</w:t>
            </w:r>
          </w:p>
        </w:tc>
      </w:tr>
      <w:tr>
        <w:trPr>
          <w:trHeight w:val="1988" w:hRule="exact"/>
        </w:trPr>
        <w:tc>
          <w:tcPr>
            <w:tcW w:w="9640" w:type="dxa"/>
            <w:gridSpan w:val="2"/>
          </w:tcPr>
          <w:p>
            <w:pPr>
              <w:pStyle w:val="TableParagraph"/>
              <w:spacing w:before="9"/>
              <w:rPr>
                <w:b/>
                <w:sz w:val="17"/>
              </w:rPr>
            </w:pPr>
          </w:p>
          <w:p>
            <w:pPr>
              <w:pStyle w:val="TableParagraph"/>
              <w:spacing w:before="1"/>
              <w:ind w:left="100" w:right="582"/>
              <w:rPr>
                <w:i/>
                <w:sz w:val="18"/>
              </w:rPr>
            </w:pPr>
            <w:r>
              <w:rPr>
                <w:i/>
                <w:sz w:val="18"/>
              </w:rPr>
              <w:t>Δίνεται σύντομη περιγραφή του προϋπολογισμού ανά κατηγορία δαπάνης και αιτιολόγηση για το πως κάθε δαπάνη </w:t>
            </w:r>
            <w:r>
              <w:rPr>
                <w:i/>
                <w:sz w:val="18"/>
              </w:rPr>
              <w:t>συνεισφέρει στους στόχους του επενδυτικού σχεδίου και στην κάλυψη των αναγκών της επιχείρησης. Συνδυάζεται και με ενότητα «Γ» παρούσης.</w:t>
            </w:r>
          </w:p>
        </w:tc>
      </w:tr>
    </w:tbl>
    <w:p>
      <w:pPr>
        <w:spacing w:after="0"/>
        <w:rPr>
          <w:sz w:val="18"/>
        </w:rPr>
        <w:sectPr>
          <w:headerReference w:type="default" r:id="rId52"/>
          <w:footerReference w:type="default" r:id="rId53"/>
          <w:pgSz w:w="11910" w:h="16840"/>
          <w:pgMar w:header="0" w:footer="1214" w:top="1260" w:bottom="1400" w:left="1020" w:right="1020"/>
          <w:pgNumType w:start="4"/>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8824"/>
      </w:tblGrid>
      <w:tr>
        <w:trPr>
          <w:trHeight w:val="228" w:hRule="exact"/>
        </w:trPr>
        <w:tc>
          <w:tcPr>
            <w:tcW w:w="816" w:type="dxa"/>
            <w:shd w:val="clear" w:color="auto" w:fill="D9D9D9"/>
          </w:tcPr>
          <w:p>
            <w:pPr>
              <w:pStyle w:val="TableParagraph"/>
              <w:spacing w:line="219" w:lineRule="exact"/>
              <w:ind w:right="2"/>
              <w:jc w:val="center"/>
              <w:rPr>
                <w:sz w:val="18"/>
              </w:rPr>
            </w:pPr>
            <w:r>
              <w:rPr>
                <w:sz w:val="18"/>
              </w:rPr>
              <w:t>4</w:t>
            </w:r>
          </w:p>
        </w:tc>
        <w:tc>
          <w:tcPr>
            <w:tcW w:w="8824" w:type="dxa"/>
            <w:shd w:val="clear" w:color="auto" w:fill="D9D9D9"/>
          </w:tcPr>
          <w:p>
            <w:pPr>
              <w:pStyle w:val="TableParagraph"/>
              <w:spacing w:line="219" w:lineRule="exact"/>
              <w:ind w:left="103"/>
              <w:rPr>
                <w:b/>
                <w:sz w:val="18"/>
              </w:rPr>
            </w:pPr>
            <w:r>
              <w:rPr>
                <w:b/>
                <w:sz w:val="18"/>
              </w:rPr>
              <w:t>Περιγραφή του Χρονοδιαγράμματος επενδυτικού σχεδίου και προτεινόμενη Ημερομηνία Έναρξης</w:t>
            </w:r>
          </w:p>
        </w:tc>
      </w:tr>
      <w:tr>
        <w:trPr>
          <w:trHeight w:val="2062" w:hRule="exact"/>
        </w:trPr>
        <w:tc>
          <w:tcPr>
            <w:tcW w:w="9640" w:type="dxa"/>
            <w:gridSpan w:val="2"/>
          </w:tcPr>
          <w:p>
            <w:pPr>
              <w:pStyle w:val="TableParagraph"/>
              <w:rPr>
                <w:b/>
                <w:sz w:val="18"/>
              </w:rPr>
            </w:pPr>
          </w:p>
          <w:p>
            <w:pPr>
              <w:pStyle w:val="TableParagraph"/>
              <w:ind w:left="100"/>
              <w:rPr>
                <w:i/>
                <w:sz w:val="18"/>
              </w:rPr>
            </w:pPr>
            <w:r>
              <w:rPr>
                <w:i/>
                <w:sz w:val="18"/>
              </w:rPr>
              <w:t>Δίνεται σύντομη περιγραφή του χρονοδιαγράμματος υλοποίησης του επενδυτικού σχεδίου , η ημερομηνία που προτείνεται ως</w:t>
            </w:r>
          </w:p>
          <w:p>
            <w:pPr>
              <w:pStyle w:val="TableParagraph"/>
              <w:spacing w:before="1"/>
              <w:ind w:left="100"/>
              <w:rPr>
                <w:i/>
                <w:sz w:val="20"/>
              </w:rPr>
            </w:pPr>
            <w:r>
              <w:rPr>
                <w:i/>
                <w:sz w:val="18"/>
              </w:rPr>
              <w:t>«έναρξη» του επενδυτικού στοιχείου και οι «μήνες» υλοποίησης </w:t>
            </w:r>
            <w:r>
              <w:rPr>
                <w:i/>
                <w:sz w:val="20"/>
              </w:rPr>
              <w:t>(σ.σ. λαμβάνονται υπόψη οι προβλέψεις διάρκειας και </w:t>
            </w:r>
            <w:r>
              <w:rPr>
                <w:i/>
                <w:sz w:val="20"/>
              </w:rPr>
              <w:t>περιόδου επιλεξιμότητας δαπάνης της Πρόσκλησης)</w:t>
            </w:r>
          </w:p>
        </w:tc>
      </w:tr>
    </w:tbl>
    <w:p>
      <w:pPr>
        <w:pStyle w:val="BodyText"/>
        <w:rPr>
          <w:b/>
          <w:sz w:val="20"/>
        </w:rPr>
      </w:pPr>
    </w:p>
    <w:p>
      <w:pPr>
        <w:pStyle w:val="BodyText"/>
        <w:rPr>
          <w:b/>
          <w:sz w:val="20"/>
        </w:rPr>
      </w:pPr>
    </w:p>
    <w:p>
      <w:pPr>
        <w:pStyle w:val="BodyText"/>
        <w:spacing w:before="10"/>
        <w:rPr>
          <w:b/>
          <w:sz w:val="19"/>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5"/>
        <w:gridCol w:w="2504"/>
        <w:gridCol w:w="2412"/>
        <w:gridCol w:w="2549"/>
      </w:tblGrid>
      <w:tr>
        <w:trPr>
          <w:trHeight w:val="499" w:hRule="exact"/>
        </w:trPr>
        <w:tc>
          <w:tcPr>
            <w:tcW w:w="9640" w:type="dxa"/>
            <w:gridSpan w:val="4"/>
          </w:tcPr>
          <w:p>
            <w:pPr>
              <w:pStyle w:val="TableParagraph"/>
              <w:spacing w:line="243" w:lineRule="exact" w:before="1"/>
              <w:ind w:left="1212" w:right="1218"/>
              <w:jc w:val="center"/>
              <w:rPr>
                <w:b/>
                <w:sz w:val="20"/>
              </w:rPr>
            </w:pPr>
            <w:r>
              <w:rPr>
                <w:b/>
                <w:sz w:val="20"/>
              </w:rPr>
              <w:t>ΚΥΚΛΟΣ ΕΡΓΑΣΙΩΝ ΕΠΙΧΕΙΡΗΣΗΣ</w:t>
            </w:r>
          </w:p>
          <w:p>
            <w:pPr>
              <w:pStyle w:val="TableParagraph"/>
              <w:spacing w:line="243" w:lineRule="exact"/>
              <w:ind w:left="1212" w:right="1219"/>
              <w:jc w:val="center"/>
              <w:rPr>
                <w:i/>
                <w:sz w:val="20"/>
              </w:rPr>
            </w:pPr>
            <w:r>
              <w:rPr>
                <w:i/>
                <w:sz w:val="20"/>
              </w:rPr>
              <w:t>(σε ευρώ)</w:t>
            </w:r>
          </w:p>
        </w:tc>
      </w:tr>
      <w:tr>
        <w:trPr>
          <w:trHeight w:val="255" w:hRule="exact"/>
        </w:trPr>
        <w:tc>
          <w:tcPr>
            <w:tcW w:w="2175" w:type="dxa"/>
          </w:tcPr>
          <w:p>
            <w:pPr>
              <w:pStyle w:val="TableParagraph"/>
              <w:spacing w:line="244" w:lineRule="exact"/>
              <w:ind w:left="391"/>
              <w:rPr>
                <w:b/>
                <w:sz w:val="20"/>
              </w:rPr>
            </w:pPr>
            <w:r>
              <w:rPr>
                <w:b/>
                <w:sz w:val="20"/>
              </w:rPr>
              <w:t>Οικονομικό έτος</w:t>
            </w:r>
          </w:p>
        </w:tc>
        <w:tc>
          <w:tcPr>
            <w:tcW w:w="2504" w:type="dxa"/>
          </w:tcPr>
          <w:p>
            <w:pPr>
              <w:pStyle w:val="TableParagraph"/>
              <w:spacing w:line="195" w:lineRule="exact"/>
              <w:ind w:left="103"/>
              <w:rPr>
                <w:b/>
                <w:sz w:val="16"/>
              </w:rPr>
            </w:pPr>
            <w:r>
              <w:rPr>
                <w:b/>
                <w:sz w:val="16"/>
              </w:rPr>
              <w:t>ΟΙΚΟΝΟΜΙΚΟ ΕΤΟΣ Ν-2</w:t>
            </w:r>
          </w:p>
        </w:tc>
        <w:tc>
          <w:tcPr>
            <w:tcW w:w="2412" w:type="dxa"/>
          </w:tcPr>
          <w:p>
            <w:pPr>
              <w:pStyle w:val="TableParagraph"/>
              <w:spacing w:line="195" w:lineRule="exact"/>
              <w:ind w:left="100"/>
              <w:rPr>
                <w:b/>
                <w:sz w:val="16"/>
              </w:rPr>
            </w:pPr>
            <w:r>
              <w:rPr>
                <w:b/>
                <w:sz w:val="16"/>
              </w:rPr>
              <w:t>ΟΙΚΟΝΟΜΙΚΟ ΕΤΟΣ Ν-1</w:t>
            </w:r>
          </w:p>
        </w:tc>
        <w:tc>
          <w:tcPr>
            <w:tcW w:w="2549" w:type="dxa"/>
          </w:tcPr>
          <w:p>
            <w:pPr>
              <w:pStyle w:val="TableParagraph"/>
              <w:spacing w:line="195" w:lineRule="exact"/>
              <w:ind w:left="100"/>
              <w:rPr>
                <w:b/>
                <w:sz w:val="16"/>
              </w:rPr>
            </w:pPr>
            <w:r>
              <w:rPr>
                <w:b/>
                <w:sz w:val="16"/>
              </w:rPr>
              <w:t>ΟΙΚΟΝΟΜΙΚΟ ΕΤΟΣ Ν</w:t>
            </w:r>
            <w:r>
              <w:rPr>
                <w:b/>
                <w:color w:val="FF0000"/>
                <w:sz w:val="16"/>
              </w:rPr>
              <w:t>*</w:t>
            </w:r>
          </w:p>
        </w:tc>
      </w:tr>
      <w:tr>
        <w:trPr>
          <w:trHeight w:val="478" w:hRule="exact"/>
        </w:trPr>
        <w:tc>
          <w:tcPr>
            <w:tcW w:w="2175" w:type="dxa"/>
          </w:tcPr>
          <w:p>
            <w:pPr>
              <w:pStyle w:val="TableParagraph"/>
              <w:spacing w:line="219" w:lineRule="exact"/>
              <w:ind w:left="100"/>
              <w:rPr>
                <w:b/>
                <w:sz w:val="18"/>
              </w:rPr>
            </w:pPr>
            <w:r>
              <w:rPr>
                <w:b/>
                <w:sz w:val="18"/>
              </w:rPr>
              <w:t>Κύκλος εργασιών (€)</w:t>
            </w:r>
          </w:p>
        </w:tc>
        <w:tc>
          <w:tcPr>
            <w:tcW w:w="2504" w:type="dxa"/>
          </w:tcPr>
          <w:p>
            <w:pPr/>
          </w:p>
        </w:tc>
        <w:tc>
          <w:tcPr>
            <w:tcW w:w="2412" w:type="dxa"/>
          </w:tcPr>
          <w:p>
            <w:pPr/>
          </w:p>
        </w:tc>
        <w:tc>
          <w:tcPr>
            <w:tcW w:w="2549" w:type="dxa"/>
          </w:tcPr>
          <w:p>
            <w:pPr/>
          </w:p>
        </w:tc>
      </w:tr>
    </w:tbl>
    <w:p>
      <w:pPr>
        <w:pStyle w:val="BodyText"/>
        <w:spacing w:before="4"/>
        <w:rPr>
          <w:b/>
          <w:sz w:val="15"/>
        </w:rPr>
      </w:pPr>
    </w:p>
    <w:p>
      <w:pPr>
        <w:pStyle w:val="BodyText"/>
        <w:spacing w:before="57"/>
        <w:ind w:left="682"/>
      </w:pPr>
      <w:r>
        <w:rPr>
          <w:color w:val="FF0000"/>
        </w:rPr>
        <w:t>*</w:t>
      </w:r>
      <w:r>
        <w:rPr/>
        <w:t>Ν: η πιο πρόσφατα κλεισμένη εταιρική χρήση</w:t>
      </w:r>
    </w:p>
    <w:p>
      <w:pPr>
        <w:pStyle w:val="BodyText"/>
        <w:rPr>
          <w:sz w:val="20"/>
        </w:rPr>
      </w:pPr>
    </w:p>
    <w:p>
      <w:pPr>
        <w:pStyle w:val="BodyText"/>
        <w:rPr>
          <w:sz w:val="20"/>
        </w:rPr>
      </w:pPr>
    </w:p>
    <w:p>
      <w:pPr>
        <w:pStyle w:val="BodyText"/>
        <w:spacing w:before="6"/>
        <w:rPr>
          <w:sz w:val="16"/>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3"/>
        <w:gridCol w:w="1491"/>
        <w:gridCol w:w="1438"/>
        <w:gridCol w:w="1419"/>
        <w:gridCol w:w="1561"/>
        <w:gridCol w:w="1699"/>
      </w:tblGrid>
      <w:tr>
        <w:trPr>
          <w:trHeight w:val="742" w:hRule="exact"/>
        </w:trPr>
        <w:tc>
          <w:tcPr>
            <w:tcW w:w="9640" w:type="dxa"/>
            <w:gridSpan w:val="6"/>
          </w:tcPr>
          <w:p>
            <w:pPr>
              <w:pStyle w:val="TableParagraph"/>
              <w:spacing w:line="243" w:lineRule="exact"/>
              <w:ind w:left="1212" w:right="1219"/>
              <w:jc w:val="center"/>
              <w:rPr>
                <w:b/>
                <w:sz w:val="20"/>
              </w:rPr>
            </w:pPr>
            <w:r>
              <w:rPr>
                <w:b/>
                <w:sz w:val="20"/>
              </w:rPr>
              <w:t>ΠΡΟΤΕΙΝΟΜΕΝΗ ΚΑΤΑΝΟΜΗ ΣΥΝΟΛΙΚΟΥ ΠΡΟΫΠΟΛΟΓΙΣΜΟΥ ΕΠΕΝΔΥΤΙΚΟΥ ΣΧΕΔΙΟΥ</w:t>
            </w:r>
          </w:p>
          <w:p>
            <w:pPr>
              <w:pStyle w:val="TableParagraph"/>
              <w:spacing w:line="243" w:lineRule="exact"/>
              <w:ind w:left="1212" w:right="1219"/>
              <w:jc w:val="center"/>
              <w:rPr>
                <w:b/>
                <w:sz w:val="20"/>
              </w:rPr>
            </w:pPr>
            <w:r>
              <w:rPr>
                <w:b/>
                <w:sz w:val="20"/>
              </w:rPr>
              <w:t>(σ.σ. Συσχετισμός με απαιτήσεις Κριτηρίου Β.5)</w:t>
            </w:r>
          </w:p>
          <w:p>
            <w:pPr>
              <w:pStyle w:val="TableParagraph"/>
              <w:spacing w:line="243" w:lineRule="exact"/>
              <w:ind w:left="1212" w:right="1219"/>
              <w:jc w:val="center"/>
              <w:rPr>
                <w:i/>
                <w:sz w:val="20"/>
              </w:rPr>
            </w:pPr>
            <w:r>
              <w:rPr>
                <w:i/>
                <w:sz w:val="20"/>
              </w:rPr>
              <w:t>(σε ευρώ)</w:t>
            </w:r>
          </w:p>
        </w:tc>
      </w:tr>
      <w:tr>
        <w:trPr>
          <w:trHeight w:val="254" w:hRule="exact"/>
        </w:trPr>
        <w:tc>
          <w:tcPr>
            <w:tcW w:w="2033" w:type="dxa"/>
          </w:tcPr>
          <w:p>
            <w:pPr>
              <w:pStyle w:val="TableParagraph"/>
              <w:spacing w:line="243" w:lineRule="exact"/>
              <w:ind w:left="322"/>
              <w:rPr>
                <w:b/>
                <w:sz w:val="20"/>
              </w:rPr>
            </w:pPr>
            <w:r>
              <w:rPr>
                <w:b/>
                <w:sz w:val="20"/>
              </w:rPr>
              <w:t>Οικονομικό έτος</w:t>
            </w:r>
          </w:p>
        </w:tc>
        <w:tc>
          <w:tcPr>
            <w:tcW w:w="1491" w:type="dxa"/>
          </w:tcPr>
          <w:p>
            <w:pPr>
              <w:pStyle w:val="TableParagraph"/>
              <w:spacing w:line="243" w:lineRule="exact"/>
              <w:ind w:left="516" w:right="518"/>
              <w:jc w:val="center"/>
              <w:rPr>
                <w:b/>
                <w:sz w:val="20"/>
              </w:rPr>
            </w:pPr>
            <w:r>
              <w:rPr>
                <w:b/>
                <w:sz w:val="20"/>
              </w:rPr>
              <w:t>2018</w:t>
            </w:r>
          </w:p>
        </w:tc>
        <w:tc>
          <w:tcPr>
            <w:tcW w:w="1438" w:type="dxa"/>
          </w:tcPr>
          <w:p>
            <w:pPr>
              <w:pStyle w:val="TableParagraph"/>
              <w:spacing w:line="243" w:lineRule="exact"/>
              <w:ind w:left="491" w:right="491"/>
              <w:jc w:val="center"/>
              <w:rPr>
                <w:b/>
                <w:sz w:val="20"/>
              </w:rPr>
            </w:pPr>
            <w:r>
              <w:rPr>
                <w:b/>
                <w:sz w:val="20"/>
              </w:rPr>
              <w:t>2019</w:t>
            </w:r>
          </w:p>
        </w:tc>
        <w:tc>
          <w:tcPr>
            <w:tcW w:w="1419" w:type="dxa"/>
          </w:tcPr>
          <w:p>
            <w:pPr>
              <w:pStyle w:val="TableParagraph"/>
              <w:spacing w:line="243" w:lineRule="exact"/>
              <w:ind w:left="479" w:right="483"/>
              <w:jc w:val="center"/>
              <w:rPr>
                <w:b/>
                <w:sz w:val="20"/>
              </w:rPr>
            </w:pPr>
            <w:r>
              <w:rPr>
                <w:b/>
                <w:sz w:val="20"/>
              </w:rPr>
              <w:t>2020</w:t>
            </w:r>
          </w:p>
        </w:tc>
        <w:tc>
          <w:tcPr>
            <w:tcW w:w="1561" w:type="dxa"/>
          </w:tcPr>
          <w:p>
            <w:pPr>
              <w:pStyle w:val="TableParagraph"/>
              <w:spacing w:line="243" w:lineRule="exact"/>
              <w:ind w:left="548" w:right="556"/>
              <w:jc w:val="center"/>
              <w:rPr>
                <w:b/>
                <w:sz w:val="20"/>
              </w:rPr>
            </w:pPr>
            <w:r>
              <w:rPr>
                <w:b/>
                <w:sz w:val="20"/>
              </w:rPr>
              <w:t>2021</w:t>
            </w:r>
          </w:p>
        </w:tc>
        <w:tc>
          <w:tcPr>
            <w:tcW w:w="1699" w:type="dxa"/>
          </w:tcPr>
          <w:p>
            <w:pPr>
              <w:pStyle w:val="TableParagraph"/>
              <w:spacing w:line="243" w:lineRule="exact"/>
              <w:ind w:left="618" w:right="625"/>
              <w:jc w:val="center"/>
              <w:rPr>
                <w:b/>
                <w:sz w:val="20"/>
              </w:rPr>
            </w:pPr>
            <w:r>
              <w:rPr>
                <w:b/>
                <w:sz w:val="20"/>
              </w:rPr>
              <w:t>2022</w:t>
            </w:r>
          </w:p>
        </w:tc>
      </w:tr>
      <w:tr>
        <w:trPr>
          <w:trHeight w:val="478" w:hRule="exact"/>
        </w:trPr>
        <w:tc>
          <w:tcPr>
            <w:tcW w:w="2033" w:type="dxa"/>
          </w:tcPr>
          <w:p>
            <w:pPr>
              <w:pStyle w:val="TableParagraph"/>
              <w:ind w:left="100" w:right="274"/>
              <w:rPr>
                <w:b/>
                <w:sz w:val="18"/>
              </w:rPr>
            </w:pPr>
            <w:r>
              <w:rPr>
                <w:b/>
                <w:sz w:val="18"/>
              </w:rPr>
              <w:t>Συνολικός Π/Υ Επενδ. Σχεδίου ανά έτος</w:t>
            </w:r>
          </w:p>
        </w:tc>
        <w:tc>
          <w:tcPr>
            <w:tcW w:w="1491" w:type="dxa"/>
          </w:tcPr>
          <w:p>
            <w:pPr/>
          </w:p>
        </w:tc>
        <w:tc>
          <w:tcPr>
            <w:tcW w:w="1438" w:type="dxa"/>
          </w:tcPr>
          <w:p>
            <w:pPr/>
          </w:p>
        </w:tc>
        <w:tc>
          <w:tcPr>
            <w:tcW w:w="1419" w:type="dxa"/>
          </w:tcPr>
          <w:p>
            <w:pPr/>
          </w:p>
        </w:tc>
        <w:tc>
          <w:tcPr>
            <w:tcW w:w="1561" w:type="dxa"/>
          </w:tcPr>
          <w:p>
            <w:pPr/>
          </w:p>
        </w:tc>
        <w:tc>
          <w:tcPr>
            <w:tcW w:w="1699" w:type="dxa"/>
          </w:tcPr>
          <w:p>
            <w:pPr/>
          </w:p>
        </w:tc>
      </w:tr>
      <w:tr>
        <w:trPr>
          <w:trHeight w:val="413" w:hRule="exact"/>
        </w:trPr>
        <w:tc>
          <w:tcPr>
            <w:tcW w:w="2033" w:type="dxa"/>
          </w:tcPr>
          <w:p>
            <w:pPr>
              <w:pStyle w:val="TableParagraph"/>
              <w:spacing w:line="243" w:lineRule="exact"/>
              <w:ind w:left="100"/>
              <w:rPr>
                <w:b/>
                <w:sz w:val="20"/>
              </w:rPr>
            </w:pPr>
            <w:r>
              <w:rPr>
                <w:b/>
                <w:sz w:val="20"/>
              </w:rPr>
              <w:t>Σύνολα</w:t>
            </w:r>
          </w:p>
        </w:tc>
        <w:tc>
          <w:tcPr>
            <w:tcW w:w="1491" w:type="dxa"/>
          </w:tcPr>
          <w:p>
            <w:pPr/>
          </w:p>
        </w:tc>
        <w:tc>
          <w:tcPr>
            <w:tcW w:w="1438" w:type="dxa"/>
          </w:tcPr>
          <w:p>
            <w:pPr/>
          </w:p>
        </w:tc>
        <w:tc>
          <w:tcPr>
            <w:tcW w:w="1419" w:type="dxa"/>
          </w:tcPr>
          <w:p>
            <w:pPr/>
          </w:p>
        </w:tc>
        <w:tc>
          <w:tcPr>
            <w:tcW w:w="1561" w:type="dxa"/>
          </w:tcPr>
          <w:p>
            <w:pPr/>
          </w:p>
        </w:tc>
        <w:tc>
          <w:tcPr>
            <w:tcW w:w="1699" w:type="dxa"/>
          </w:tcPr>
          <w:p>
            <w:pPr/>
          </w:p>
        </w:tc>
      </w:tr>
    </w:tbl>
    <w:p>
      <w:pPr>
        <w:pStyle w:val="BodyText"/>
        <w:rPr>
          <w:sz w:val="20"/>
        </w:rPr>
      </w:pPr>
    </w:p>
    <w:p>
      <w:pPr>
        <w:pStyle w:val="BodyText"/>
        <w:rPr>
          <w:sz w:val="20"/>
        </w:rPr>
      </w:pPr>
    </w:p>
    <w:p>
      <w:pPr>
        <w:pStyle w:val="BodyText"/>
        <w:rPr>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8824"/>
      </w:tblGrid>
      <w:tr>
        <w:trPr>
          <w:trHeight w:val="376" w:hRule="exact"/>
        </w:trPr>
        <w:tc>
          <w:tcPr>
            <w:tcW w:w="9640" w:type="dxa"/>
            <w:gridSpan w:val="2"/>
            <w:shd w:val="clear" w:color="auto" w:fill="A6A6A6"/>
          </w:tcPr>
          <w:p>
            <w:pPr>
              <w:pStyle w:val="TableParagraph"/>
              <w:ind w:left="100"/>
              <w:rPr>
                <w:b/>
                <w:sz w:val="20"/>
              </w:rPr>
            </w:pPr>
            <w:r>
              <w:rPr>
                <w:b/>
                <w:sz w:val="20"/>
              </w:rPr>
              <w:t>Β.3  ΣΤΟΙΧΕΙΑ ΕΠΙΧΕΙΡΗΣΗΣ</w:t>
            </w:r>
          </w:p>
        </w:tc>
      </w:tr>
      <w:tr>
        <w:trPr>
          <w:trHeight w:val="230" w:hRule="exact"/>
        </w:trPr>
        <w:tc>
          <w:tcPr>
            <w:tcW w:w="816" w:type="dxa"/>
            <w:shd w:val="clear" w:color="auto" w:fill="D9D9D9"/>
          </w:tcPr>
          <w:p>
            <w:pPr>
              <w:pStyle w:val="TableParagraph"/>
              <w:spacing w:line="219" w:lineRule="exact"/>
              <w:ind w:right="357"/>
              <w:jc w:val="right"/>
              <w:rPr>
                <w:sz w:val="18"/>
              </w:rPr>
            </w:pPr>
            <w:r>
              <w:rPr>
                <w:sz w:val="18"/>
              </w:rPr>
              <w:t>1</w:t>
            </w:r>
          </w:p>
        </w:tc>
        <w:tc>
          <w:tcPr>
            <w:tcW w:w="8824" w:type="dxa"/>
            <w:shd w:val="clear" w:color="auto" w:fill="D9D9D9"/>
          </w:tcPr>
          <w:p>
            <w:pPr>
              <w:pStyle w:val="TableParagraph"/>
              <w:spacing w:line="219" w:lineRule="exact"/>
              <w:ind w:left="103"/>
              <w:rPr>
                <w:b/>
                <w:sz w:val="18"/>
              </w:rPr>
            </w:pPr>
            <w:r>
              <w:rPr>
                <w:b/>
                <w:sz w:val="18"/>
              </w:rPr>
              <w:t>Κερδοφορία</w:t>
            </w:r>
          </w:p>
        </w:tc>
      </w:tr>
      <w:tr>
        <w:trPr>
          <w:trHeight w:val="2427" w:hRule="exact"/>
        </w:trPr>
        <w:tc>
          <w:tcPr>
            <w:tcW w:w="9640" w:type="dxa"/>
            <w:gridSpan w:val="2"/>
          </w:tcPr>
          <w:p>
            <w:pPr>
              <w:pStyle w:val="TableParagraph"/>
              <w:rPr>
                <w:sz w:val="18"/>
              </w:rPr>
            </w:pPr>
          </w:p>
          <w:p>
            <w:pPr>
              <w:pStyle w:val="TableParagraph"/>
              <w:ind w:left="100" w:right="177"/>
              <w:rPr>
                <w:i/>
                <w:sz w:val="18"/>
              </w:rPr>
            </w:pPr>
            <w:r>
              <w:rPr>
                <w:i/>
                <w:sz w:val="18"/>
              </w:rPr>
              <w:t>Αναφέρεται ο αριθμός των τριών τελευταίων χρήσεων που ήταν κερδοφόρες και δίνεται παραπομπή στο σχετικό τεκμηριωτικό </w:t>
            </w:r>
            <w:r>
              <w:rPr>
                <w:i/>
                <w:sz w:val="18"/>
              </w:rPr>
              <w:t>υλικό.</w:t>
            </w:r>
          </w:p>
        </w:tc>
      </w:tr>
      <w:tr>
        <w:trPr>
          <w:trHeight w:val="230" w:hRule="exact"/>
        </w:trPr>
        <w:tc>
          <w:tcPr>
            <w:tcW w:w="816" w:type="dxa"/>
            <w:shd w:val="clear" w:color="auto" w:fill="D9D9D9"/>
          </w:tcPr>
          <w:p>
            <w:pPr>
              <w:pStyle w:val="TableParagraph"/>
              <w:spacing w:line="219" w:lineRule="exact"/>
              <w:ind w:right="357"/>
              <w:jc w:val="right"/>
              <w:rPr>
                <w:sz w:val="18"/>
              </w:rPr>
            </w:pPr>
            <w:r>
              <w:rPr>
                <w:sz w:val="18"/>
              </w:rPr>
              <w:t>2</w:t>
            </w:r>
          </w:p>
        </w:tc>
        <w:tc>
          <w:tcPr>
            <w:tcW w:w="8824" w:type="dxa"/>
            <w:shd w:val="clear" w:color="auto" w:fill="D9D9D9"/>
          </w:tcPr>
          <w:p>
            <w:pPr>
              <w:pStyle w:val="TableParagraph"/>
              <w:spacing w:line="219" w:lineRule="exact"/>
              <w:ind w:left="103"/>
              <w:rPr>
                <w:b/>
                <w:sz w:val="18"/>
              </w:rPr>
            </w:pPr>
            <w:r>
              <w:rPr>
                <w:b/>
                <w:sz w:val="18"/>
              </w:rPr>
              <w:t>Απασχολούμενοι</w:t>
            </w:r>
          </w:p>
        </w:tc>
      </w:tr>
      <w:tr>
        <w:trPr>
          <w:trHeight w:val="2208" w:hRule="exact"/>
        </w:trPr>
        <w:tc>
          <w:tcPr>
            <w:tcW w:w="9640" w:type="dxa"/>
            <w:gridSpan w:val="2"/>
          </w:tcPr>
          <w:p>
            <w:pPr>
              <w:pStyle w:val="TableParagraph"/>
              <w:rPr>
                <w:sz w:val="18"/>
              </w:rPr>
            </w:pPr>
          </w:p>
          <w:p>
            <w:pPr>
              <w:pStyle w:val="TableParagraph"/>
              <w:ind w:left="100"/>
              <w:rPr>
                <w:i/>
                <w:sz w:val="18"/>
              </w:rPr>
            </w:pPr>
            <w:r>
              <w:rPr>
                <w:i/>
                <w:sz w:val="18"/>
              </w:rPr>
              <w:t>Αναφέρεται ο αριθμός των ΕΜΕ για το 2018 και δίνεται παραπομπή στο σχετικό τεκμηριωτικό υλικό.</w:t>
            </w:r>
          </w:p>
        </w:tc>
      </w:tr>
    </w:tbl>
    <w:p>
      <w:pPr>
        <w:spacing w:after="0"/>
        <w:rPr>
          <w:sz w:val="18"/>
        </w:rPr>
        <w:sectPr>
          <w:headerReference w:type="default" r:id="rId54"/>
          <w:footerReference w:type="default" r:id="rId55"/>
          <w:pgSz w:w="11910" w:h="16840"/>
          <w:pgMar w:header="0" w:footer="1528" w:top="1260" w:bottom="1720" w:left="1020" w:right="1020"/>
          <w:pgNumType w:start="5"/>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8824"/>
      </w:tblGrid>
      <w:tr>
        <w:trPr>
          <w:trHeight w:val="228" w:hRule="exact"/>
        </w:trPr>
        <w:tc>
          <w:tcPr>
            <w:tcW w:w="816" w:type="dxa"/>
            <w:shd w:val="clear" w:color="auto" w:fill="D9D9D9"/>
          </w:tcPr>
          <w:p>
            <w:pPr>
              <w:pStyle w:val="TableParagraph"/>
              <w:spacing w:line="219" w:lineRule="exact"/>
              <w:ind w:right="2"/>
              <w:jc w:val="center"/>
              <w:rPr>
                <w:sz w:val="18"/>
              </w:rPr>
            </w:pPr>
            <w:r>
              <w:rPr>
                <w:sz w:val="18"/>
              </w:rPr>
              <w:t>3</w:t>
            </w:r>
          </w:p>
        </w:tc>
        <w:tc>
          <w:tcPr>
            <w:tcW w:w="8824" w:type="dxa"/>
            <w:shd w:val="clear" w:color="auto" w:fill="D9D9D9"/>
          </w:tcPr>
          <w:p>
            <w:pPr>
              <w:pStyle w:val="TableParagraph"/>
              <w:spacing w:line="219" w:lineRule="exact"/>
              <w:ind w:left="103"/>
              <w:rPr>
                <w:b/>
                <w:sz w:val="18"/>
              </w:rPr>
            </w:pPr>
            <w:r>
              <w:rPr>
                <w:b/>
                <w:sz w:val="18"/>
              </w:rPr>
              <w:t>Οργανωτική Διάρθρωση</w:t>
            </w:r>
          </w:p>
        </w:tc>
      </w:tr>
      <w:tr>
        <w:trPr>
          <w:trHeight w:val="3161" w:hRule="exact"/>
        </w:trPr>
        <w:tc>
          <w:tcPr>
            <w:tcW w:w="9640" w:type="dxa"/>
            <w:gridSpan w:val="2"/>
          </w:tcPr>
          <w:p>
            <w:pPr>
              <w:pStyle w:val="TableParagraph"/>
              <w:rPr>
                <w:sz w:val="18"/>
              </w:rPr>
            </w:pPr>
          </w:p>
          <w:p>
            <w:pPr>
              <w:pStyle w:val="TableParagraph"/>
              <w:ind w:left="458" w:right="188"/>
              <w:rPr>
                <w:i/>
                <w:sz w:val="20"/>
              </w:rPr>
            </w:pPr>
            <w:r>
              <w:rPr>
                <w:i/>
                <w:sz w:val="18"/>
              </w:rPr>
              <w:t>Δίνεται σύντομη περιγραφή αναφορικά με τυχόν Σύστημα Διασφάλισης ποιότητας, είτε Εμπορικό Σήμα, είτε Ιστοσελίδα, </w:t>
            </w:r>
            <w:r>
              <w:rPr>
                <w:i/>
                <w:sz w:val="18"/>
              </w:rPr>
              <w:t>είτε Οργανωμένη προβολή (σε επαγγελματικούς οδηγούς, μηχανές αναζήτησης, κ.α.) διαθέτει η επιχείρηση καθώς και περιγραφή τυχόν άλλων στοιχείων που θεωρείτε ότι βελτιώνουν την οργανωτική διάρθρωση της επιχείρησης. Επίσης, να καταγραφεί πατέντα που τυχόν εφαρμόζεται ή βράβευση της επιχείρησης ή αποδεδειγμένη/αναγνωρισμένη καινοτομία που εφαρμόζεται, εφόσον κρίνει ο προτείνων ότι συνεισφέρει στην οργανωτική διάρθρωσή του και λειτουργία, συνεισφέροντας στην Αξιοπιστία υλοποίησης της Επένδυσης </w:t>
            </w:r>
            <w:r>
              <w:rPr>
                <w:i/>
                <w:sz w:val="20"/>
              </w:rPr>
              <w:t>(σ.σ. βλέπετε και Κριτήριο2.3 ) δίνεται παραπομπή στο σχετικό τεκμηριωτικό υλικό.</w:t>
            </w:r>
          </w:p>
        </w:tc>
      </w:tr>
    </w:tbl>
    <w:p>
      <w:pPr>
        <w:pStyle w:val="BodyText"/>
        <w:rPr>
          <w:sz w:val="20"/>
        </w:rPr>
      </w:pPr>
    </w:p>
    <w:p>
      <w:pPr>
        <w:pStyle w:val="BodyText"/>
        <w:spacing w:before="11"/>
        <w:rPr>
          <w:sz w:val="19"/>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8824"/>
      </w:tblGrid>
      <w:tr>
        <w:trPr>
          <w:trHeight w:val="376" w:hRule="exact"/>
        </w:trPr>
        <w:tc>
          <w:tcPr>
            <w:tcW w:w="9640" w:type="dxa"/>
            <w:gridSpan w:val="2"/>
            <w:shd w:val="clear" w:color="auto" w:fill="A6A6A6"/>
          </w:tcPr>
          <w:p>
            <w:pPr>
              <w:pStyle w:val="TableParagraph"/>
              <w:ind w:left="100"/>
              <w:rPr>
                <w:b/>
                <w:sz w:val="20"/>
              </w:rPr>
            </w:pPr>
            <w:r>
              <w:rPr>
                <w:b/>
                <w:sz w:val="20"/>
              </w:rPr>
              <w:t>Β.4  ΕΠΙΠΤΩΣΕΙΣ ΕΠΕΝΔΥΤΙΚΟΥ ΣΧΕΔΙΟΥ ΣΤΗΝ ΕΠΙΧΕΙΡΗΣΗ ΚΑΙ ΣΤΗΝ ΠΕΡΙΦΕΡΕΙΑΚΗ ΟΙΚΟΝΟΜΙΑ</w:t>
            </w:r>
          </w:p>
        </w:tc>
      </w:tr>
      <w:tr>
        <w:trPr>
          <w:trHeight w:val="230" w:hRule="exact"/>
        </w:trPr>
        <w:tc>
          <w:tcPr>
            <w:tcW w:w="816" w:type="dxa"/>
            <w:shd w:val="clear" w:color="auto" w:fill="D9D9D9"/>
          </w:tcPr>
          <w:p>
            <w:pPr>
              <w:pStyle w:val="TableParagraph"/>
              <w:spacing w:line="219" w:lineRule="exact"/>
              <w:ind w:right="357"/>
              <w:jc w:val="right"/>
              <w:rPr>
                <w:sz w:val="18"/>
              </w:rPr>
            </w:pPr>
            <w:r>
              <w:rPr>
                <w:sz w:val="18"/>
              </w:rPr>
              <w:t>1</w:t>
            </w:r>
          </w:p>
        </w:tc>
        <w:tc>
          <w:tcPr>
            <w:tcW w:w="8824" w:type="dxa"/>
            <w:shd w:val="clear" w:color="auto" w:fill="D9D9D9"/>
          </w:tcPr>
          <w:p>
            <w:pPr>
              <w:pStyle w:val="TableParagraph"/>
              <w:spacing w:line="219" w:lineRule="exact"/>
              <w:ind w:left="103"/>
              <w:rPr>
                <w:b/>
                <w:sz w:val="18"/>
              </w:rPr>
            </w:pPr>
            <w:r>
              <w:rPr>
                <w:b/>
                <w:sz w:val="18"/>
              </w:rPr>
              <w:t>Επιπτώσεις στην Περιφερειακή Οικονομία</w:t>
            </w:r>
          </w:p>
        </w:tc>
      </w:tr>
      <w:tr>
        <w:trPr>
          <w:trHeight w:val="3965" w:hRule="exact"/>
        </w:trPr>
        <w:tc>
          <w:tcPr>
            <w:tcW w:w="9640" w:type="dxa"/>
            <w:gridSpan w:val="2"/>
          </w:tcPr>
          <w:p>
            <w:pPr>
              <w:pStyle w:val="TableParagraph"/>
              <w:rPr>
                <w:sz w:val="18"/>
              </w:rPr>
            </w:pPr>
          </w:p>
          <w:p>
            <w:pPr>
              <w:pStyle w:val="TableParagraph"/>
              <w:ind w:left="100" w:right="127"/>
              <w:rPr>
                <w:i/>
                <w:sz w:val="18"/>
              </w:rPr>
            </w:pPr>
            <w:r>
              <w:rPr>
                <w:i/>
                <w:sz w:val="18"/>
              </w:rPr>
              <w:t>Περιγράφονται οι επιπτώσεις του έχει το επενδυτικό σχέδιο στην Επιχείρηση και στην οικονομία της περιφέρειας Θεσσαλίας με </w:t>
            </w:r>
            <w:r>
              <w:rPr>
                <w:i/>
                <w:sz w:val="18"/>
              </w:rPr>
              <w:t>ποιοτικό και ποσοτικό τρόπο. (σχετικά βλέπετε Κριτήριο 3.1)</w:t>
            </w:r>
          </w:p>
          <w:p>
            <w:pPr>
              <w:pStyle w:val="TableParagraph"/>
              <w:spacing w:before="1"/>
              <w:ind w:left="100" w:right="150"/>
              <w:rPr>
                <w:i/>
                <w:sz w:val="18"/>
              </w:rPr>
            </w:pPr>
            <w:r>
              <w:rPr>
                <w:i/>
                <w:sz w:val="18"/>
              </w:rPr>
              <w:t>α) τις επιπτώσεις στην ίδια την επιχείρηση και β) τις επιπτώσεις στην περιφερειακή οικονομία. Για την περίπτωση (α) </w:t>
            </w:r>
            <w:r>
              <w:rPr>
                <w:i/>
                <w:sz w:val="18"/>
              </w:rPr>
              <w:t>λαμβάνεται υπόψη κάθε παράγοντας που επιδρά στην ίδια την επιχείρηση, με επικέντρωση στην εισαγωγή καινοτομιών τεχνολογικών ή και μη τεχνολογικών, αποτελεσμάτων έρευνας, στη βελτίωση της παραγωγικής διαδικασίας, στη βελτίωση ή ανάπτυξη νέων προϊόντων, ανταγωνιστικών προϊόντων, στην προβλεπόμενη (αύξηση) κύκλου εργασιών ή και κερδών. Για την περίπτωση (β) λαμβάνεται υπόψη η στήριξη της ΑΠΑ κλάδων υψηλής προστιθέμενης αξίας για την Περιφέρεια, οι επιπτώσεις από την Επένδυση σε άλλες οικονομικές δραστηριότητες στην Περιφέρεια και η πολλαπλασιαστικότητα / μόχλευση που μπορεί αυτή να επιφέρει σε επίπεδο Περιφέρειας, η μείωση του κόστους στις αλυσίδες αξίας και εφοδιασμού των τελικών προϊόντων στα οποία συνεισφέρει η Επένδυση, η ενσωμάτωση αποτελεσμάτων έρευνας στη λειτουργία της επιχείρησης που προσδίδουν σε περιφερειακό επίπεδο, η εξωστρέφεια καθώς και οτιδήποτε άλλο κρίνει ο επενδυτής ότι συνεισφέρει στην ενδυνάμωση της τοπικής οικονομίας.</w:t>
            </w:r>
          </w:p>
        </w:tc>
      </w:tr>
      <w:tr>
        <w:trPr>
          <w:trHeight w:val="230" w:hRule="exact"/>
        </w:trPr>
        <w:tc>
          <w:tcPr>
            <w:tcW w:w="816" w:type="dxa"/>
            <w:shd w:val="clear" w:color="auto" w:fill="D9D9D9"/>
          </w:tcPr>
          <w:p>
            <w:pPr>
              <w:pStyle w:val="TableParagraph"/>
              <w:spacing w:line="219" w:lineRule="exact"/>
              <w:ind w:right="357"/>
              <w:jc w:val="right"/>
              <w:rPr>
                <w:sz w:val="18"/>
              </w:rPr>
            </w:pPr>
            <w:r>
              <w:rPr>
                <w:sz w:val="18"/>
              </w:rPr>
              <w:t>2</w:t>
            </w:r>
          </w:p>
        </w:tc>
        <w:tc>
          <w:tcPr>
            <w:tcW w:w="8824" w:type="dxa"/>
            <w:shd w:val="clear" w:color="auto" w:fill="D9D9D9"/>
          </w:tcPr>
          <w:p>
            <w:pPr>
              <w:pStyle w:val="TableParagraph"/>
              <w:spacing w:line="219" w:lineRule="exact"/>
              <w:ind w:left="103"/>
              <w:rPr>
                <w:b/>
                <w:sz w:val="18"/>
              </w:rPr>
            </w:pPr>
            <w:r>
              <w:rPr>
                <w:b/>
                <w:sz w:val="18"/>
              </w:rPr>
              <w:t>Νέες Θέσεις Εργασίας</w:t>
            </w:r>
          </w:p>
        </w:tc>
      </w:tr>
      <w:tr>
        <w:trPr>
          <w:trHeight w:val="1549" w:hRule="exact"/>
        </w:trPr>
        <w:tc>
          <w:tcPr>
            <w:tcW w:w="9640" w:type="dxa"/>
            <w:gridSpan w:val="2"/>
          </w:tcPr>
          <w:p>
            <w:pPr>
              <w:pStyle w:val="TableParagraph"/>
              <w:spacing w:before="9"/>
              <w:rPr>
                <w:sz w:val="17"/>
              </w:rPr>
            </w:pPr>
          </w:p>
          <w:p>
            <w:pPr>
              <w:pStyle w:val="TableParagraph"/>
              <w:spacing w:before="1"/>
              <w:ind w:left="100"/>
              <w:rPr>
                <w:i/>
                <w:sz w:val="18"/>
              </w:rPr>
            </w:pPr>
            <w:r>
              <w:rPr>
                <w:i/>
                <w:sz w:val="18"/>
              </w:rPr>
              <w:t>Αναφέρεται ο αριθμός των ΕΜΕ που θα δημιουργηθούν στο </w:t>
            </w:r>
            <w:r>
              <w:rPr>
                <w:i/>
                <w:sz w:val="18"/>
                <w:u w:val="single"/>
              </w:rPr>
              <w:t>πλαίσιο του Επιχορηγούμενου Προϋπολογισμού του Επενδυτικού </w:t>
            </w:r>
            <w:r>
              <w:rPr>
                <w:i/>
                <w:sz w:val="18"/>
                <w:u w:val="single"/>
              </w:rPr>
              <w:t>Σχεδίου.</w:t>
            </w:r>
          </w:p>
        </w:tc>
      </w:tr>
    </w:tbl>
    <w:p>
      <w:pPr>
        <w:pStyle w:val="BodyText"/>
        <w:rPr>
          <w:sz w:val="20"/>
        </w:rPr>
      </w:pPr>
    </w:p>
    <w:p>
      <w:pPr>
        <w:pStyle w:val="BodyText"/>
        <w:rPr>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8824"/>
      </w:tblGrid>
      <w:tr>
        <w:trPr>
          <w:trHeight w:val="376" w:hRule="exact"/>
        </w:trPr>
        <w:tc>
          <w:tcPr>
            <w:tcW w:w="9640" w:type="dxa"/>
            <w:gridSpan w:val="2"/>
            <w:shd w:val="clear" w:color="auto" w:fill="A6A6A6"/>
          </w:tcPr>
          <w:p>
            <w:pPr>
              <w:pStyle w:val="TableParagraph"/>
              <w:ind w:left="100"/>
              <w:rPr>
                <w:b/>
                <w:sz w:val="20"/>
              </w:rPr>
            </w:pPr>
            <w:r>
              <w:rPr>
                <w:b/>
                <w:sz w:val="20"/>
              </w:rPr>
              <w:t>Β.5  Στρατηγική RIS3 Περιφέρειας Θεσσαλίας</w:t>
            </w:r>
          </w:p>
        </w:tc>
      </w:tr>
      <w:tr>
        <w:trPr>
          <w:trHeight w:val="230" w:hRule="exact"/>
        </w:trPr>
        <w:tc>
          <w:tcPr>
            <w:tcW w:w="816" w:type="dxa"/>
            <w:shd w:val="clear" w:color="auto" w:fill="D9D9D9"/>
          </w:tcPr>
          <w:p>
            <w:pPr>
              <w:pStyle w:val="TableParagraph"/>
              <w:spacing w:line="219" w:lineRule="exact"/>
              <w:ind w:right="2"/>
              <w:jc w:val="center"/>
              <w:rPr>
                <w:sz w:val="18"/>
              </w:rPr>
            </w:pPr>
            <w:r>
              <w:rPr>
                <w:sz w:val="18"/>
              </w:rPr>
              <w:t>1</w:t>
            </w:r>
          </w:p>
        </w:tc>
        <w:tc>
          <w:tcPr>
            <w:tcW w:w="8824" w:type="dxa"/>
            <w:shd w:val="clear" w:color="auto" w:fill="D9D9D9"/>
          </w:tcPr>
          <w:p>
            <w:pPr>
              <w:pStyle w:val="TableParagraph"/>
              <w:spacing w:line="219" w:lineRule="exact"/>
              <w:ind w:left="103"/>
              <w:rPr>
                <w:b/>
                <w:sz w:val="18"/>
              </w:rPr>
            </w:pPr>
            <w:r>
              <w:rPr>
                <w:b/>
                <w:sz w:val="18"/>
              </w:rPr>
              <w:t>RIS3</w:t>
            </w:r>
          </w:p>
        </w:tc>
      </w:tr>
      <w:tr>
        <w:trPr>
          <w:trHeight w:val="1987" w:hRule="exact"/>
        </w:trPr>
        <w:tc>
          <w:tcPr>
            <w:tcW w:w="9640" w:type="dxa"/>
            <w:gridSpan w:val="2"/>
          </w:tcPr>
          <w:p>
            <w:pPr>
              <w:pStyle w:val="TableParagraph"/>
              <w:rPr>
                <w:sz w:val="18"/>
              </w:rPr>
            </w:pPr>
          </w:p>
          <w:p>
            <w:pPr>
              <w:pStyle w:val="TableParagraph"/>
              <w:ind w:left="100" w:right="325"/>
              <w:rPr>
                <w:i/>
                <w:sz w:val="18"/>
              </w:rPr>
            </w:pPr>
            <w:r>
              <w:rPr>
                <w:i/>
                <w:sz w:val="18"/>
              </w:rPr>
              <w:t>Δίνεται ο ΚΑΔ που αφορά κατά κύριο λόγο το επενδυτικό σχέδιο (όπως αυτός δηλώθηκε στο έντυπο ηλεκτρονικής υποβολής </w:t>
            </w:r>
            <w:r>
              <w:rPr>
                <w:i/>
                <w:sz w:val="18"/>
              </w:rPr>
              <w:t>στο ΠΣΚΕ) και σημειώνεται εάν αφορά ΚΑΔ που εμπίπτει σε έναν από τους τομείς της RIS3 της Περιφέρειας Θεσσαλίας, όπως καταγράφονται στο Παράρτημα «Πίνακας επιλέξιμων ΚΑΔ» της Πρόσκλησης.</w:t>
            </w:r>
          </w:p>
        </w:tc>
      </w:tr>
    </w:tbl>
    <w:p>
      <w:pPr>
        <w:spacing w:after="0"/>
        <w:rPr>
          <w:sz w:val="18"/>
        </w:rPr>
        <w:sectPr>
          <w:headerReference w:type="default" r:id="rId56"/>
          <w:footerReference w:type="default" r:id="rId57"/>
          <w:pgSz w:w="11910" w:h="16840"/>
          <w:pgMar w:header="0" w:footer="1214" w:top="1260" w:bottom="1400" w:left="1020" w:right="1020"/>
          <w:pgNumType w:start="6"/>
        </w:sectPr>
      </w:pPr>
    </w:p>
    <w:p>
      <w:pPr>
        <w:pStyle w:val="BodyText"/>
        <w:rPr>
          <w:sz w:val="20"/>
        </w:rPr>
      </w:pPr>
      <w:r>
        <w:rPr/>
        <w:drawing>
          <wp:anchor distT="0" distB="0" distL="0" distR="0" allowOverlap="1" layoutInCell="1" locked="0" behindDoc="0" simplePos="0" relativeHeight="1312">
            <wp:simplePos x="0" y="0"/>
            <wp:positionH relativeFrom="page">
              <wp:posOffset>7628890</wp:posOffset>
            </wp:positionH>
            <wp:positionV relativeFrom="page">
              <wp:posOffset>6260465</wp:posOffset>
            </wp:positionV>
            <wp:extent cx="782320" cy="466725"/>
            <wp:effectExtent l="0" t="0" r="0" b="0"/>
            <wp:wrapNone/>
            <wp:docPr id="33" name="image9.jpeg" descr=""/>
            <wp:cNvGraphicFramePr>
              <a:graphicFrameLocks noChangeAspect="1"/>
            </wp:cNvGraphicFramePr>
            <a:graphic>
              <a:graphicData uri="http://schemas.openxmlformats.org/drawingml/2006/picture">
                <pic:pic>
                  <pic:nvPicPr>
                    <pic:cNvPr id="34" name="image9.jpeg"/>
                    <pic:cNvPicPr/>
                  </pic:nvPicPr>
                  <pic:blipFill>
                    <a:blip r:embed="rId47" cstate="print"/>
                    <a:stretch>
                      <a:fillRect/>
                    </a:stretch>
                  </pic:blipFill>
                  <pic:spPr>
                    <a:xfrm>
                      <a:off x="0" y="0"/>
                      <a:ext cx="782320" cy="466725"/>
                    </a:xfrm>
                    <a:prstGeom prst="rect">
                      <a:avLst/>
                    </a:prstGeom>
                  </pic:spPr>
                </pic:pic>
              </a:graphicData>
            </a:graphic>
          </wp:anchor>
        </w:drawing>
      </w:r>
    </w:p>
    <w:p>
      <w:pPr>
        <w:pStyle w:val="BodyText"/>
        <w:spacing w:before="10"/>
        <w:rPr>
          <w:sz w:val="23"/>
        </w:rPr>
      </w:pPr>
    </w:p>
    <w:p>
      <w:pPr>
        <w:spacing w:before="60"/>
        <w:ind w:left="2794" w:right="0" w:firstLine="0"/>
        <w:jc w:val="left"/>
        <w:rPr>
          <w:b/>
          <w:sz w:val="20"/>
        </w:rPr>
      </w:pPr>
      <w:r>
        <w:rPr>
          <w:b/>
          <w:sz w:val="20"/>
        </w:rPr>
        <w:t>Γ. </w:t>
      </w:r>
      <w:r>
        <w:rPr>
          <w:b/>
          <w:sz w:val="20"/>
          <w:u w:val="single"/>
        </w:rPr>
        <w:t>ΑΝΑΛΥΣΗ ΤΟΥ ΕΠΙΧΟΡΗΓΟΥΜΕΝΟΥ ΠΡΟΫΠΟΛΟΓΙΣΜΟΥ ΤΟΥ ΕΠΕΝΔΥΤΙΚΟΥ ΣΧΕΔΙΟΥ ΑΝΑ ΚΑΤΗΓΟΡΙΑ ΔΑΠΑΝΗΣ</w:t>
      </w:r>
    </w:p>
    <w:p>
      <w:pPr>
        <w:spacing w:before="120"/>
        <w:ind w:left="3250" w:right="0" w:firstLine="0"/>
        <w:jc w:val="left"/>
        <w:rPr>
          <w:b/>
          <w:i/>
          <w:sz w:val="20"/>
        </w:rPr>
      </w:pPr>
      <w:r>
        <w:rPr>
          <w:b/>
          <w:i/>
          <w:sz w:val="20"/>
        </w:rPr>
        <w:t>Απαιτείται τεκμηρίωση κόστους ανά κατηγορία δαπάνης σύμφωνα με τις απαιτήσεις της Πρόσκλησης.</w:t>
      </w:r>
    </w:p>
    <w:p>
      <w:pPr>
        <w:pStyle w:val="BodyText"/>
        <w:rPr>
          <w:b/>
          <w:i/>
          <w:sz w:val="20"/>
        </w:rPr>
      </w:pPr>
    </w:p>
    <w:p>
      <w:pPr>
        <w:pStyle w:val="BodyText"/>
        <w:spacing w:before="1"/>
        <w:rPr>
          <w:b/>
          <w:i/>
          <w:sz w:val="20"/>
        </w:rPr>
      </w:pPr>
    </w:p>
    <w:p>
      <w:pPr>
        <w:spacing w:before="1"/>
        <w:ind w:left="106" w:right="0" w:firstLine="0"/>
        <w:jc w:val="left"/>
        <w:rPr>
          <w:b/>
          <w:i/>
          <w:sz w:val="20"/>
        </w:rPr>
      </w:pPr>
      <w:r>
        <w:rPr>
          <w:b/>
          <w:i/>
          <w:sz w:val="20"/>
          <w:u w:val="single"/>
        </w:rPr>
        <w:t>σ.σ.1 </w:t>
      </w:r>
      <w:r>
        <w:rPr>
          <w:b/>
          <w:i/>
          <w:sz w:val="20"/>
        </w:rPr>
        <w:t>: δεν περιλαμβάνεται στους παρακάτω Πίνακες δαπάνη ΦΠΑ, εφόσον δεν αποτελεί επιλέξιμη δαπάνη</w:t>
      </w:r>
    </w:p>
    <w:p>
      <w:pPr>
        <w:spacing w:before="120"/>
        <w:ind w:left="106" w:right="0" w:firstLine="0"/>
        <w:jc w:val="left"/>
        <w:rPr>
          <w:b/>
          <w:i/>
          <w:sz w:val="20"/>
        </w:rPr>
      </w:pPr>
      <w:r>
        <w:rPr>
          <w:b/>
          <w:i/>
          <w:sz w:val="20"/>
          <w:u w:val="single"/>
        </w:rPr>
        <w:t>σ.σ.2 </w:t>
      </w:r>
      <w:r>
        <w:rPr>
          <w:b/>
          <w:i/>
          <w:sz w:val="20"/>
        </w:rPr>
        <w:t>: εφόσον Επενδυτική πρόταση έχει Προϋπολογισμό μεγαλύτερο του Επιχορηγούμενου Προϋπολογισμού, η διαφορά πρέπει να καταγραφεί διακριτά στα σχετικά πεδία</w:t>
      </w:r>
    </w:p>
    <w:p>
      <w:pPr>
        <w:pStyle w:val="BodyText"/>
        <w:rPr>
          <w:b/>
          <w:i/>
          <w:sz w:val="20"/>
        </w:rPr>
      </w:pPr>
    </w:p>
    <w:p>
      <w:pPr>
        <w:pStyle w:val="BodyText"/>
        <w:spacing w:before="2"/>
        <w:rPr>
          <w:b/>
          <w:i/>
          <w:sz w:val="15"/>
        </w:rPr>
      </w:pPr>
    </w:p>
    <w:p>
      <w:pPr>
        <w:tabs>
          <w:tab w:pos="1887" w:val="left" w:leader="none"/>
        </w:tabs>
        <w:spacing w:before="59"/>
        <w:ind w:left="1527" w:right="0" w:firstLine="0"/>
        <w:jc w:val="left"/>
        <w:rPr>
          <w:b/>
          <w:sz w:val="20"/>
        </w:rPr>
      </w:pPr>
      <w:r>
        <w:rPr>
          <w:b/>
          <w:sz w:val="20"/>
          <w:u w:val="single"/>
        </w:rPr>
        <w:t>1.</w:t>
      </w:r>
      <w:r>
        <w:rPr>
          <w:b/>
          <w:sz w:val="20"/>
        </w:rPr>
        <w:tab/>
      </w:r>
      <w:r>
        <w:rPr>
          <w:b/>
          <w:sz w:val="20"/>
          <w:u w:val="single"/>
        </w:rPr>
        <w:t>Κόστος για επενδύσεις σε στοιχεία ενεργητικού – Επενδύσεις σε κτιριακές εγκαταστάσεις χώρος </w:t>
      </w:r>
      <w:r>
        <w:rPr>
          <w:b/>
          <w:sz w:val="20"/>
        </w:rPr>
        <w:t>(De</w:t>
      </w:r>
      <w:r>
        <w:rPr>
          <w:b/>
          <w:spacing w:val="-17"/>
          <w:sz w:val="20"/>
        </w:rPr>
        <w:t> </w:t>
      </w:r>
      <w:r>
        <w:rPr>
          <w:b/>
          <w:sz w:val="20"/>
        </w:rPr>
        <w:t>Minimis)</w:t>
      </w:r>
    </w:p>
    <w:p>
      <w:pPr>
        <w:pStyle w:val="BodyText"/>
        <w:spacing w:before="1" w:after="1"/>
        <w:rPr>
          <w:b/>
          <w:sz w:val="10"/>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0"/>
        <w:gridCol w:w="2410"/>
        <w:gridCol w:w="1706"/>
        <w:gridCol w:w="1560"/>
        <w:gridCol w:w="1985"/>
        <w:gridCol w:w="3824"/>
      </w:tblGrid>
      <w:tr>
        <w:trPr>
          <w:trHeight w:val="1109" w:hRule="exact"/>
        </w:trPr>
        <w:tc>
          <w:tcPr>
            <w:tcW w:w="3260" w:type="dxa"/>
            <w:shd w:val="clear" w:color="auto" w:fill="E6E6E6"/>
          </w:tcPr>
          <w:p>
            <w:pPr>
              <w:pStyle w:val="TableParagraph"/>
              <w:rPr>
                <w:b/>
                <w:sz w:val="20"/>
              </w:rPr>
            </w:pPr>
          </w:p>
          <w:p>
            <w:pPr>
              <w:pStyle w:val="TableParagraph"/>
              <w:spacing w:before="122"/>
              <w:ind w:left="103"/>
              <w:rPr>
                <w:b/>
                <w:sz w:val="20"/>
              </w:rPr>
            </w:pPr>
            <w:r>
              <w:rPr>
                <w:b/>
                <w:sz w:val="20"/>
              </w:rPr>
              <w:t>Αντικείμενο Εργασιών</w:t>
            </w:r>
          </w:p>
        </w:tc>
        <w:tc>
          <w:tcPr>
            <w:tcW w:w="2410" w:type="dxa"/>
            <w:shd w:val="clear" w:color="auto" w:fill="E6E6E6"/>
          </w:tcPr>
          <w:p>
            <w:pPr>
              <w:pStyle w:val="TableParagraph"/>
              <w:spacing w:line="360" w:lineRule="auto"/>
              <w:ind w:left="211" w:right="212"/>
              <w:jc w:val="center"/>
              <w:rPr>
                <w:b/>
                <w:sz w:val="20"/>
              </w:rPr>
            </w:pPr>
            <w:r>
              <w:rPr>
                <w:b/>
                <w:sz w:val="20"/>
              </w:rPr>
              <w:t>Περιγραφή, αιτιολογία και Τεχνικά Χαρακτηριστικά</w:t>
            </w:r>
          </w:p>
        </w:tc>
        <w:tc>
          <w:tcPr>
            <w:tcW w:w="1706" w:type="dxa"/>
            <w:shd w:val="clear" w:color="auto" w:fill="E6E6E6"/>
          </w:tcPr>
          <w:p>
            <w:pPr>
              <w:pStyle w:val="TableParagraph"/>
              <w:rPr>
                <w:b/>
                <w:sz w:val="20"/>
              </w:rPr>
            </w:pPr>
          </w:p>
          <w:p>
            <w:pPr>
              <w:pStyle w:val="TableParagraph"/>
              <w:spacing w:before="122"/>
              <w:ind w:left="103"/>
              <w:rPr>
                <w:b/>
                <w:sz w:val="20"/>
              </w:rPr>
            </w:pPr>
            <w:r>
              <w:rPr>
                <w:b/>
                <w:sz w:val="20"/>
              </w:rPr>
              <w:t>Τιμή μονάδας</w:t>
            </w:r>
          </w:p>
        </w:tc>
        <w:tc>
          <w:tcPr>
            <w:tcW w:w="1560" w:type="dxa"/>
            <w:shd w:val="clear" w:color="auto" w:fill="E6E6E6"/>
          </w:tcPr>
          <w:p>
            <w:pPr>
              <w:pStyle w:val="TableParagraph"/>
              <w:spacing w:before="10"/>
              <w:rPr>
                <w:b/>
                <w:sz w:val="14"/>
              </w:rPr>
            </w:pPr>
          </w:p>
          <w:p>
            <w:pPr>
              <w:pStyle w:val="TableParagraph"/>
              <w:spacing w:line="360" w:lineRule="auto"/>
              <w:ind w:left="103"/>
              <w:rPr>
                <w:b/>
                <w:sz w:val="20"/>
              </w:rPr>
            </w:pPr>
            <w:r>
              <w:rPr>
                <w:b/>
                <w:sz w:val="20"/>
              </w:rPr>
              <w:t>Μονάδα </w:t>
            </w:r>
            <w:r>
              <w:rPr>
                <w:b/>
                <w:w w:val="95"/>
                <w:sz w:val="20"/>
              </w:rPr>
              <w:t>Μέτρησης</w:t>
            </w:r>
          </w:p>
        </w:tc>
        <w:tc>
          <w:tcPr>
            <w:tcW w:w="1985" w:type="dxa"/>
            <w:shd w:val="clear" w:color="auto" w:fill="E6E6E6"/>
          </w:tcPr>
          <w:p>
            <w:pPr>
              <w:pStyle w:val="TableParagraph"/>
              <w:rPr>
                <w:b/>
                <w:sz w:val="20"/>
              </w:rPr>
            </w:pPr>
          </w:p>
          <w:p>
            <w:pPr>
              <w:pStyle w:val="TableParagraph"/>
              <w:spacing w:before="122"/>
              <w:ind w:left="100"/>
              <w:rPr>
                <w:b/>
                <w:sz w:val="20"/>
              </w:rPr>
            </w:pPr>
            <w:r>
              <w:rPr>
                <w:b/>
                <w:sz w:val="20"/>
              </w:rPr>
              <w:t>Συνολικό Κόστος</w:t>
            </w:r>
          </w:p>
        </w:tc>
        <w:tc>
          <w:tcPr>
            <w:tcW w:w="3824" w:type="dxa"/>
            <w:shd w:val="clear" w:color="auto" w:fill="E6E6E6"/>
          </w:tcPr>
          <w:p>
            <w:pPr>
              <w:pStyle w:val="TableParagraph"/>
              <w:rPr>
                <w:b/>
                <w:sz w:val="20"/>
              </w:rPr>
            </w:pPr>
          </w:p>
          <w:p>
            <w:pPr>
              <w:pStyle w:val="TableParagraph"/>
              <w:spacing w:before="122"/>
              <w:ind w:left="100"/>
              <w:rPr>
                <w:b/>
                <w:sz w:val="20"/>
              </w:rPr>
            </w:pPr>
            <w:r>
              <w:rPr>
                <w:b/>
                <w:sz w:val="20"/>
              </w:rPr>
              <w:t>Προμηθευτής (Επωνυμία και ΑΦΜ)*</w:t>
            </w:r>
          </w:p>
        </w:tc>
      </w:tr>
      <w:tr>
        <w:trPr>
          <w:trHeight w:val="377" w:hRule="exact"/>
        </w:trPr>
        <w:tc>
          <w:tcPr>
            <w:tcW w:w="3260" w:type="dxa"/>
          </w:tcPr>
          <w:p>
            <w:pPr/>
          </w:p>
        </w:tc>
        <w:tc>
          <w:tcPr>
            <w:tcW w:w="2410" w:type="dxa"/>
          </w:tcPr>
          <w:p>
            <w:pPr/>
          </w:p>
        </w:tc>
        <w:tc>
          <w:tcPr>
            <w:tcW w:w="1706" w:type="dxa"/>
          </w:tcPr>
          <w:p>
            <w:pPr/>
          </w:p>
        </w:tc>
        <w:tc>
          <w:tcPr>
            <w:tcW w:w="1560" w:type="dxa"/>
          </w:tcPr>
          <w:p>
            <w:pPr/>
          </w:p>
        </w:tc>
        <w:tc>
          <w:tcPr>
            <w:tcW w:w="1985" w:type="dxa"/>
          </w:tcPr>
          <w:p>
            <w:pPr/>
          </w:p>
        </w:tc>
        <w:tc>
          <w:tcPr>
            <w:tcW w:w="3824" w:type="dxa"/>
          </w:tcPr>
          <w:p>
            <w:pPr/>
          </w:p>
        </w:tc>
      </w:tr>
      <w:tr>
        <w:trPr>
          <w:trHeight w:val="374" w:hRule="exact"/>
        </w:trPr>
        <w:tc>
          <w:tcPr>
            <w:tcW w:w="3260" w:type="dxa"/>
          </w:tcPr>
          <w:p>
            <w:pPr/>
          </w:p>
        </w:tc>
        <w:tc>
          <w:tcPr>
            <w:tcW w:w="2410" w:type="dxa"/>
          </w:tcPr>
          <w:p>
            <w:pPr/>
          </w:p>
        </w:tc>
        <w:tc>
          <w:tcPr>
            <w:tcW w:w="1706" w:type="dxa"/>
          </w:tcPr>
          <w:p>
            <w:pPr/>
          </w:p>
        </w:tc>
        <w:tc>
          <w:tcPr>
            <w:tcW w:w="1560" w:type="dxa"/>
          </w:tcPr>
          <w:p>
            <w:pPr/>
          </w:p>
        </w:tc>
        <w:tc>
          <w:tcPr>
            <w:tcW w:w="1985" w:type="dxa"/>
          </w:tcPr>
          <w:p>
            <w:pPr/>
          </w:p>
        </w:tc>
        <w:tc>
          <w:tcPr>
            <w:tcW w:w="3824" w:type="dxa"/>
          </w:tcPr>
          <w:p>
            <w:pPr/>
          </w:p>
        </w:tc>
      </w:tr>
      <w:tr>
        <w:trPr>
          <w:trHeight w:val="377" w:hRule="exact"/>
        </w:trPr>
        <w:tc>
          <w:tcPr>
            <w:tcW w:w="3260" w:type="dxa"/>
            <w:shd w:val="clear" w:color="auto" w:fill="FCE9D9"/>
          </w:tcPr>
          <w:p>
            <w:pPr>
              <w:pStyle w:val="TableParagraph"/>
              <w:spacing w:line="243" w:lineRule="exact"/>
              <w:ind w:left="1299" w:right="1299"/>
              <w:jc w:val="center"/>
              <w:rPr>
                <w:b/>
                <w:sz w:val="20"/>
              </w:rPr>
            </w:pPr>
            <w:r>
              <w:rPr>
                <w:b/>
                <w:sz w:val="20"/>
              </w:rPr>
              <w:t>Σύνολο</w:t>
            </w:r>
          </w:p>
        </w:tc>
        <w:tc>
          <w:tcPr>
            <w:tcW w:w="2410" w:type="dxa"/>
            <w:shd w:val="clear" w:color="auto" w:fill="FCE9D9"/>
          </w:tcPr>
          <w:p>
            <w:pPr/>
          </w:p>
        </w:tc>
        <w:tc>
          <w:tcPr>
            <w:tcW w:w="1706" w:type="dxa"/>
            <w:shd w:val="clear" w:color="auto" w:fill="FCE9D9"/>
          </w:tcPr>
          <w:p>
            <w:pPr/>
          </w:p>
        </w:tc>
        <w:tc>
          <w:tcPr>
            <w:tcW w:w="1560" w:type="dxa"/>
            <w:shd w:val="clear" w:color="auto" w:fill="FCE9D9"/>
          </w:tcPr>
          <w:p>
            <w:pPr/>
          </w:p>
        </w:tc>
        <w:tc>
          <w:tcPr>
            <w:tcW w:w="1985" w:type="dxa"/>
            <w:shd w:val="clear" w:color="auto" w:fill="FCE9D9"/>
          </w:tcPr>
          <w:p>
            <w:pPr/>
          </w:p>
        </w:tc>
        <w:tc>
          <w:tcPr>
            <w:tcW w:w="3824" w:type="dxa"/>
            <w:shd w:val="clear" w:color="auto" w:fill="FCE9D9"/>
          </w:tcPr>
          <w:p>
            <w:pPr/>
          </w:p>
        </w:tc>
      </w:tr>
      <w:tr>
        <w:trPr>
          <w:trHeight w:val="377" w:hRule="exact"/>
        </w:trPr>
        <w:tc>
          <w:tcPr>
            <w:tcW w:w="3260" w:type="dxa"/>
            <w:shd w:val="clear" w:color="auto" w:fill="EAF0DD"/>
          </w:tcPr>
          <w:p>
            <w:pPr>
              <w:pStyle w:val="TableParagraph"/>
              <w:spacing w:line="243" w:lineRule="exact"/>
              <w:ind w:left="441"/>
              <w:rPr>
                <w:b/>
                <w:sz w:val="20"/>
              </w:rPr>
            </w:pPr>
            <w:r>
              <w:rPr>
                <w:b/>
                <w:sz w:val="20"/>
              </w:rPr>
              <w:t>Μη Επιχορηγούμενο Κόστος</w:t>
            </w:r>
          </w:p>
        </w:tc>
        <w:tc>
          <w:tcPr>
            <w:tcW w:w="2410" w:type="dxa"/>
            <w:shd w:val="clear" w:color="auto" w:fill="EAF0DD"/>
          </w:tcPr>
          <w:p>
            <w:pPr/>
          </w:p>
        </w:tc>
        <w:tc>
          <w:tcPr>
            <w:tcW w:w="1706" w:type="dxa"/>
            <w:shd w:val="clear" w:color="auto" w:fill="EAF0DD"/>
          </w:tcPr>
          <w:p>
            <w:pPr/>
          </w:p>
        </w:tc>
        <w:tc>
          <w:tcPr>
            <w:tcW w:w="1560" w:type="dxa"/>
            <w:shd w:val="clear" w:color="auto" w:fill="EAF0DD"/>
          </w:tcPr>
          <w:p>
            <w:pPr/>
          </w:p>
        </w:tc>
        <w:tc>
          <w:tcPr>
            <w:tcW w:w="1985" w:type="dxa"/>
            <w:shd w:val="clear" w:color="auto" w:fill="EAF0DD"/>
          </w:tcPr>
          <w:p>
            <w:pPr/>
          </w:p>
        </w:tc>
        <w:tc>
          <w:tcPr>
            <w:tcW w:w="3824" w:type="dxa"/>
            <w:shd w:val="clear" w:color="auto" w:fill="EAF0DD"/>
          </w:tcPr>
          <w:p>
            <w:pPr/>
          </w:p>
        </w:tc>
      </w:tr>
    </w:tbl>
    <w:p>
      <w:pPr>
        <w:tabs>
          <w:tab w:pos="1678" w:val="left" w:leader="none"/>
        </w:tabs>
        <w:spacing w:line="219" w:lineRule="exact" w:before="0"/>
        <w:ind w:left="958" w:right="0" w:firstLine="0"/>
        <w:jc w:val="left"/>
        <w:rPr>
          <w:i/>
          <w:sz w:val="18"/>
        </w:rPr>
      </w:pPr>
      <w:r>
        <w:rPr>
          <w:b/>
          <w:i/>
          <w:sz w:val="18"/>
        </w:rPr>
        <w:t>(*)</w:t>
        <w:tab/>
      </w:r>
      <w:r>
        <w:rPr>
          <w:i/>
          <w:sz w:val="18"/>
        </w:rPr>
        <w:t>Όπου</w:t>
      </w:r>
      <w:r>
        <w:rPr>
          <w:i/>
          <w:spacing w:val="-8"/>
          <w:sz w:val="18"/>
        </w:rPr>
        <w:t> </w:t>
      </w:r>
      <w:r>
        <w:rPr>
          <w:i/>
          <w:sz w:val="18"/>
        </w:rPr>
        <w:t>υπάρχει</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12"/>
        </w:rPr>
      </w:pPr>
      <w:r>
        <w:rPr/>
        <w:pict>
          <v:group style="position:absolute;margin-left:174.009995pt;margin-top:9.452692pt;width:494.05pt;height:.5pt;mso-position-horizontal-relative:page;mso-position-vertical-relative:paragraph;z-index:1288;mso-wrap-distance-left:0;mso-wrap-distance-right:0" coordorigin="3480,189" coordsize="9881,10">
            <v:line style="position:absolute" from="3485,194" to="7004,194" stroked="true" strokeweight=".48001pt" strokecolor="#000000">
              <v:stroke dashstyle="solid"/>
            </v:line>
            <v:line style="position:absolute" from="7004,194" to="7014,194" stroked="true" strokeweight=".48001pt" strokecolor="#000000">
              <v:stroke dashstyle="solid"/>
            </v:line>
            <v:line style="position:absolute" from="7014,194" to="10492,194" stroked="true" strokeweight=".48001pt" strokecolor="#000000">
              <v:stroke dashstyle="solid"/>
            </v:line>
            <v:line style="position:absolute" from="10492,194" to="10501,194" stroked="true" strokeweight=".48001pt" strokecolor="#000000">
              <v:stroke dashstyle="solid"/>
            </v:line>
            <v:line style="position:absolute" from="10501,194" to="13355,194" stroked="true" strokeweight=".48001pt" strokecolor="#000000">
              <v:stroke dashstyle="solid"/>
            </v:line>
            <w10:wrap type="topAndBottom"/>
          </v:group>
        </w:pict>
      </w:r>
    </w:p>
    <w:p>
      <w:pPr>
        <w:spacing w:after="0"/>
        <w:rPr>
          <w:sz w:val="12"/>
        </w:rPr>
        <w:sectPr>
          <w:headerReference w:type="default" r:id="rId58"/>
          <w:footerReference w:type="default" r:id="rId59"/>
          <w:pgSz w:w="16840" w:h="11910" w:orient="landscape"/>
          <w:pgMar w:header="0" w:footer="1603" w:top="1100" w:bottom="1800" w:left="460" w:right="1400"/>
        </w:sectPr>
      </w:pPr>
    </w:p>
    <w:p>
      <w:pPr>
        <w:pStyle w:val="BodyText"/>
        <w:spacing w:before="4"/>
        <w:rPr>
          <w:i/>
          <w:sz w:val="1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2"/>
        <w:gridCol w:w="2357"/>
        <w:gridCol w:w="2698"/>
        <w:gridCol w:w="2465"/>
        <w:gridCol w:w="3797"/>
      </w:tblGrid>
      <w:tr>
        <w:trPr>
          <w:trHeight w:val="1084" w:hRule="exact"/>
        </w:trPr>
        <w:tc>
          <w:tcPr>
            <w:tcW w:w="3432" w:type="dxa"/>
            <w:shd w:val="clear" w:color="auto" w:fill="E6E6E6"/>
          </w:tcPr>
          <w:p>
            <w:pPr>
              <w:pStyle w:val="TableParagraph"/>
              <w:spacing w:line="360" w:lineRule="auto" w:before="168"/>
              <w:ind w:left="103"/>
              <w:rPr>
                <w:b/>
                <w:sz w:val="20"/>
              </w:rPr>
            </w:pPr>
            <w:r>
              <w:rPr>
                <w:b/>
                <w:sz w:val="20"/>
              </w:rPr>
              <w:t>Περιγραφή, αιτιολογία και Τεχνικά Χαρακτηριστικά</w:t>
            </w:r>
          </w:p>
        </w:tc>
        <w:tc>
          <w:tcPr>
            <w:tcW w:w="2357" w:type="dxa"/>
            <w:shd w:val="clear" w:color="auto" w:fill="E6E6E6"/>
          </w:tcPr>
          <w:p>
            <w:pPr>
              <w:pStyle w:val="TableParagraph"/>
              <w:spacing w:line="360" w:lineRule="auto" w:before="168"/>
              <w:ind w:left="103"/>
              <w:rPr>
                <w:b/>
                <w:sz w:val="20"/>
              </w:rPr>
            </w:pPr>
            <w:r>
              <w:rPr>
                <w:b/>
                <w:w w:val="95"/>
                <w:sz w:val="20"/>
              </w:rPr>
              <w:t>Αγορά/Χρηματοδοτική </w:t>
            </w:r>
            <w:r>
              <w:rPr>
                <w:b/>
                <w:sz w:val="20"/>
              </w:rPr>
              <w:t>μίσθωση</w:t>
            </w:r>
          </w:p>
        </w:tc>
        <w:tc>
          <w:tcPr>
            <w:tcW w:w="2698" w:type="dxa"/>
            <w:shd w:val="clear" w:color="auto" w:fill="E6E6E6"/>
          </w:tcPr>
          <w:p>
            <w:pPr>
              <w:pStyle w:val="TableParagraph"/>
              <w:spacing w:before="11"/>
              <w:rPr>
                <w:i/>
                <w:sz w:val="28"/>
              </w:rPr>
            </w:pPr>
          </w:p>
          <w:p>
            <w:pPr>
              <w:pStyle w:val="TableParagraph"/>
              <w:ind w:left="573"/>
              <w:rPr>
                <w:b/>
                <w:sz w:val="20"/>
              </w:rPr>
            </w:pPr>
            <w:r>
              <w:rPr>
                <w:b/>
                <w:sz w:val="20"/>
              </w:rPr>
              <w:t>Κόστος Αγοράς (€)</w:t>
            </w:r>
          </w:p>
        </w:tc>
        <w:tc>
          <w:tcPr>
            <w:tcW w:w="2465" w:type="dxa"/>
            <w:shd w:val="clear" w:color="auto" w:fill="E6E6E6"/>
          </w:tcPr>
          <w:p>
            <w:pPr>
              <w:pStyle w:val="TableParagraph"/>
              <w:tabs>
                <w:tab w:pos="993" w:val="left" w:leader="none"/>
              </w:tabs>
              <w:spacing w:line="360" w:lineRule="auto" w:before="168"/>
              <w:ind w:left="100" w:right="105"/>
              <w:rPr>
                <w:b/>
                <w:sz w:val="20"/>
              </w:rPr>
            </w:pPr>
            <w:r>
              <w:rPr>
                <w:b/>
                <w:sz w:val="20"/>
              </w:rPr>
              <w:t>Κόστος</w:t>
              <w:tab/>
            </w:r>
            <w:r>
              <w:rPr>
                <w:b/>
                <w:w w:val="95"/>
                <w:sz w:val="20"/>
              </w:rPr>
              <w:t>χρηματοδοτικής </w:t>
            </w:r>
            <w:r>
              <w:rPr>
                <w:b/>
                <w:sz w:val="20"/>
              </w:rPr>
              <w:t>Μίσθωσης*</w:t>
            </w:r>
            <w:r>
              <w:rPr>
                <w:b/>
                <w:spacing w:val="-6"/>
                <w:sz w:val="20"/>
              </w:rPr>
              <w:t> </w:t>
            </w:r>
            <w:r>
              <w:rPr>
                <w:b/>
                <w:sz w:val="20"/>
              </w:rPr>
              <w:t>(€)</w:t>
            </w:r>
          </w:p>
        </w:tc>
        <w:tc>
          <w:tcPr>
            <w:tcW w:w="3797" w:type="dxa"/>
            <w:shd w:val="clear" w:color="auto" w:fill="E6E6E6"/>
          </w:tcPr>
          <w:p>
            <w:pPr>
              <w:pStyle w:val="TableParagraph"/>
              <w:spacing w:before="11"/>
              <w:rPr>
                <w:i/>
                <w:sz w:val="28"/>
              </w:rPr>
            </w:pPr>
          </w:p>
          <w:p>
            <w:pPr>
              <w:pStyle w:val="TableParagraph"/>
              <w:ind w:left="103"/>
              <w:rPr>
                <w:b/>
                <w:sz w:val="20"/>
              </w:rPr>
            </w:pPr>
            <w:r>
              <w:rPr>
                <w:b/>
                <w:sz w:val="20"/>
              </w:rPr>
              <w:t>Προμηθευτής (Επωνυμία και ΑΦΜ)**</w:t>
            </w:r>
          </w:p>
        </w:tc>
      </w:tr>
      <w:tr>
        <w:trPr>
          <w:trHeight w:val="374" w:hRule="exact"/>
        </w:trPr>
        <w:tc>
          <w:tcPr>
            <w:tcW w:w="3432" w:type="dxa"/>
          </w:tcPr>
          <w:p>
            <w:pPr/>
          </w:p>
        </w:tc>
        <w:tc>
          <w:tcPr>
            <w:tcW w:w="2357" w:type="dxa"/>
          </w:tcPr>
          <w:p>
            <w:pPr/>
          </w:p>
        </w:tc>
        <w:tc>
          <w:tcPr>
            <w:tcW w:w="2698" w:type="dxa"/>
          </w:tcPr>
          <w:p>
            <w:pPr/>
          </w:p>
        </w:tc>
        <w:tc>
          <w:tcPr>
            <w:tcW w:w="2465" w:type="dxa"/>
          </w:tcPr>
          <w:p>
            <w:pPr/>
          </w:p>
        </w:tc>
        <w:tc>
          <w:tcPr>
            <w:tcW w:w="3797" w:type="dxa"/>
          </w:tcPr>
          <w:p>
            <w:pPr/>
          </w:p>
        </w:tc>
      </w:tr>
      <w:tr>
        <w:trPr>
          <w:trHeight w:val="377" w:hRule="exact"/>
        </w:trPr>
        <w:tc>
          <w:tcPr>
            <w:tcW w:w="3432" w:type="dxa"/>
          </w:tcPr>
          <w:p>
            <w:pPr/>
          </w:p>
        </w:tc>
        <w:tc>
          <w:tcPr>
            <w:tcW w:w="2357" w:type="dxa"/>
          </w:tcPr>
          <w:p>
            <w:pPr/>
          </w:p>
        </w:tc>
        <w:tc>
          <w:tcPr>
            <w:tcW w:w="2698" w:type="dxa"/>
          </w:tcPr>
          <w:p>
            <w:pPr/>
          </w:p>
        </w:tc>
        <w:tc>
          <w:tcPr>
            <w:tcW w:w="2465" w:type="dxa"/>
          </w:tcPr>
          <w:p>
            <w:pPr/>
          </w:p>
        </w:tc>
        <w:tc>
          <w:tcPr>
            <w:tcW w:w="3797" w:type="dxa"/>
          </w:tcPr>
          <w:p>
            <w:pPr/>
          </w:p>
        </w:tc>
      </w:tr>
      <w:tr>
        <w:trPr>
          <w:trHeight w:val="994" w:hRule="exact"/>
        </w:trPr>
        <w:tc>
          <w:tcPr>
            <w:tcW w:w="3432" w:type="dxa"/>
          </w:tcPr>
          <w:p>
            <w:pPr>
              <w:pStyle w:val="TableParagraph"/>
              <w:ind w:left="103" w:right="102"/>
              <w:jc w:val="both"/>
              <w:rPr>
                <w:i/>
                <w:sz w:val="18"/>
              </w:rPr>
            </w:pPr>
            <w:r>
              <w:rPr>
                <w:i/>
                <w:sz w:val="18"/>
              </w:rPr>
              <w:t>Προμήθεια ανταλλακτικών (εφόσον </w:t>
            </w:r>
            <w:r>
              <w:rPr>
                <w:i/>
                <w:sz w:val="18"/>
              </w:rPr>
              <w:t>περιλαμβάνεται στο επενδυτικό σχέδιο, σε συμφωνία με τις προϋποθέσεις Πρόσκλησης)</w:t>
            </w:r>
          </w:p>
        </w:tc>
        <w:tc>
          <w:tcPr>
            <w:tcW w:w="2357" w:type="dxa"/>
          </w:tcPr>
          <w:p>
            <w:pPr>
              <w:pStyle w:val="TableParagraph"/>
              <w:spacing w:before="1"/>
              <w:rPr>
                <w:i/>
                <w:sz w:val="25"/>
              </w:rPr>
            </w:pPr>
          </w:p>
          <w:p>
            <w:pPr>
              <w:pStyle w:val="TableParagraph"/>
              <w:ind w:left="890" w:right="891"/>
              <w:jc w:val="center"/>
              <w:rPr>
                <w:sz w:val="20"/>
              </w:rPr>
            </w:pPr>
            <w:r>
              <w:rPr>
                <w:sz w:val="20"/>
              </w:rPr>
              <w:t>Αγορά</w:t>
            </w:r>
          </w:p>
        </w:tc>
        <w:tc>
          <w:tcPr>
            <w:tcW w:w="2698" w:type="dxa"/>
          </w:tcPr>
          <w:p>
            <w:pPr>
              <w:pStyle w:val="TableParagraph"/>
              <w:spacing w:before="10"/>
              <w:rPr>
                <w:i/>
                <w:sz w:val="23"/>
              </w:rPr>
            </w:pPr>
          </w:p>
          <w:p>
            <w:pPr>
              <w:pStyle w:val="TableParagraph"/>
              <w:spacing w:before="1"/>
              <w:ind w:left="163" w:right="164"/>
              <w:jc w:val="center"/>
              <w:rPr>
                <w:b/>
                <w:i/>
                <w:sz w:val="16"/>
              </w:rPr>
            </w:pPr>
            <w:r>
              <w:rPr>
                <w:b/>
                <w:i/>
                <w:sz w:val="16"/>
              </w:rPr>
              <w:t>………..</w:t>
            </w:r>
          </w:p>
          <w:p>
            <w:pPr>
              <w:pStyle w:val="TableParagraph"/>
              <w:spacing w:before="97"/>
              <w:ind w:left="163" w:right="165"/>
              <w:jc w:val="center"/>
              <w:rPr>
                <w:i/>
                <w:sz w:val="16"/>
              </w:rPr>
            </w:pPr>
            <w:r>
              <w:rPr>
                <w:i/>
                <w:sz w:val="16"/>
              </w:rPr>
              <w:t>Έως το 10% της δαπάνης απόκτησης </w:t>
            </w:r>
            <w:r>
              <w:rPr>
                <w:i/>
                <w:sz w:val="16"/>
              </w:rPr>
              <w:t>του υπό προμήθεια εξοπλισμού</w:t>
            </w:r>
          </w:p>
        </w:tc>
        <w:tc>
          <w:tcPr>
            <w:tcW w:w="2465" w:type="dxa"/>
            <w:shd w:val="clear" w:color="auto" w:fill="BEBEBE"/>
          </w:tcPr>
          <w:p>
            <w:pPr/>
          </w:p>
        </w:tc>
        <w:tc>
          <w:tcPr>
            <w:tcW w:w="3797" w:type="dxa"/>
          </w:tcPr>
          <w:p>
            <w:pPr/>
          </w:p>
        </w:tc>
      </w:tr>
      <w:tr>
        <w:trPr>
          <w:trHeight w:val="372" w:hRule="exact"/>
        </w:trPr>
        <w:tc>
          <w:tcPr>
            <w:tcW w:w="3432" w:type="dxa"/>
            <w:shd w:val="clear" w:color="auto" w:fill="FCE9D9"/>
          </w:tcPr>
          <w:p>
            <w:pPr>
              <w:pStyle w:val="TableParagraph"/>
              <w:spacing w:line="239" w:lineRule="exact"/>
              <w:ind w:left="507" w:right="507"/>
              <w:jc w:val="center"/>
              <w:rPr>
                <w:b/>
                <w:sz w:val="20"/>
              </w:rPr>
            </w:pPr>
            <w:r>
              <w:rPr>
                <w:b/>
                <w:sz w:val="20"/>
              </w:rPr>
              <w:t>Σύνολο</w:t>
            </w:r>
          </w:p>
        </w:tc>
        <w:tc>
          <w:tcPr>
            <w:tcW w:w="2357" w:type="dxa"/>
            <w:shd w:val="clear" w:color="auto" w:fill="FCE9D9"/>
          </w:tcPr>
          <w:p>
            <w:pPr/>
          </w:p>
        </w:tc>
        <w:tc>
          <w:tcPr>
            <w:tcW w:w="2698" w:type="dxa"/>
            <w:shd w:val="clear" w:color="auto" w:fill="FCE9D9"/>
          </w:tcPr>
          <w:p>
            <w:pPr/>
          </w:p>
        </w:tc>
        <w:tc>
          <w:tcPr>
            <w:tcW w:w="2465" w:type="dxa"/>
            <w:shd w:val="clear" w:color="auto" w:fill="FCE9D9"/>
          </w:tcPr>
          <w:p>
            <w:pPr/>
          </w:p>
        </w:tc>
        <w:tc>
          <w:tcPr>
            <w:tcW w:w="3797" w:type="dxa"/>
            <w:shd w:val="clear" w:color="auto" w:fill="FCE9D9"/>
          </w:tcPr>
          <w:p>
            <w:pPr/>
          </w:p>
        </w:tc>
      </w:tr>
      <w:tr>
        <w:trPr>
          <w:trHeight w:val="377" w:hRule="exact"/>
        </w:trPr>
        <w:tc>
          <w:tcPr>
            <w:tcW w:w="3432" w:type="dxa"/>
            <w:shd w:val="clear" w:color="auto" w:fill="EAF0DD"/>
          </w:tcPr>
          <w:p>
            <w:pPr>
              <w:pStyle w:val="TableParagraph"/>
              <w:spacing w:line="243" w:lineRule="exact"/>
              <w:ind w:left="507" w:right="507"/>
              <w:jc w:val="center"/>
              <w:rPr>
                <w:b/>
                <w:sz w:val="20"/>
              </w:rPr>
            </w:pPr>
            <w:r>
              <w:rPr>
                <w:b/>
                <w:sz w:val="20"/>
              </w:rPr>
              <w:t>Μη Επιχορηγούμενο Κόστος</w:t>
            </w:r>
          </w:p>
        </w:tc>
        <w:tc>
          <w:tcPr>
            <w:tcW w:w="2357" w:type="dxa"/>
            <w:shd w:val="clear" w:color="auto" w:fill="EAF0DD"/>
          </w:tcPr>
          <w:p>
            <w:pPr/>
          </w:p>
        </w:tc>
        <w:tc>
          <w:tcPr>
            <w:tcW w:w="2698" w:type="dxa"/>
            <w:shd w:val="clear" w:color="auto" w:fill="EAF0DD"/>
          </w:tcPr>
          <w:p>
            <w:pPr/>
          </w:p>
        </w:tc>
        <w:tc>
          <w:tcPr>
            <w:tcW w:w="2465" w:type="dxa"/>
            <w:shd w:val="clear" w:color="auto" w:fill="EAF0DD"/>
          </w:tcPr>
          <w:p>
            <w:pPr/>
          </w:p>
        </w:tc>
        <w:tc>
          <w:tcPr>
            <w:tcW w:w="3797" w:type="dxa"/>
            <w:shd w:val="clear" w:color="auto" w:fill="EAF0DD"/>
          </w:tcPr>
          <w:p>
            <w:pPr/>
          </w:p>
        </w:tc>
      </w:tr>
    </w:tbl>
    <w:p>
      <w:pPr>
        <w:tabs>
          <w:tab w:pos="1698" w:val="left" w:leader="none"/>
        </w:tabs>
        <w:spacing w:line="357" w:lineRule="auto" w:before="0"/>
        <w:ind w:left="978" w:right="100" w:firstLine="0"/>
        <w:jc w:val="left"/>
        <w:rPr>
          <w:i/>
          <w:sz w:val="20"/>
        </w:rPr>
      </w:pPr>
      <w:r>
        <w:rPr>
          <w:b/>
          <w:sz w:val="20"/>
        </w:rPr>
        <w:t>(*)</w:t>
        <w:tab/>
      </w:r>
      <w:r>
        <w:rPr>
          <w:i/>
          <w:sz w:val="20"/>
        </w:rPr>
        <w:t>Σε</w:t>
      </w:r>
      <w:r>
        <w:rPr>
          <w:i/>
          <w:spacing w:val="17"/>
          <w:sz w:val="20"/>
        </w:rPr>
        <w:t> </w:t>
      </w:r>
      <w:r>
        <w:rPr>
          <w:i/>
          <w:sz w:val="20"/>
        </w:rPr>
        <w:t>μήνες</w:t>
      </w:r>
      <w:r>
        <w:rPr>
          <w:i/>
          <w:spacing w:val="17"/>
          <w:sz w:val="20"/>
        </w:rPr>
        <w:t> </w:t>
      </w:r>
      <w:r>
        <w:rPr>
          <w:i/>
          <w:sz w:val="20"/>
        </w:rPr>
        <w:t>που</w:t>
      </w:r>
      <w:r>
        <w:rPr>
          <w:i/>
          <w:spacing w:val="17"/>
          <w:sz w:val="20"/>
        </w:rPr>
        <w:t> </w:t>
      </w:r>
      <w:r>
        <w:rPr>
          <w:i/>
          <w:sz w:val="20"/>
        </w:rPr>
        <w:t>αποδίδονται/</w:t>
      </w:r>
      <w:r>
        <w:rPr>
          <w:i/>
          <w:spacing w:val="19"/>
          <w:sz w:val="20"/>
        </w:rPr>
        <w:t> </w:t>
      </w:r>
      <w:r>
        <w:rPr>
          <w:i/>
          <w:sz w:val="20"/>
        </w:rPr>
        <w:t>αναλογούν</w:t>
      </w:r>
      <w:r>
        <w:rPr>
          <w:i/>
          <w:spacing w:val="19"/>
          <w:sz w:val="20"/>
        </w:rPr>
        <w:t> </w:t>
      </w:r>
      <w:r>
        <w:rPr>
          <w:i/>
          <w:sz w:val="20"/>
        </w:rPr>
        <w:t>στο</w:t>
      </w:r>
      <w:r>
        <w:rPr>
          <w:i/>
          <w:spacing w:val="18"/>
          <w:sz w:val="20"/>
        </w:rPr>
        <w:t> </w:t>
      </w:r>
      <w:r>
        <w:rPr>
          <w:i/>
          <w:sz w:val="20"/>
        </w:rPr>
        <w:t>έργο.</w:t>
      </w:r>
      <w:r>
        <w:rPr>
          <w:i/>
          <w:spacing w:val="17"/>
          <w:sz w:val="20"/>
        </w:rPr>
        <w:t> </w:t>
      </w:r>
      <w:r>
        <w:rPr>
          <w:i/>
          <w:sz w:val="20"/>
        </w:rPr>
        <w:t>Επιλέξιμες</w:t>
      </w:r>
      <w:r>
        <w:rPr>
          <w:i/>
          <w:spacing w:val="17"/>
          <w:sz w:val="20"/>
        </w:rPr>
        <w:t> </w:t>
      </w:r>
      <w:r>
        <w:rPr>
          <w:i/>
          <w:sz w:val="20"/>
        </w:rPr>
        <w:t>θεωρούνται</w:t>
      </w:r>
      <w:r>
        <w:rPr>
          <w:i/>
          <w:spacing w:val="17"/>
          <w:sz w:val="20"/>
        </w:rPr>
        <w:t> </w:t>
      </w:r>
      <w:r>
        <w:rPr>
          <w:i/>
          <w:sz w:val="20"/>
        </w:rPr>
        <w:t>μόνον</w:t>
      </w:r>
      <w:r>
        <w:rPr>
          <w:i/>
          <w:spacing w:val="16"/>
          <w:sz w:val="20"/>
        </w:rPr>
        <w:t> </w:t>
      </w:r>
      <w:r>
        <w:rPr>
          <w:i/>
          <w:sz w:val="20"/>
        </w:rPr>
        <w:t>οι</w:t>
      </w:r>
      <w:r>
        <w:rPr>
          <w:i/>
          <w:spacing w:val="17"/>
          <w:sz w:val="20"/>
        </w:rPr>
        <w:t> </w:t>
      </w:r>
      <w:r>
        <w:rPr>
          <w:i/>
          <w:sz w:val="20"/>
        </w:rPr>
        <w:t>μήνες,</w:t>
      </w:r>
      <w:r>
        <w:rPr>
          <w:i/>
          <w:spacing w:val="17"/>
          <w:sz w:val="20"/>
        </w:rPr>
        <w:t> </w:t>
      </w:r>
      <w:r>
        <w:rPr>
          <w:i/>
          <w:sz w:val="20"/>
        </w:rPr>
        <w:t>που</w:t>
      </w:r>
      <w:r>
        <w:rPr>
          <w:i/>
          <w:spacing w:val="17"/>
          <w:sz w:val="20"/>
        </w:rPr>
        <w:t> </w:t>
      </w:r>
      <w:r>
        <w:rPr>
          <w:i/>
          <w:sz w:val="20"/>
        </w:rPr>
        <w:t>αντιστοιχούν</w:t>
      </w:r>
      <w:r>
        <w:rPr>
          <w:i/>
          <w:spacing w:val="16"/>
          <w:sz w:val="20"/>
        </w:rPr>
        <w:t> </w:t>
      </w:r>
      <w:r>
        <w:rPr>
          <w:i/>
          <w:sz w:val="20"/>
        </w:rPr>
        <w:t>στη</w:t>
      </w:r>
      <w:r>
        <w:rPr>
          <w:i/>
          <w:spacing w:val="17"/>
          <w:sz w:val="20"/>
        </w:rPr>
        <w:t> </w:t>
      </w:r>
      <w:r>
        <w:rPr>
          <w:i/>
          <w:sz w:val="20"/>
        </w:rPr>
        <w:t>διάρκεια</w:t>
      </w:r>
      <w:r>
        <w:rPr>
          <w:i/>
          <w:spacing w:val="17"/>
          <w:sz w:val="20"/>
        </w:rPr>
        <w:t> </w:t>
      </w:r>
      <w:r>
        <w:rPr>
          <w:i/>
          <w:sz w:val="20"/>
        </w:rPr>
        <w:t>του</w:t>
      </w:r>
      <w:r>
        <w:rPr>
          <w:i/>
          <w:spacing w:val="17"/>
          <w:sz w:val="20"/>
        </w:rPr>
        <w:t> </w:t>
      </w:r>
      <w:r>
        <w:rPr>
          <w:i/>
          <w:sz w:val="20"/>
        </w:rPr>
        <w:t>έργο,</w:t>
      </w:r>
      <w:r>
        <w:rPr>
          <w:i/>
          <w:spacing w:val="17"/>
          <w:sz w:val="20"/>
        </w:rPr>
        <w:t> </w:t>
      </w:r>
      <w:r>
        <w:rPr>
          <w:i/>
          <w:sz w:val="20"/>
        </w:rPr>
        <w:t>οι</w:t>
      </w:r>
      <w:r>
        <w:rPr>
          <w:i/>
          <w:spacing w:val="17"/>
          <w:sz w:val="20"/>
        </w:rPr>
        <w:t> </w:t>
      </w:r>
      <w:r>
        <w:rPr>
          <w:i/>
          <w:sz w:val="20"/>
        </w:rPr>
        <w:t>οποίες</w:t>
      </w:r>
      <w:r>
        <w:rPr>
          <w:i/>
          <w:spacing w:val="17"/>
          <w:sz w:val="20"/>
        </w:rPr>
        <w:t> </w:t>
      </w:r>
      <w:r>
        <w:rPr>
          <w:i/>
          <w:sz w:val="20"/>
        </w:rPr>
        <w:t>υπολογίζονται</w:t>
      </w:r>
      <w:r>
        <w:rPr>
          <w:i/>
          <w:spacing w:val="17"/>
          <w:sz w:val="20"/>
        </w:rPr>
        <w:t> </w:t>
      </w:r>
      <w:r>
        <w:rPr>
          <w:i/>
          <w:sz w:val="20"/>
        </w:rPr>
        <w:t>με</w:t>
      </w:r>
      <w:r>
        <w:rPr>
          <w:i/>
          <w:w w:val="99"/>
          <w:sz w:val="20"/>
        </w:rPr>
        <w:t> </w:t>
      </w:r>
      <w:r>
        <w:rPr>
          <w:i/>
          <w:sz w:val="20"/>
        </w:rPr>
        <w:t>βάσει τις γενικά αποδεκτές λογιστικές</w:t>
      </w:r>
      <w:r>
        <w:rPr>
          <w:i/>
          <w:spacing w:val="-9"/>
          <w:sz w:val="20"/>
        </w:rPr>
        <w:t> </w:t>
      </w:r>
      <w:r>
        <w:rPr>
          <w:i/>
          <w:sz w:val="20"/>
        </w:rPr>
        <w:t>αρχές.</w:t>
      </w:r>
    </w:p>
    <w:p>
      <w:pPr>
        <w:tabs>
          <w:tab w:pos="1698" w:val="left" w:leader="none"/>
        </w:tabs>
        <w:spacing w:before="3"/>
        <w:ind w:left="978" w:right="0" w:firstLine="0"/>
        <w:jc w:val="left"/>
        <w:rPr>
          <w:i/>
          <w:sz w:val="18"/>
        </w:rPr>
      </w:pPr>
      <w:r>
        <w:rPr>
          <w:b/>
          <w:i/>
          <w:sz w:val="18"/>
        </w:rPr>
        <w:t>(**)</w:t>
        <w:tab/>
      </w:r>
      <w:r>
        <w:rPr>
          <w:i/>
          <w:sz w:val="18"/>
        </w:rPr>
        <w:t>Όπου</w:t>
      </w:r>
      <w:r>
        <w:rPr>
          <w:i/>
          <w:spacing w:val="-8"/>
          <w:sz w:val="18"/>
        </w:rPr>
        <w:t> </w:t>
      </w:r>
      <w:r>
        <w:rPr>
          <w:i/>
          <w:sz w:val="18"/>
        </w:rPr>
        <w:t>υπάρχει</w:t>
      </w:r>
    </w:p>
    <w:p>
      <w:pPr>
        <w:spacing w:after="0"/>
        <w:jc w:val="left"/>
        <w:rPr>
          <w:sz w:val="18"/>
        </w:rPr>
        <w:sectPr>
          <w:headerReference w:type="default" r:id="rId60"/>
          <w:footerReference w:type="default" r:id="rId61"/>
          <w:pgSz w:w="16840" w:h="11910" w:orient="landscape"/>
          <w:pgMar w:header="1741" w:footer="1588" w:top="1940" w:bottom="1780" w:left="440" w:right="1320"/>
          <w:pgNumType w:start="8"/>
        </w:sectPr>
      </w:pPr>
    </w:p>
    <w:p>
      <w:pPr>
        <w:pStyle w:val="BodyText"/>
        <w:spacing w:before="4"/>
        <w:rPr>
          <w:i/>
          <w:sz w:val="10"/>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4"/>
        <w:gridCol w:w="2979"/>
        <w:gridCol w:w="2554"/>
        <w:gridCol w:w="1985"/>
        <w:gridCol w:w="3824"/>
      </w:tblGrid>
      <w:tr>
        <w:trPr>
          <w:trHeight w:val="1084" w:hRule="exact"/>
        </w:trPr>
        <w:tc>
          <w:tcPr>
            <w:tcW w:w="3404" w:type="dxa"/>
            <w:shd w:val="clear" w:color="auto" w:fill="E6E6E6"/>
          </w:tcPr>
          <w:p>
            <w:pPr>
              <w:pStyle w:val="TableParagraph"/>
              <w:spacing w:line="360" w:lineRule="auto" w:before="168"/>
              <w:ind w:left="103"/>
              <w:rPr>
                <w:b/>
                <w:sz w:val="20"/>
              </w:rPr>
            </w:pPr>
            <w:r>
              <w:rPr>
                <w:b/>
                <w:sz w:val="20"/>
              </w:rPr>
              <w:t>Περιγραφή, αιτιολογία και Χαρακτηριστικά</w:t>
            </w:r>
          </w:p>
        </w:tc>
        <w:tc>
          <w:tcPr>
            <w:tcW w:w="2979" w:type="dxa"/>
            <w:shd w:val="clear" w:color="auto" w:fill="E6E6E6"/>
          </w:tcPr>
          <w:p>
            <w:pPr>
              <w:pStyle w:val="TableParagraph"/>
              <w:spacing w:before="11"/>
              <w:rPr>
                <w:i/>
                <w:sz w:val="28"/>
              </w:rPr>
            </w:pPr>
          </w:p>
          <w:p>
            <w:pPr>
              <w:pStyle w:val="TableParagraph"/>
              <w:ind w:left="103"/>
              <w:rPr>
                <w:b/>
                <w:sz w:val="20"/>
              </w:rPr>
            </w:pPr>
            <w:r>
              <w:rPr>
                <w:b/>
                <w:sz w:val="20"/>
              </w:rPr>
              <w:t>Τιμή μονάδας</w:t>
            </w:r>
          </w:p>
        </w:tc>
        <w:tc>
          <w:tcPr>
            <w:tcW w:w="2554" w:type="dxa"/>
            <w:shd w:val="clear" w:color="auto" w:fill="E6E6E6"/>
          </w:tcPr>
          <w:p>
            <w:pPr>
              <w:pStyle w:val="TableParagraph"/>
              <w:spacing w:before="11"/>
              <w:rPr>
                <w:i/>
                <w:sz w:val="28"/>
              </w:rPr>
            </w:pPr>
          </w:p>
          <w:p>
            <w:pPr>
              <w:pStyle w:val="TableParagraph"/>
              <w:ind w:left="103"/>
              <w:rPr>
                <w:b/>
                <w:sz w:val="20"/>
              </w:rPr>
            </w:pPr>
            <w:r>
              <w:rPr>
                <w:b/>
                <w:sz w:val="20"/>
              </w:rPr>
              <w:t>Μονάδα Μέτρησης</w:t>
            </w:r>
          </w:p>
        </w:tc>
        <w:tc>
          <w:tcPr>
            <w:tcW w:w="1985" w:type="dxa"/>
            <w:shd w:val="clear" w:color="auto" w:fill="E6E6E6"/>
          </w:tcPr>
          <w:p>
            <w:pPr>
              <w:pStyle w:val="TableParagraph"/>
              <w:spacing w:before="11"/>
              <w:rPr>
                <w:i/>
                <w:sz w:val="28"/>
              </w:rPr>
            </w:pPr>
          </w:p>
          <w:p>
            <w:pPr>
              <w:pStyle w:val="TableParagraph"/>
              <w:ind w:left="100"/>
              <w:rPr>
                <w:b/>
                <w:sz w:val="20"/>
              </w:rPr>
            </w:pPr>
            <w:r>
              <w:rPr>
                <w:b/>
                <w:sz w:val="20"/>
              </w:rPr>
              <w:t>Συνολικό Κόστος</w:t>
            </w:r>
          </w:p>
        </w:tc>
        <w:tc>
          <w:tcPr>
            <w:tcW w:w="3824" w:type="dxa"/>
            <w:shd w:val="clear" w:color="auto" w:fill="E6E6E6"/>
          </w:tcPr>
          <w:p>
            <w:pPr>
              <w:pStyle w:val="TableParagraph"/>
              <w:spacing w:before="11"/>
              <w:rPr>
                <w:i/>
                <w:sz w:val="28"/>
              </w:rPr>
            </w:pPr>
          </w:p>
          <w:p>
            <w:pPr>
              <w:pStyle w:val="TableParagraph"/>
              <w:ind w:left="100"/>
              <w:rPr>
                <w:b/>
                <w:sz w:val="20"/>
              </w:rPr>
            </w:pPr>
            <w:r>
              <w:rPr>
                <w:b/>
                <w:sz w:val="20"/>
              </w:rPr>
              <w:t>Προμηθευτής (Επωνυμία και ΑΦΜ)*</w:t>
            </w:r>
          </w:p>
        </w:tc>
      </w:tr>
      <w:tr>
        <w:trPr>
          <w:trHeight w:val="374" w:hRule="exact"/>
        </w:trPr>
        <w:tc>
          <w:tcPr>
            <w:tcW w:w="3404" w:type="dxa"/>
          </w:tcPr>
          <w:p>
            <w:pPr/>
          </w:p>
        </w:tc>
        <w:tc>
          <w:tcPr>
            <w:tcW w:w="2979" w:type="dxa"/>
          </w:tcPr>
          <w:p>
            <w:pPr/>
          </w:p>
        </w:tc>
        <w:tc>
          <w:tcPr>
            <w:tcW w:w="2554" w:type="dxa"/>
          </w:tcPr>
          <w:p>
            <w:pPr/>
          </w:p>
        </w:tc>
        <w:tc>
          <w:tcPr>
            <w:tcW w:w="1985" w:type="dxa"/>
          </w:tcPr>
          <w:p>
            <w:pPr/>
          </w:p>
        </w:tc>
        <w:tc>
          <w:tcPr>
            <w:tcW w:w="3824" w:type="dxa"/>
          </w:tcPr>
          <w:p>
            <w:pPr/>
          </w:p>
        </w:tc>
      </w:tr>
      <w:tr>
        <w:trPr>
          <w:trHeight w:val="377" w:hRule="exact"/>
        </w:trPr>
        <w:tc>
          <w:tcPr>
            <w:tcW w:w="3404" w:type="dxa"/>
          </w:tcPr>
          <w:p>
            <w:pPr/>
          </w:p>
        </w:tc>
        <w:tc>
          <w:tcPr>
            <w:tcW w:w="2979" w:type="dxa"/>
          </w:tcPr>
          <w:p>
            <w:pPr/>
          </w:p>
        </w:tc>
        <w:tc>
          <w:tcPr>
            <w:tcW w:w="2554" w:type="dxa"/>
          </w:tcPr>
          <w:p>
            <w:pPr/>
          </w:p>
        </w:tc>
        <w:tc>
          <w:tcPr>
            <w:tcW w:w="1985" w:type="dxa"/>
          </w:tcPr>
          <w:p>
            <w:pPr/>
          </w:p>
        </w:tc>
        <w:tc>
          <w:tcPr>
            <w:tcW w:w="3824" w:type="dxa"/>
          </w:tcPr>
          <w:p>
            <w:pPr/>
          </w:p>
        </w:tc>
      </w:tr>
      <w:tr>
        <w:trPr>
          <w:trHeight w:val="889" w:hRule="exact"/>
        </w:trPr>
        <w:tc>
          <w:tcPr>
            <w:tcW w:w="3404" w:type="dxa"/>
            <w:shd w:val="clear" w:color="auto" w:fill="FCE9D9"/>
          </w:tcPr>
          <w:p>
            <w:pPr>
              <w:pStyle w:val="TableParagraph"/>
              <w:rPr>
                <w:i/>
                <w:sz w:val="20"/>
              </w:rPr>
            </w:pPr>
          </w:p>
          <w:p>
            <w:pPr>
              <w:pStyle w:val="TableParagraph"/>
              <w:spacing w:before="122"/>
              <w:ind w:left="1249" w:right="1249"/>
              <w:jc w:val="center"/>
              <w:rPr>
                <w:b/>
                <w:sz w:val="20"/>
              </w:rPr>
            </w:pPr>
            <w:r>
              <w:rPr>
                <w:b/>
                <w:sz w:val="20"/>
              </w:rPr>
              <w:t>Σύνολο</w:t>
            </w:r>
          </w:p>
        </w:tc>
        <w:tc>
          <w:tcPr>
            <w:tcW w:w="2979" w:type="dxa"/>
            <w:shd w:val="clear" w:color="auto" w:fill="FCE9D9"/>
          </w:tcPr>
          <w:p>
            <w:pPr/>
          </w:p>
        </w:tc>
        <w:tc>
          <w:tcPr>
            <w:tcW w:w="2554" w:type="dxa"/>
            <w:shd w:val="clear" w:color="auto" w:fill="FCE9D9"/>
          </w:tcPr>
          <w:p>
            <w:pPr/>
          </w:p>
        </w:tc>
        <w:tc>
          <w:tcPr>
            <w:tcW w:w="1985" w:type="dxa"/>
            <w:shd w:val="clear" w:color="auto" w:fill="FCE9D9"/>
          </w:tcPr>
          <w:p>
            <w:pPr>
              <w:pStyle w:val="TableParagraph"/>
              <w:spacing w:line="194" w:lineRule="exact"/>
              <w:ind w:left="538" w:right="542"/>
              <w:jc w:val="center"/>
              <w:rPr>
                <w:i/>
                <w:sz w:val="16"/>
              </w:rPr>
            </w:pPr>
            <w:r>
              <w:rPr>
                <w:i/>
                <w:sz w:val="16"/>
              </w:rPr>
              <w:t>…….</w:t>
            </w:r>
          </w:p>
          <w:p>
            <w:pPr>
              <w:pStyle w:val="TableParagraph"/>
              <w:rPr>
                <w:i/>
                <w:sz w:val="16"/>
              </w:rPr>
            </w:pPr>
          </w:p>
          <w:p>
            <w:pPr>
              <w:pStyle w:val="TableParagraph"/>
              <w:spacing w:before="11"/>
              <w:rPr>
                <w:i/>
                <w:sz w:val="15"/>
              </w:rPr>
            </w:pPr>
          </w:p>
          <w:p>
            <w:pPr>
              <w:pStyle w:val="TableParagraph"/>
              <w:spacing w:before="1"/>
              <w:ind w:left="539" w:right="542"/>
              <w:jc w:val="center"/>
              <w:rPr>
                <w:i/>
                <w:sz w:val="16"/>
              </w:rPr>
            </w:pPr>
            <w:r>
              <w:rPr>
                <w:i/>
                <w:sz w:val="16"/>
              </w:rPr>
              <w:t>Έως 50.000 €</w:t>
            </w:r>
          </w:p>
        </w:tc>
        <w:tc>
          <w:tcPr>
            <w:tcW w:w="3824" w:type="dxa"/>
            <w:shd w:val="clear" w:color="auto" w:fill="FCE9D9"/>
          </w:tcPr>
          <w:p>
            <w:pPr/>
          </w:p>
        </w:tc>
      </w:tr>
      <w:tr>
        <w:trPr>
          <w:trHeight w:val="376" w:hRule="exact"/>
        </w:trPr>
        <w:tc>
          <w:tcPr>
            <w:tcW w:w="3404" w:type="dxa"/>
            <w:shd w:val="clear" w:color="auto" w:fill="EAF0DD"/>
          </w:tcPr>
          <w:p>
            <w:pPr>
              <w:pStyle w:val="TableParagraph"/>
              <w:ind w:left="103"/>
              <w:rPr>
                <w:b/>
                <w:sz w:val="20"/>
              </w:rPr>
            </w:pPr>
            <w:r>
              <w:rPr>
                <w:b/>
                <w:sz w:val="20"/>
              </w:rPr>
              <w:t>Μη Επιχορηγούμενο Κόστος</w:t>
            </w:r>
          </w:p>
        </w:tc>
        <w:tc>
          <w:tcPr>
            <w:tcW w:w="2979" w:type="dxa"/>
            <w:shd w:val="clear" w:color="auto" w:fill="EAF0DD"/>
          </w:tcPr>
          <w:p>
            <w:pPr/>
          </w:p>
        </w:tc>
        <w:tc>
          <w:tcPr>
            <w:tcW w:w="2554" w:type="dxa"/>
            <w:shd w:val="clear" w:color="auto" w:fill="EAF0DD"/>
          </w:tcPr>
          <w:p>
            <w:pPr/>
          </w:p>
        </w:tc>
        <w:tc>
          <w:tcPr>
            <w:tcW w:w="1985" w:type="dxa"/>
            <w:shd w:val="clear" w:color="auto" w:fill="EAF0DD"/>
          </w:tcPr>
          <w:p>
            <w:pPr/>
          </w:p>
        </w:tc>
        <w:tc>
          <w:tcPr>
            <w:tcW w:w="3824" w:type="dxa"/>
            <w:shd w:val="clear" w:color="auto" w:fill="EAF0DD"/>
          </w:tcPr>
          <w:p>
            <w:pPr/>
          </w:p>
        </w:tc>
      </w:tr>
    </w:tbl>
    <w:p>
      <w:pPr>
        <w:tabs>
          <w:tab w:pos="1678" w:val="left" w:leader="none"/>
        </w:tabs>
        <w:spacing w:line="219" w:lineRule="exact" w:before="0"/>
        <w:ind w:left="958" w:right="0" w:firstLine="0"/>
        <w:jc w:val="left"/>
        <w:rPr>
          <w:i/>
          <w:sz w:val="18"/>
        </w:rPr>
      </w:pPr>
      <w:r>
        <w:rPr>
          <w:b/>
          <w:i/>
          <w:sz w:val="18"/>
        </w:rPr>
        <w:t>(*)</w:t>
        <w:tab/>
      </w:r>
      <w:r>
        <w:rPr>
          <w:i/>
          <w:sz w:val="18"/>
        </w:rPr>
        <w:t>Όπου</w:t>
      </w:r>
      <w:r>
        <w:rPr>
          <w:i/>
          <w:spacing w:val="-8"/>
          <w:sz w:val="18"/>
        </w:rPr>
        <w:t> </w:t>
      </w:r>
      <w:r>
        <w:rPr>
          <w:i/>
          <w:sz w:val="18"/>
        </w:rPr>
        <w:t>υπάρχει</w:t>
      </w:r>
    </w:p>
    <w:p>
      <w:pPr>
        <w:spacing w:after="0" w:line="219" w:lineRule="exact"/>
        <w:jc w:val="left"/>
        <w:rPr>
          <w:sz w:val="18"/>
        </w:rPr>
        <w:sectPr>
          <w:headerReference w:type="default" r:id="rId62"/>
          <w:pgSz w:w="16840" w:h="11910" w:orient="landscape"/>
          <w:pgMar w:header="1741" w:footer="1588" w:top="1940" w:bottom="1780" w:left="460" w:right="1400"/>
        </w:sectPr>
      </w:pPr>
    </w:p>
    <w:p>
      <w:pPr>
        <w:pStyle w:val="BodyText"/>
        <w:spacing w:before="4"/>
        <w:rPr>
          <w:i/>
          <w:sz w:val="10"/>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0"/>
        <w:gridCol w:w="2410"/>
        <w:gridCol w:w="1706"/>
        <w:gridCol w:w="1560"/>
        <w:gridCol w:w="1985"/>
        <w:gridCol w:w="3824"/>
      </w:tblGrid>
      <w:tr>
        <w:trPr>
          <w:trHeight w:val="1108" w:hRule="exact"/>
        </w:trPr>
        <w:tc>
          <w:tcPr>
            <w:tcW w:w="3260" w:type="dxa"/>
            <w:shd w:val="clear" w:color="auto" w:fill="E6E6E6"/>
          </w:tcPr>
          <w:p>
            <w:pPr>
              <w:pStyle w:val="TableParagraph"/>
              <w:spacing w:before="11"/>
              <w:rPr>
                <w:i/>
                <w:sz w:val="29"/>
              </w:rPr>
            </w:pPr>
          </w:p>
          <w:p>
            <w:pPr>
              <w:pStyle w:val="TableParagraph"/>
              <w:ind w:left="103"/>
              <w:rPr>
                <w:b/>
                <w:sz w:val="20"/>
              </w:rPr>
            </w:pPr>
            <w:r>
              <w:rPr>
                <w:b/>
                <w:sz w:val="20"/>
              </w:rPr>
              <w:t>Αντικείμενο Εργασιών</w:t>
            </w:r>
          </w:p>
        </w:tc>
        <w:tc>
          <w:tcPr>
            <w:tcW w:w="2410" w:type="dxa"/>
            <w:shd w:val="clear" w:color="auto" w:fill="E6E6E6"/>
          </w:tcPr>
          <w:p>
            <w:pPr>
              <w:pStyle w:val="TableParagraph"/>
              <w:spacing w:line="360" w:lineRule="auto"/>
              <w:ind w:left="103" w:right="287"/>
              <w:rPr>
                <w:b/>
                <w:sz w:val="20"/>
              </w:rPr>
            </w:pPr>
            <w:r>
              <w:rPr>
                <w:b/>
                <w:sz w:val="20"/>
              </w:rPr>
              <w:t>Περιγραφή, αιτιολογία και Τεχνικά Χαρακτηριστικά</w:t>
            </w:r>
          </w:p>
        </w:tc>
        <w:tc>
          <w:tcPr>
            <w:tcW w:w="1706" w:type="dxa"/>
            <w:shd w:val="clear" w:color="auto" w:fill="E6E6E6"/>
          </w:tcPr>
          <w:p>
            <w:pPr>
              <w:pStyle w:val="TableParagraph"/>
              <w:spacing w:before="11"/>
              <w:rPr>
                <w:i/>
                <w:sz w:val="29"/>
              </w:rPr>
            </w:pPr>
          </w:p>
          <w:p>
            <w:pPr>
              <w:pStyle w:val="TableParagraph"/>
              <w:ind w:left="103"/>
              <w:rPr>
                <w:b/>
                <w:sz w:val="20"/>
              </w:rPr>
            </w:pPr>
            <w:r>
              <w:rPr>
                <w:b/>
                <w:sz w:val="20"/>
              </w:rPr>
              <w:t>Τιμή μονάδας</w:t>
            </w:r>
          </w:p>
        </w:tc>
        <w:tc>
          <w:tcPr>
            <w:tcW w:w="1560" w:type="dxa"/>
            <w:shd w:val="clear" w:color="auto" w:fill="E6E6E6"/>
          </w:tcPr>
          <w:p>
            <w:pPr>
              <w:pStyle w:val="TableParagraph"/>
              <w:spacing w:before="11"/>
              <w:rPr>
                <w:i/>
                <w:sz w:val="14"/>
              </w:rPr>
            </w:pPr>
          </w:p>
          <w:p>
            <w:pPr>
              <w:pStyle w:val="TableParagraph"/>
              <w:spacing w:line="357" w:lineRule="auto" w:before="1"/>
              <w:ind w:left="103"/>
              <w:rPr>
                <w:b/>
                <w:sz w:val="20"/>
              </w:rPr>
            </w:pPr>
            <w:r>
              <w:rPr>
                <w:b/>
                <w:sz w:val="20"/>
              </w:rPr>
              <w:t>Μονάδα </w:t>
            </w:r>
            <w:r>
              <w:rPr>
                <w:b/>
                <w:w w:val="95"/>
                <w:sz w:val="20"/>
              </w:rPr>
              <w:t>Μέτρησης</w:t>
            </w:r>
          </w:p>
        </w:tc>
        <w:tc>
          <w:tcPr>
            <w:tcW w:w="1985" w:type="dxa"/>
            <w:shd w:val="clear" w:color="auto" w:fill="E6E6E6"/>
          </w:tcPr>
          <w:p>
            <w:pPr>
              <w:pStyle w:val="TableParagraph"/>
              <w:spacing w:before="11"/>
              <w:rPr>
                <w:i/>
                <w:sz w:val="29"/>
              </w:rPr>
            </w:pPr>
          </w:p>
          <w:p>
            <w:pPr>
              <w:pStyle w:val="TableParagraph"/>
              <w:ind w:left="100"/>
              <w:rPr>
                <w:b/>
                <w:sz w:val="20"/>
              </w:rPr>
            </w:pPr>
            <w:r>
              <w:rPr>
                <w:b/>
                <w:sz w:val="20"/>
              </w:rPr>
              <w:t>Συνολικό Κόστος</w:t>
            </w:r>
          </w:p>
        </w:tc>
        <w:tc>
          <w:tcPr>
            <w:tcW w:w="3824" w:type="dxa"/>
            <w:shd w:val="clear" w:color="auto" w:fill="E6E6E6"/>
          </w:tcPr>
          <w:p>
            <w:pPr>
              <w:pStyle w:val="TableParagraph"/>
              <w:spacing w:before="11"/>
              <w:rPr>
                <w:i/>
                <w:sz w:val="29"/>
              </w:rPr>
            </w:pPr>
          </w:p>
          <w:p>
            <w:pPr>
              <w:pStyle w:val="TableParagraph"/>
              <w:ind w:left="100"/>
              <w:rPr>
                <w:b/>
                <w:sz w:val="20"/>
              </w:rPr>
            </w:pPr>
            <w:r>
              <w:rPr>
                <w:b/>
                <w:sz w:val="20"/>
              </w:rPr>
              <w:t>Προμηθευτής (Επωνυμία και ΑΦΜ)*</w:t>
            </w:r>
          </w:p>
        </w:tc>
      </w:tr>
      <w:tr>
        <w:trPr>
          <w:trHeight w:val="377" w:hRule="exact"/>
        </w:trPr>
        <w:tc>
          <w:tcPr>
            <w:tcW w:w="3260" w:type="dxa"/>
          </w:tcPr>
          <w:p>
            <w:pPr/>
          </w:p>
        </w:tc>
        <w:tc>
          <w:tcPr>
            <w:tcW w:w="2410" w:type="dxa"/>
          </w:tcPr>
          <w:p>
            <w:pPr/>
          </w:p>
        </w:tc>
        <w:tc>
          <w:tcPr>
            <w:tcW w:w="1706" w:type="dxa"/>
          </w:tcPr>
          <w:p>
            <w:pPr/>
          </w:p>
        </w:tc>
        <w:tc>
          <w:tcPr>
            <w:tcW w:w="1560" w:type="dxa"/>
          </w:tcPr>
          <w:p>
            <w:pPr/>
          </w:p>
        </w:tc>
        <w:tc>
          <w:tcPr>
            <w:tcW w:w="1985" w:type="dxa"/>
          </w:tcPr>
          <w:p>
            <w:pPr/>
          </w:p>
        </w:tc>
        <w:tc>
          <w:tcPr>
            <w:tcW w:w="3824" w:type="dxa"/>
          </w:tcPr>
          <w:p>
            <w:pPr/>
          </w:p>
        </w:tc>
      </w:tr>
      <w:tr>
        <w:trPr>
          <w:trHeight w:val="377" w:hRule="exact"/>
        </w:trPr>
        <w:tc>
          <w:tcPr>
            <w:tcW w:w="3260" w:type="dxa"/>
          </w:tcPr>
          <w:p>
            <w:pPr/>
          </w:p>
        </w:tc>
        <w:tc>
          <w:tcPr>
            <w:tcW w:w="2410" w:type="dxa"/>
          </w:tcPr>
          <w:p>
            <w:pPr/>
          </w:p>
        </w:tc>
        <w:tc>
          <w:tcPr>
            <w:tcW w:w="1706" w:type="dxa"/>
          </w:tcPr>
          <w:p>
            <w:pPr/>
          </w:p>
        </w:tc>
        <w:tc>
          <w:tcPr>
            <w:tcW w:w="1560" w:type="dxa"/>
          </w:tcPr>
          <w:p>
            <w:pPr/>
          </w:p>
        </w:tc>
        <w:tc>
          <w:tcPr>
            <w:tcW w:w="1985" w:type="dxa"/>
          </w:tcPr>
          <w:p>
            <w:pPr/>
          </w:p>
        </w:tc>
        <w:tc>
          <w:tcPr>
            <w:tcW w:w="3824" w:type="dxa"/>
          </w:tcPr>
          <w:p>
            <w:pPr/>
          </w:p>
        </w:tc>
      </w:tr>
      <w:tr>
        <w:trPr>
          <w:trHeight w:val="295" w:hRule="exact"/>
        </w:trPr>
        <w:tc>
          <w:tcPr>
            <w:tcW w:w="3260" w:type="dxa"/>
            <w:tcBorders>
              <w:bottom w:val="nil"/>
            </w:tcBorders>
          </w:tcPr>
          <w:p>
            <w:pPr>
              <w:pStyle w:val="TableParagraph"/>
              <w:spacing w:line="219" w:lineRule="exact"/>
              <w:ind w:left="103"/>
              <w:rPr>
                <w:i/>
                <w:sz w:val="18"/>
              </w:rPr>
            </w:pPr>
            <w:r>
              <w:rPr>
                <w:i/>
                <w:sz w:val="18"/>
              </w:rPr>
              <w:t>Εγκατάσταση  και  παραμετροποίηση του</w:t>
            </w:r>
          </w:p>
        </w:tc>
        <w:tc>
          <w:tcPr>
            <w:tcW w:w="2410" w:type="dxa"/>
            <w:vMerge w:val="restart"/>
          </w:tcPr>
          <w:p>
            <w:pPr/>
          </w:p>
        </w:tc>
        <w:tc>
          <w:tcPr>
            <w:tcW w:w="1706" w:type="dxa"/>
            <w:vMerge w:val="restart"/>
          </w:tcPr>
          <w:p>
            <w:pPr/>
          </w:p>
        </w:tc>
        <w:tc>
          <w:tcPr>
            <w:tcW w:w="1560" w:type="dxa"/>
            <w:vMerge w:val="restart"/>
          </w:tcPr>
          <w:p>
            <w:pPr/>
          </w:p>
        </w:tc>
        <w:tc>
          <w:tcPr>
            <w:tcW w:w="1985" w:type="dxa"/>
            <w:tcBorders>
              <w:bottom w:val="nil"/>
            </w:tcBorders>
          </w:tcPr>
          <w:p>
            <w:pPr/>
          </w:p>
        </w:tc>
        <w:tc>
          <w:tcPr>
            <w:tcW w:w="3824" w:type="dxa"/>
            <w:vMerge w:val="restart"/>
          </w:tcPr>
          <w:p>
            <w:pPr/>
          </w:p>
        </w:tc>
      </w:tr>
      <w:tr>
        <w:trPr>
          <w:trHeight w:val="330" w:hRule="exact"/>
        </w:trPr>
        <w:tc>
          <w:tcPr>
            <w:tcW w:w="3260" w:type="dxa"/>
            <w:tcBorders>
              <w:top w:val="nil"/>
              <w:bottom w:val="nil"/>
            </w:tcBorders>
          </w:tcPr>
          <w:p>
            <w:pPr>
              <w:pStyle w:val="TableParagraph"/>
              <w:spacing w:before="38"/>
              <w:ind w:left="103"/>
              <w:rPr>
                <w:i/>
                <w:sz w:val="18"/>
              </w:rPr>
            </w:pPr>
            <w:r>
              <w:rPr>
                <w:i/>
                <w:sz w:val="18"/>
              </w:rPr>
              <w:t>λογισμικού (εφόσον περιλαμβάνεται στο</w:t>
            </w:r>
          </w:p>
        </w:tc>
        <w:tc>
          <w:tcPr>
            <w:tcW w:w="2410" w:type="dxa"/>
            <w:vMerge/>
          </w:tcPr>
          <w:p>
            <w:pPr/>
          </w:p>
        </w:tc>
        <w:tc>
          <w:tcPr>
            <w:tcW w:w="1706" w:type="dxa"/>
            <w:vMerge/>
          </w:tcPr>
          <w:p>
            <w:pPr/>
          </w:p>
        </w:tc>
        <w:tc>
          <w:tcPr>
            <w:tcW w:w="1560" w:type="dxa"/>
            <w:vMerge/>
          </w:tcPr>
          <w:p>
            <w:pPr/>
          </w:p>
        </w:tc>
        <w:tc>
          <w:tcPr>
            <w:tcW w:w="1985" w:type="dxa"/>
            <w:tcBorders>
              <w:top w:val="nil"/>
              <w:bottom w:val="nil"/>
            </w:tcBorders>
          </w:tcPr>
          <w:p>
            <w:pPr/>
          </w:p>
        </w:tc>
        <w:tc>
          <w:tcPr>
            <w:tcW w:w="3824" w:type="dxa"/>
            <w:vMerge/>
          </w:tcPr>
          <w:p>
            <w:pPr/>
          </w:p>
        </w:tc>
      </w:tr>
      <w:tr>
        <w:trPr>
          <w:trHeight w:val="374" w:hRule="exact"/>
        </w:trPr>
        <w:tc>
          <w:tcPr>
            <w:tcW w:w="3260" w:type="dxa"/>
            <w:tcBorders>
              <w:top w:val="nil"/>
            </w:tcBorders>
          </w:tcPr>
          <w:p>
            <w:pPr>
              <w:pStyle w:val="TableParagraph"/>
              <w:spacing w:before="39"/>
              <w:ind w:left="103"/>
              <w:rPr>
                <w:i/>
                <w:sz w:val="18"/>
              </w:rPr>
            </w:pPr>
            <w:r>
              <w:rPr>
                <w:i/>
                <w:sz w:val="18"/>
              </w:rPr>
              <w:t>επενδυτικό σχέδιο)</w:t>
            </w:r>
          </w:p>
        </w:tc>
        <w:tc>
          <w:tcPr>
            <w:tcW w:w="2410" w:type="dxa"/>
            <w:vMerge/>
          </w:tcPr>
          <w:p>
            <w:pPr/>
          </w:p>
        </w:tc>
        <w:tc>
          <w:tcPr>
            <w:tcW w:w="1706" w:type="dxa"/>
            <w:vMerge/>
          </w:tcPr>
          <w:p>
            <w:pPr/>
          </w:p>
        </w:tc>
        <w:tc>
          <w:tcPr>
            <w:tcW w:w="1560" w:type="dxa"/>
            <w:vMerge/>
          </w:tcPr>
          <w:p>
            <w:pPr/>
          </w:p>
        </w:tc>
        <w:tc>
          <w:tcPr>
            <w:tcW w:w="1985" w:type="dxa"/>
            <w:tcBorders>
              <w:top w:val="nil"/>
              <w:bottom w:val="nil"/>
            </w:tcBorders>
          </w:tcPr>
          <w:p>
            <w:pPr>
              <w:pStyle w:val="TableParagraph"/>
              <w:spacing w:before="39"/>
              <w:ind w:left="650"/>
              <w:rPr>
                <w:i/>
                <w:sz w:val="18"/>
              </w:rPr>
            </w:pPr>
            <w:r>
              <w:rPr>
                <w:i/>
                <w:sz w:val="18"/>
              </w:rPr>
              <w:t>…………….</w:t>
            </w:r>
          </w:p>
        </w:tc>
        <w:tc>
          <w:tcPr>
            <w:tcW w:w="3824" w:type="dxa"/>
            <w:vMerge/>
          </w:tcPr>
          <w:p>
            <w:pPr/>
          </w:p>
        </w:tc>
      </w:tr>
      <w:tr>
        <w:trPr>
          <w:trHeight w:val="581" w:hRule="exact"/>
        </w:trPr>
        <w:tc>
          <w:tcPr>
            <w:tcW w:w="3260" w:type="dxa"/>
            <w:vMerge w:val="restart"/>
          </w:tcPr>
          <w:p>
            <w:pPr>
              <w:pStyle w:val="TableParagraph"/>
              <w:spacing w:line="360" w:lineRule="auto"/>
              <w:ind w:left="103"/>
              <w:rPr>
                <w:i/>
                <w:sz w:val="18"/>
              </w:rPr>
            </w:pPr>
            <w:r>
              <w:rPr>
                <w:i/>
                <w:sz w:val="18"/>
              </w:rPr>
              <w:t>Εκπαίδευση του προσωπικού (εφόσον </w:t>
            </w:r>
            <w:r>
              <w:rPr>
                <w:i/>
                <w:sz w:val="18"/>
              </w:rPr>
              <w:t>περιλαμβάνεται στο επενδυτικό σχέδιο)</w:t>
            </w:r>
          </w:p>
        </w:tc>
        <w:tc>
          <w:tcPr>
            <w:tcW w:w="2410" w:type="dxa"/>
            <w:vMerge w:val="restart"/>
          </w:tcPr>
          <w:p>
            <w:pPr/>
          </w:p>
        </w:tc>
        <w:tc>
          <w:tcPr>
            <w:tcW w:w="1706" w:type="dxa"/>
            <w:vMerge w:val="restart"/>
          </w:tcPr>
          <w:p>
            <w:pPr/>
          </w:p>
        </w:tc>
        <w:tc>
          <w:tcPr>
            <w:tcW w:w="1560" w:type="dxa"/>
            <w:vMerge w:val="restart"/>
          </w:tcPr>
          <w:p>
            <w:pPr/>
          </w:p>
        </w:tc>
        <w:tc>
          <w:tcPr>
            <w:tcW w:w="1985" w:type="dxa"/>
            <w:tcBorders>
              <w:top w:val="nil"/>
              <w:bottom w:val="nil"/>
            </w:tcBorders>
          </w:tcPr>
          <w:p>
            <w:pPr>
              <w:pStyle w:val="TableParagraph"/>
              <w:rPr>
                <w:i/>
                <w:sz w:val="16"/>
              </w:rPr>
            </w:pPr>
          </w:p>
          <w:p>
            <w:pPr>
              <w:pStyle w:val="TableParagraph"/>
              <w:spacing w:before="127"/>
              <w:ind w:left="141"/>
              <w:rPr>
                <w:i/>
                <w:sz w:val="16"/>
              </w:rPr>
            </w:pPr>
            <w:r>
              <w:rPr>
                <w:i/>
                <w:sz w:val="16"/>
              </w:rPr>
              <w:t>μέχρι το 20% του κόστους</w:t>
            </w:r>
          </w:p>
        </w:tc>
        <w:tc>
          <w:tcPr>
            <w:tcW w:w="3824" w:type="dxa"/>
            <w:vMerge w:val="restart"/>
          </w:tcPr>
          <w:p>
            <w:pPr/>
          </w:p>
        </w:tc>
      </w:tr>
      <w:tr>
        <w:trPr>
          <w:trHeight w:val="293" w:hRule="exact"/>
        </w:trPr>
        <w:tc>
          <w:tcPr>
            <w:tcW w:w="3260" w:type="dxa"/>
            <w:vMerge/>
          </w:tcPr>
          <w:p>
            <w:pPr/>
          </w:p>
        </w:tc>
        <w:tc>
          <w:tcPr>
            <w:tcW w:w="2410" w:type="dxa"/>
            <w:vMerge/>
          </w:tcPr>
          <w:p>
            <w:pPr/>
          </w:p>
        </w:tc>
        <w:tc>
          <w:tcPr>
            <w:tcW w:w="1706" w:type="dxa"/>
            <w:vMerge/>
          </w:tcPr>
          <w:p>
            <w:pPr/>
          </w:p>
        </w:tc>
        <w:tc>
          <w:tcPr>
            <w:tcW w:w="1560" w:type="dxa"/>
            <w:vMerge/>
          </w:tcPr>
          <w:p>
            <w:pPr/>
          </w:p>
        </w:tc>
        <w:tc>
          <w:tcPr>
            <w:tcW w:w="1985" w:type="dxa"/>
            <w:tcBorders>
              <w:top w:val="nil"/>
              <w:bottom w:val="nil"/>
            </w:tcBorders>
          </w:tcPr>
          <w:p>
            <w:pPr>
              <w:pStyle w:val="TableParagraph"/>
              <w:spacing w:before="34"/>
              <w:ind w:left="201"/>
              <w:rPr>
                <w:i/>
                <w:sz w:val="16"/>
              </w:rPr>
            </w:pPr>
            <w:r>
              <w:rPr>
                <w:i/>
                <w:sz w:val="16"/>
              </w:rPr>
              <w:t>αγοράς του αντίστοιχου</w:t>
            </w:r>
          </w:p>
        </w:tc>
        <w:tc>
          <w:tcPr>
            <w:tcW w:w="3824" w:type="dxa"/>
            <w:vMerge/>
          </w:tcPr>
          <w:p>
            <w:pPr/>
          </w:p>
        </w:tc>
      </w:tr>
      <w:tr>
        <w:trPr>
          <w:trHeight w:val="334" w:hRule="exact"/>
        </w:trPr>
        <w:tc>
          <w:tcPr>
            <w:tcW w:w="3260" w:type="dxa"/>
            <w:vMerge/>
          </w:tcPr>
          <w:p>
            <w:pPr/>
          </w:p>
        </w:tc>
        <w:tc>
          <w:tcPr>
            <w:tcW w:w="2410" w:type="dxa"/>
            <w:vMerge/>
          </w:tcPr>
          <w:p>
            <w:pPr/>
          </w:p>
        </w:tc>
        <w:tc>
          <w:tcPr>
            <w:tcW w:w="1706" w:type="dxa"/>
            <w:vMerge/>
          </w:tcPr>
          <w:p>
            <w:pPr/>
          </w:p>
        </w:tc>
        <w:tc>
          <w:tcPr>
            <w:tcW w:w="1560" w:type="dxa"/>
            <w:vMerge/>
          </w:tcPr>
          <w:p>
            <w:pPr/>
          </w:p>
        </w:tc>
        <w:tc>
          <w:tcPr>
            <w:tcW w:w="1985" w:type="dxa"/>
            <w:tcBorders>
              <w:top w:val="nil"/>
            </w:tcBorders>
          </w:tcPr>
          <w:p>
            <w:pPr>
              <w:pStyle w:val="TableParagraph"/>
              <w:spacing w:before="34"/>
              <w:ind w:left="621"/>
              <w:rPr>
                <w:i/>
                <w:sz w:val="16"/>
              </w:rPr>
            </w:pPr>
            <w:r>
              <w:rPr>
                <w:i/>
                <w:sz w:val="16"/>
              </w:rPr>
              <w:t>λογισμικού</w:t>
            </w:r>
          </w:p>
        </w:tc>
        <w:tc>
          <w:tcPr>
            <w:tcW w:w="3824" w:type="dxa"/>
            <w:vMerge/>
          </w:tcPr>
          <w:p>
            <w:pPr/>
          </w:p>
        </w:tc>
      </w:tr>
      <w:tr>
        <w:trPr>
          <w:trHeight w:val="376" w:hRule="exact"/>
        </w:trPr>
        <w:tc>
          <w:tcPr>
            <w:tcW w:w="3260" w:type="dxa"/>
            <w:shd w:val="clear" w:color="auto" w:fill="FCE9D9"/>
          </w:tcPr>
          <w:p>
            <w:pPr>
              <w:pStyle w:val="TableParagraph"/>
              <w:ind w:left="1299" w:right="1299"/>
              <w:jc w:val="center"/>
              <w:rPr>
                <w:b/>
                <w:sz w:val="20"/>
              </w:rPr>
            </w:pPr>
            <w:r>
              <w:rPr>
                <w:b/>
                <w:sz w:val="20"/>
              </w:rPr>
              <w:t>Σύνολο</w:t>
            </w:r>
          </w:p>
        </w:tc>
        <w:tc>
          <w:tcPr>
            <w:tcW w:w="2410" w:type="dxa"/>
            <w:shd w:val="clear" w:color="auto" w:fill="FCE9D9"/>
          </w:tcPr>
          <w:p>
            <w:pPr/>
          </w:p>
        </w:tc>
        <w:tc>
          <w:tcPr>
            <w:tcW w:w="1706" w:type="dxa"/>
            <w:shd w:val="clear" w:color="auto" w:fill="FCE9D9"/>
          </w:tcPr>
          <w:p>
            <w:pPr/>
          </w:p>
        </w:tc>
        <w:tc>
          <w:tcPr>
            <w:tcW w:w="1560" w:type="dxa"/>
            <w:shd w:val="clear" w:color="auto" w:fill="FCE9D9"/>
          </w:tcPr>
          <w:p>
            <w:pPr/>
          </w:p>
        </w:tc>
        <w:tc>
          <w:tcPr>
            <w:tcW w:w="1985" w:type="dxa"/>
            <w:shd w:val="clear" w:color="auto" w:fill="FCE9D9"/>
          </w:tcPr>
          <w:p>
            <w:pPr/>
          </w:p>
        </w:tc>
        <w:tc>
          <w:tcPr>
            <w:tcW w:w="3824" w:type="dxa"/>
            <w:shd w:val="clear" w:color="auto" w:fill="FCE9D9"/>
          </w:tcPr>
          <w:p>
            <w:pPr/>
          </w:p>
        </w:tc>
      </w:tr>
      <w:tr>
        <w:trPr>
          <w:trHeight w:val="377" w:hRule="exact"/>
        </w:trPr>
        <w:tc>
          <w:tcPr>
            <w:tcW w:w="3260" w:type="dxa"/>
            <w:shd w:val="clear" w:color="auto" w:fill="EAF0DD"/>
          </w:tcPr>
          <w:p>
            <w:pPr>
              <w:pStyle w:val="TableParagraph"/>
              <w:spacing w:line="243" w:lineRule="exact"/>
              <w:ind w:left="441"/>
              <w:rPr>
                <w:b/>
                <w:sz w:val="20"/>
              </w:rPr>
            </w:pPr>
            <w:r>
              <w:rPr>
                <w:b/>
                <w:sz w:val="20"/>
              </w:rPr>
              <w:t>Μη Επιχορηγούμενο Κόστος</w:t>
            </w:r>
          </w:p>
        </w:tc>
        <w:tc>
          <w:tcPr>
            <w:tcW w:w="2410" w:type="dxa"/>
            <w:shd w:val="clear" w:color="auto" w:fill="EAF0DD"/>
          </w:tcPr>
          <w:p>
            <w:pPr/>
          </w:p>
        </w:tc>
        <w:tc>
          <w:tcPr>
            <w:tcW w:w="1706" w:type="dxa"/>
            <w:shd w:val="clear" w:color="auto" w:fill="EAF0DD"/>
          </w:tcPr>
          <w:p>
            <w:pPr/>
          </w:p>
        </w:tc>
        <w:tc>
          <w:tcPr>
            <w:tcW w:w="1560" w:type="dxa"/>
            <w:shd w:val="clear" w:color="auto" w:fill="EAF0DD"/>
          </w:tcPr>
          <w:p>
            <w:pPr/>
          </w:p>
        </w:tc>
        <w:tc>
          <w:tcPr>
            <w:tcW w:w="1985" w:type="dxa"/>
            <w:shd w:val="clear" w:color="auto" w:fill="EAF0DD"/>
          </w:tcPr>
          <w:p>
            <w:pPr/>
          </w:p>
        </w:tc>
        <w:tc>
          <w:tcPr>
            <w:tcW w:w="3824" w:type="dxa"/>
            <w:shd w:val="clear" w:color="auto" w:fill="EAF0DD"/>
          </w:tcPr>
          <w:p>
            <w:pPr/>
          </w:p>
        </w:tc>
      </w:tr>
    </w:tbl>
    <w:p>
      <w:pPr>
        <w:tabs>
          <w:tab w:pos="1678" w:val="left" w:leader="none"/>
        </w:tabs>
        <w:spacing w:line="219" w:lineRule="exact" w:before="0"/>
        <w:ind w:left="958" w:right="0" w:firstLine="0"/>
        <w:jc w:val="left"/>
        <w:rPr>
          <w:i/>
          <w:sz w:val="18"/>
        </w:rPr>
      </w:pPr>
      <w:r>
        <w:rPr>
          <w:b/>
          <w:i/>
          <w:sz w:val="18"/>
        </w:rPr>
        <w:t>(*)</w:t>
        <w:tab/>
      </w:r>
      <w:r>
        <w:rPr>
          <w:i/>
          <w:sz w:val="18"/>
        </w:rPr>
        <w:t>Όπου</w:t>
      </w:r>
      <w:r>
        <w:rPr>
          <w:i/>
          <w:spacing w:val="-8"/>
          <w:sz w:val="18"/>
        </w:rPr>
        <w:t> </w:t>
      </w:r>
      <w:r>
        <w:rPr>
          <w:i/>
          <w:sz w:val="18"/>
        </w:rPr>
        <w:t>υπάρχει</w:t>
      </w:r>
    </w:p>
    <w:p>
      <w:pPr>
        <w:spacing w:after="0" w:line="219" w:lineRule="exact"/>
        <w:jc w:val="left"/>
        <w:rPr>
          <w:sz w:val="18"/>
        </w:rPr>
        <w:sectPr>
          <w:headerReference w:type="default" r:id="rId63"/>
          <w:footerReference w:type="default" r:id="rId64"/>
          <w:pgSz w:w="16840" w:h="11910" w:orient="landscape"/>
          <w:pgMar w:header="1741" w:footer="1588" w:top="1940" w:bottom="1780" w:left="460" w:right="1400"/>
        </w:sectPr>
      </w:pPr>
    </w:p>
    <w:p>
      <w:pPr>
        <w:pStyle w:val="BodyText"/>
        <w:spacing w:before="4"/>
        <w:rPr>
          <w:i/>
          <w:sz w:val="1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2"/>
        <w:gridCol w:w="2355"/>
        <w:gridCol w:w="2698"/>
        <w:gridCol w:w="2465"/>
        <w:gridCol w:w="3269"/>
      </w:tblGrid>
      <w:tr>
        <w:trPr>
          <w:trHeight w:val="1108" w:hRule="exact"/>
        </w:trPr>
        <w:tc>
          <w:tcPr>
            <w:tcW w:w="3432" w:type="dxa"/>
            <w:shd w:val="clear" w:color="auto" w:fill="E6E6E6"/>
          </w:tcPr>
          <w:p>
            <w:pPr>
              <w:pStyle w:val="TableParagraph"/>
              <w:spacing w:before="11"/>
              <w:rPr>
                <w:i/>
                <w:sz w:val="29"/>
              </w:rPr>
            </w:pPr>
          </w:p>
          <w:p>
            <w:pPr>
              <w:pStyle w:val="TableParagraph"/>
              <w:spacing w:line="360" w:lineRule="auto"/>
              <w:ind w:left="103"/>
              <w:rPr>
                <w:b/>
                <w:sz w:val="20"/>
              </w:rPr>
            </w:pPr>
            <w:r>
              <w:rPr>
                <w:b/>
                <w:sz w:val="20"/>
              </w:rPr>
              <w:t>Περιγραφή, αιτιολογία και Χαρακτηριστικά</w:t>
            </w:r>
          </w:p>
        </w:tc>
        <w:tc>
          <w:tcPr>
            <w:tcW w:w="2355" w:type="dxa"/>
            <w:shd w:val="clear" w:color="auto" w:fill="E6E6E6"/>
          </w:tcPr>
          <w:p>
            <w:pPr/>
          </w:p>
        </w:tc>
        <w:tc>
          <w:tcPr>
            <w:tcW w:w="2698" w:type="dxa"/>
            <w:shd w:val="clear" w:color="auto" w:fill="E6E6E6"/>
          </w:tcPr>
          <w:p>
            <w:pPr/>
          </w:p>
        </w:tc>
        <w:tc>
          <w:tcPr>
            <w:tcW w:w="2465" w:type="dxa"/>
            <w:shd w:val="clear" w:color="auto" w:fill="E6E6E6"/>
          </w:tcPr>
          <w:p>
            <w:pPr>
              <w:pStyle w:val="TableParagraph"/>
              <w:spacing w:before="11"/>
              <w:rPr>
                <w:i/>
                <w:sz w:val="29"/>
              </w:rPr>
            </w:pPr>
          </w:p>
          <w:p>
            <w:pPr>
              <w:pStyle w:val="TableParagraph"/>
              <w:ind w:left="103"/>
              <w:rPr>
                <w:b/>
                <w:sz w:val="20"/>
              </w:rPr>
            </w:pPr>
            <w:r>
              <w:rPr>
                <w:b/>
                <w:sz w:val="20"/>
              </w:rPr>
              <w:t>Συνολικό Κόστος</w:t>
            </w:r>
          </w:p>
        </w:tc>
        <w:tc>
          <w:tcPr>
            <w:tcW w:w="3269" w:type="dxa"/>
            <w:shd w:val="clear" w:color="auto" w:fill="E6E6E6"/>
          </w:tcPr>
          <w:p>
            <w:pPr>
              <w:pStyle w:val="TableParagraph"/>
              <w:spacing w:before="11"/>
              <w:rPr>
                <w:i/>
                <w:sz w:val="14"/>
              </w:rPr>
            </w:pPr>
          </w:p>
          <w:p>
            <w:pPr>
              <w:pStyle w:val="TableParagraph"/>
              <w:spacing w:line="357" w:lineRule="auto" w:before="1"/>
              <w:ind w:left="103" w:right="50"/>
              <w:rPr>
                <w:b/>
                <w:sz w:val="20"/>
              </w:rPr>
            </w:pPr>
            <w:r>
              <w:rPr>
                <w:b/>
                <w:sz w:val="20"/>
              </w:rPr>
              <w:t>Προμηθευτής/ σύμβουλος (Επωνυμία και ΑΦΜ)*</w:t>
            </w:r>
          </w:p>
        </w:tc>
      </w:tr>
      <w:tr>
        <w:trPr>
          <w:trHeight w:val="377" w:hRule="exact"/>
        </w:trPr>
        <w:tc>
          <w:tcPr>
            <w:tcW w:w="3432" w:type="dxa"/>
          </w:tcPr>
          <w:p>
            <w:pPr/>
          </w:p>
        </w:tc>
        <w:tc>
          <w:tcPr>
            <w:tcW w:w="2355" w:type="dxa"/>
          </w:tcPr>
          <w:p>
            <w:pPr/>
          </w:p>
        </w:tc>
        <w:tc>
          <w:tcPr>
            <w:tcW w:w="2698" w:type="dxa"/>
          </w:tcPr>
          <w:p>
            <w:pPr/>
          </w:p>
        </w:tc>
        <w:tc>
          <w:tcPr>
            <w:tcW w:w="2465" w:type="dxa"/>
          </w:tcPr>
          <w:p>
            <w:pPr/>
          </w:p>
        </w:tc>
        <w:tc>
          <w:tcPr>
            <w:tcW w:w="3269" w:type="dxa"/>
          </w:tcPr>
          <w:p>
            <w:pPr/>
          </w:p>
        </w:tc>
      </w:tr>
      <w:tr>
        <w:trPr>
          <w:trHeight w:val="377" w:hRule="exact"/>
        </w:trPr>
        <w:tc>
          <w:tcPr>
            <w:tcW w:w="3432" w:type="dxa"/>
          </w:tcPr>
          <w:p>
            <w:pPr/>
          </w:p>
        </w:tc>
        <w:tc>
          <w:tcPr>
            <w:tcW w:w="2355" w:type="dxa"/>
          </w:tcPr>
          <w:p>
            <w:pPr/>
          </w:p>
        </w:tc>
        <w:tc>
          <w:tcPr>
            <w:tcW w:w="2698" w:type="dxa"/>
          </w:tcPr>
          <w:p>
            <w:pPr/>
          </w:p>
        </w:tc>
        <w:tc>
          <w:tcPr>
            <w:tcW w:w="2465" w:type="dxa"/>
          </w:tcPr>
          <w:p>
            <w:pPr/>
          </w:p>
        </w:tc>
        <w:tc>
          <w:tcPr>
            <w:tcW w:w="3269" w:type="dxa"/>
          </w:tcPr>
          <w:p>
            <w:pPr/>
          </w:p>
        </w:tc>
      </w:tr>
      <w:tr>
        <w:trPr>
          <w:trHeight w:val="998" w:hRule="exact"/>
        </w:trPr>
        <w:tc>
          <w:tcPr>
            <w:tcW w:w="3432" w:type="dxa"/>
          </w:tcPr>
          <w:p>
            <w:pPr>
              <w:pStyle w:val="TableParagraph"/>
              <w:tabs>
                <w:tab w:pos="1571" w:val="left" w:leader="none"/>
                <w:tab w:pos="2701" w:val="left" w:leader="none"/>
              </w:tabs>
              <w:spacing w:line="360" w:lineRule="auto"/>
              <w:ind w:left="103" w:right="103"/>
              <w:jc w:val="both"/>
              <w:rPr>
                <w:i/>
                <w:sz w:val="18"/>
              </w:rPr>
            </w:pPr>
            <w:r>
              <w:rPr>
                <w:i/>
                <w:sz w:val="18"/>
              </w:rPr>
              <w:t>Παρακολούθηση και διοίκηση του </w:t>
            </w:r>
            <w:r>
              <w:rPr>
                <w:i/>
                <w:sz w:val="18"/>
              </w:rPr>
              <w:t>επενδυτικού</w:t>
              <w:tab/>
              <w:t>σχεδίου</w:t>
              <w:tab/>
              <w:t>(εφόσον περιλαμβάνεται στο επενδυτικό</w:t>
            </w:r>
            <w:r>
              <w:rPr>
                <w:i/>
                <w:spacing w:val="-15"/>
                <w:sz w:val="18"/>
              </w:rPr>
              <w:t> </w:t>
            </w:r>
            <w:r>
              <w:rPr>
                <w:i/>
                <w:sz w:val="18"/>
              </w:rPr>
              <w:t>σχέδιο)</w:t>
            </w:r>
          </w:p>
        </w:tc>
        <w:tc>
          <w:tcPr>
            <w:tcW w:w="2355" w:type="dxa"/>
          </w:tcPr>
          <w:p>
            <w:pPr/>
          </w:p>
        </w:tc>
        <w:tc>
          <w:tcPr>
            <w:tcW w:w="2698" w:type="dxa"/>
          </w:tcPr>
          <w:p>
            <w:pPr/>
          </w:p>
        </w:tc>
        <w:tc>
          <w:tcPr>
            <w:tcW w:w="2465" w:type="dxa"/>
          </w:tcPr>
          <w:p>
            <w:pPr>
              <w:pStyle w:val="TableParagraph"/>
              <w:spacing w:before="10"/>
              <w:rPr>
                <w:i/>
                <w:sz w:val="26"/>
              </w:rPr>
            </w:pPr>
          </w:p>
          <w:p>
            <w:pPr>
              <w:pStyle w:val="TableParagraph"/>
              <w:ind w:left="780" w:right="780"/>
              <w:jc w:val="center"/>
              <w:rPr>
                <w:i/>
                <w:sz w:val="18"/>
              </w:rPr>
            </w:pPr>
            <w:r>
              <w:rPr>
                <w:i/>
                <w:sz w:val="18"/>
              </w:rPr>
              <w:t>……………….</w:t>
            </w:r>
          </w:p>
          <w:p>
            <w:pPr>
              <w:pStyle w:val="TableParagraph"/>
              <w:spacing w:before="111"/>
              <w:ind w:left="780" w:right="780"/>
              <w:jc w:val="center"/>
              <w:rPr>
                <w:i/>
                <w:sz w:val="16"/>
              </w:rPr>
            </w:pPr>
            <w:r>
              <w:rPr>
                <w:i/>
                <w:sz w:val="16"/>
              </w:rPr>
              <w:t>Έως 5.000 €</w:t>
            </w:r>
          </w:p>
        </w:tc>
        <w:tc>
          <w:tcPr>
            <w:tcW w:w="3269" w:type="dxa"/>
          </w:tcPr>
          <w:p>
            <w:pPr/>
          </w:p>
        </w:tc>
      </w:tr>
      <w:tr>
        <w:trPr>
          <w:trHeight w:val="1182" w:hRule="exact"/>
        </w:trPr>
        <w:tc>
          <w:tcPr>
            <w:tcW w:w="3432" w:type="dxa"/>
            <w:shd w:val="clear" w:color="auto" w:fill="FCE9D9"/>
          </w:tcPr>
          <w:p>
            <w:pPr>
              <w:pStyle w:val="TableParagraph"/>
              <w:rPr>
                <w:i/>
                <w:sz w:val="20"/>
              </w:rPr>
            </w:pPr>
          </w:p>
          <w:p>
            <w:pPr>
              <w:pStyle w:val="TableParagraph"/>
              <w:spacing w:before="122"/>
              <w:ind w:left="507" w:right="507"/>
              <w:jc w:val="center"/>
              <w:rPr>
                <w:b/>
                <w:sz w:val="20"/>
              </w:rPr>
            </w:pPr>
            <w:r>
              <w:rPr>
                <w:b/>
                <w:sz w:val="20"/>
              </w:rPr>
              <w:t>Σύνολο</w:t>
            </w:r>
          </w:p>
        </w:tc>
        <w:tc>
          <w:tcPr>
            <w:tcW w:w="2355" w:type="dxa"/>
            <w:shd w:val="clear" w:color="auto" w:fill="FCE9D9"/>
          </w:tcPr>
          <w:p>
            <w:pPr/>
          </w:p>
        </w:tc>
        <w:tc>
          <w:tcPr>
            <w:tcW w:w="2698" w:type="dxa"/>
            <w:shd w:val="clear" w:color="auto" w:fill="FCE9D9"/>
          </w:tcPr>
          <w:p>
            <w:pPr/>
          </w:p>
        </w:tc>
        <w:tc>
          <w:tcPr>
            <w:tcW w:w="2465" w:type="dxa"/>
            <w:shd w:val="clear" w:color="auto" w:fill="FCE9D9"/>
          </w:tcPr>
          <w:p>
            <w:pPr>
              <w:pStyle w:val="TableParagraph"/>
              <w:spacing w:before="10"/>
              <w:rPr>
                <w:i/>
                <w:sz w:val="23"/>
              </w:rPr>
            </w:pPr>
          </w:p>
          <w:p>
            <w:pPr>
              <w:pStyle w:val="TableParagraph"/>
              <w:spacing w:before="1"/>
              <w:ind w:left="779" w:right="780"/>
              <w:jc w:val="center"/>
              <w:rPr>
                <w:i/>
                <w:sz w:val="16"/>
              </w:rPr>
            </w:pPr>
            <w:r>
              <w:rPr>
                <w:i/>
                <w:sz w:val="16"/>
              </w:rPr>
              <w:t>…….</w:t>
            </w:r>
          </w:p>
          <w:p>
            <w:pPr>
              <w:pStyle w:val="TableParagraph"/>
              <w:rPr>
                <w:i/>
                <w:sz w:val="16"/>
              </w:rPr>
            </w:pPr>
          </w:p>
          <w:p>
            <w:pPr>
              <w:pStyle w:val="TableParagraph"/>
              <w:spacing w:before="11"/>
              <w:rPr>
                <w:i/>
                <w:sz w:val="15"/>
              </w:rPr>
            </w:pPr>
          </w:p>
          <w:p>
            <w:pPr>
              <w:pStyle w:val="TableParagraph"/>
              <w:spacing w:before="1"/>
              <w:ind w:left="780" w:right="780"/>
              <w:jc w:val="center"/>
              <w:rPr>
                <w:i/>
                <w:sz w:val="16"/>
              </w:rPr>
            </w:pPr>
            <w:r>
              <w:rPr>
                <w:i/>
                <w:sz w:val="16"/>
              </w:rPr>
              <w:t>Έως 15.000 €</w:t>
            </w:r>
          </w:p>
        </w:tc>
        <w:tc>
          <w:tcPr>
            <w:tcW w:w="3269" w:type="dxa"/>
            <w:shd w:val="clear" w:color="auto" w:fill="FCE9D9"/>
          </w:tcPr>
          <w:p>
            <w:pPr/>
          </w:p>
        </w:tc>
      </w:tr>
      <w:tr>
        <w:trPr>
          <w:trHeight w:val="376" w:hRule="exact"/>
        </w:trPr>
        <w:tc>
          <w:tcPr>
            <w:tcW w:w="3432" w:type="dxa"/>
            <w:shd w:val="clear" w:color="auto" w:fill="EAF0DD"/>
          </w:tcPr>
          <w:p>
            <w:pPr>
              <w:pStyle w:val="TableParagraph"/>
              <w:ind w:left="507" w:right="507"/>
              <w:jc w:val="center"/>
              <w:rPr>
                <w:b/>
                <w:sz w:val="20"/>
              </w:rPr>
            </w:pPr>
            <w:r>
              <w:rPr>
                <w:b/>
                <w:sz w:val="20"/>
              </w:rPr>
              <w:t>Μη Επιχορηγούμενο Κόστος</w:t>
            </w:r>
          </w:p>
        </w:tc>
        <w:tc>
          <w:tcPr>
            <w:tcW w:w="2355" w:type="dxa"/>
            <w:shd w:val="clear" w:color="auto" w:fill="EAF0DD"/>
          </w:tcPr>
          <w:p>
            <w:pPr/>
          </w:p>
        </w:tc>
        <w:tc>
          <w:tcPr>
            <w:tcW w:w="2698" w:type="dxa"/>
            <w:shd w:val="clear" w:color="auto" w:fill="EAF0DD"/>
          </w:tcPr>
          <w:p>
            <w:pPr/>
          </w:p>
        </w:tc>
        <w:tc>
          <w:tcPr>
            <w:tcW w:w="2465" w:type="dxa"/>
            <w:shd w:val="clear" w:color="auto" w:fill="EAF0DD"/>
          </w:tcPr>
          <w:p>
            <w:pPr/>
          </w:p>
        </w:tc>
        <w:tc>
          <w:tcPr>
            <w:tcW w:w="3269" w:type="dxa"/>
            <w:shd w:val="clear" w:color="auto" w:fill="EAF0DD"/>
          </w:tcPr>
          <w:p>
            <w:pPr/>
          </w:p>
        </w:tc>
      </w:tr>
    </w:tbl>
    <w:p>
      <w:pPr>
        <w:tabs>
          <w:tab w:pos="1698" w:val="left" w:leader="none"/>
        </w:tabs>
        <w:spacing w:line="243" w:lineRule="exact" w:before="0"/>
        <w:ind w:left="978" w:right="0" w:firstLine="0"/>
        <w:jc w:val="left"/>
        <w:rPr>
          <w:i/>
          <w:sz w:val="18"/>
        </w:rPr>
      </w:pPr>
      <w:r>
        <w:rPr>
          <w:b/>
          <w:sz w:val="20"/>
        </w:rPr>
        <w:t>(*)</w:t>
        <w:tab/>
      </w:r>
      <w:r>
        <w:rPr>
          <w:i/>
          <w:sz w:val="18"/>
        </w:rPr>
        <w:t>Όπου</w:t>
      </w:r>
      <w:r>
        <w:rPr>
          <w:i/>
          <w:spacing w:val="-8"/>
          <w:sz w:val="18"/>
        </w:rPr>
        <w:t> </w:t>
      </w:r>
      <w:r>
        <w:rPr>
          <w:i/>
          <w:sz w:val="18"/>
        </w:rPr>
        <w:t>υπάρχει</w:t>
      </w:r>
    </w:p>
    <w:p>
      <w:pPr>
        <w:spacing w:after="0" w:line="243" w:lineRule="exact"/>
        <w:jc w:val="left"/>
        <w:rPr>
          <w:sz w:val="18"/>
        </w:rPr>
        <w:sectPr>
          <w:headerReference w:type="default" r:id="rId65"/>
          <w:footerReference w:type="default" r:id="rId66"/>
          <w:pgSz w:w="16840" w:h="11910" w:orient="landscape"/>
          <w:pgMar w:header="1741" w:footer="1588" w:top="1940" w:bottom="1780" w:left="440" w:right="1940"/>
          <w:pgNumType w:start="11"/>
        </w:sectPr>
      </w:pPr>
    </w:p>
    <w:p>
      <w:pPr>
        <w:pStyle w:val="BodyText"/>
        <w:spacing w:before="4"/>
        <w:rPr>
          <w:i/>
          <w:sz w:val="1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99"/>
        <w:gridCol w:w="2127"/>
        <w:gridCol w:w="2126"/>
        <w:gridCol w:w="2432"/>
        <w:gridCol w:w="2228"/>
        <w:gridCol w:w="2955"/>
      </w:tblGrid>
      <w:tr>
        <w:trPr>
          <w:trHeight w:val="1084" w:hRule="exact"/>
        </w:trPr>
        <w:tc>
          <w:tcPr>
            <w:tcW w:w="3099" w:type="dxa"/>
            <w:shd w:val="clear" w:color="auto" w:fill="E6E6E6"/>
          </w:tcPr>
          <w:p>
            <w:pPr>
              <w:pStyle w:val="TableParagraph"/>
              <w:rPr>
                <w:i/>
                <w:sz w:val="20"/>
              </w:rPr>
            </w:pPr>
          </w:p>
          <w:p>
            <w:pPr>
              <w:pStyle w:val="TableParagraph"/>
              <w:spacing w:before="10"/>
              <w:rPr>
                <w:i/>
                <w:sz w:val="23"/>
              </w:rPr>
            </w:pPr>
          </w:p>
          <w:p>
            <w:pPr>
              <w:pStyle w:val="TableParagraph"/>
              <w:ind w:left="340" w:right="340"/>
              <w:jc w:val="center"/>
              <w:rPr>
                <w:b/>
                <w:sz w:val="20"/>
              </w:rPr>
            </w:pPr>
            <w:r>
              <w:rPr>
                <w:b/>
                <w:sz w:val="20"/>
              </w:rPr>
              <w:t>Περιγραφή και αιτιολογία</w:t>
            </w:r>
          </w:p>
        </w:tc>
        <w:tc>
          <w:tcPr>
            <w:tcW w:w="2127" w:type="dxa"/>
            <w:shd w:val="clear" w:color="auto" w:fill="E6E6E6"/>
          </w:tcPr>
          <w:p>
            <w:pPr>
              <w:pStyle w:val="TableParagraph"/>
              <w:rPr>
                <w:i/>
                <w:sz w:val="20"/>
              </w:rPr>
            </w:pPr>
          </w:p>
          <w:p>
            <w:pPr>
              <w:pStyle w:val="TableParagraph"/>
              <w:spacing w:before="10"/>
              <w:rPr>
                <w:i/>
                <w:sz w:val="23"/>
              </w:rPr>
            </w:pPr>
          </w:p>
          <w:p>
            <w:pPr>
              <w:pStyle w:val="TableParagraph"/>
              <w:ind w:left="799" w:right="800"/>
              <w:jc w:val="center"/>
              <w:rPr>
                <w:b/>
                <w:sz w:val="20"/>
              </w:rPr>
            </w:pPr>
            <w:r>
              <w:rPr>
                <w:b/>
                <w:sz w:val="20"/>
              </w:rPr>
              <w:t>Χώρα</w:t>
            </w:r>
          </w:p>
        </w:tc>
        <w:tc>
          <w:tcPr>
            <w:tcW w:w="2126" w:type="dxa"/>
            <w:shd w:val="clear" w:color="auto" w:fill="E6E6E6"/>
          </w:tcPr>
          <w:p>
            <w:pPr>
              <w:pStyle w:val="TableParagraph"/>
              <w:spacing w:before="11"/>
              <w:rPr>
                <w:i/>
                <w:sz w:val="28"/>
              </w:rPr>
            </w:pPr>
          </w:p>
          <w:p>
            <w:pPr>
              <w:pStyle w:val="TableParagraph"/>
              <w:ind w:left="163"/>
              <w:rPr>
                <w:b/>
                <w:sz w:val="20"/>
              </w:rPr>
            </w:pPr>
            <w:r>
              <w:rPr>
                <w:b/>
                <w:sz w:val="20"/>
              </w:rPr>
              <w:t>Αριθμός συμμετοχών</w:t>
            </w:r>
          </w:p>
        </w:tc>
        <w:tc>
          <w:tcPr>
            <w:tcW w:w="2432" w:type="dxa"/>
            <w:shd w:val="clear" w:color="auto" w:fill="E6E6E6"/>
          </w:tcPr>
          <w:p>
            <w:pPr>
              <w:pStyle w:val="TableParagraph"/>
              <w:spacing w:before="11"/>
              <w:rPr>
                <w:i/>
                <w:sz w:val="28"/>
              </w:rPr>
            </w:pPr>
          </w:p>
          <w:p>
            <w:pPr>
              <w:pStyle w:val="TableParagraph"/>
              <w:ind w:left="463"/>
              <w:rPr>
                <w:b/>
                <w:sz w:val="20"/>
              </w:rPr>
            </w:pPr>
            <w:r>
              <w:rPr>
                <w:b/>
                <w:sz w:val="20"/>
              </w:rPr>
              <w:t>Ανάλυση κόστους</w:t>
            </w:r>
          </w:p>
        </w:tc>
        <w:tc>
          <w:tcPr>
            <w:tcW w:w="2228" w:type="dxa"/>
            <w:shd w:val="clear" w:color="auto" w:fill="E6E6E6"/>
          </w:tcPr>
          <w:p>
            <w:pPr>
              <w:pStyle w:val="TableParagraph"/>
              <w:spacing w:before="11"/>
              <w:rPr>
                <w:i/>
                <w:sz w:val="28"/>
              </w:rPr>
            </w:pPr>
          </w:p>
          <w:p>
            <w:pPr>
              <w:pStyle w:val="TableParagraph"/>
              <w:ind w:left="676"/>
              <w:rPr>
                <w:b/>
                <w:sz w:val="20"/>
              </w:rPr>
            </w:pPr>
            <w:r>
              <w:rPr>
                <w:b/>
                <w:sz w:val="20"/>
              </w:rPr>
              <w:t>Κόστος (€)</w:t>
            </w:r>
          </w:p>
        </w:tc>
        <w:tc>
          <w:tcPr>
            <w:tcW w:w="2955" w:type="dxa"/>
            <w:shd w:val="clear" w:color="auto" w:fill="E6E6E6"/>
          </w:tcPr>
          <w:p>
            <w:pPr>
              <w:pStyle w:val="TableParagraph"/>
              <w:spacing w:before="11"/>
              <w:rPr>
                <w:i/>
                <w:sz w:val="28"/>
              </w:rPr>
            </w:pPr>
          </w:p>
          <w:p>
            <w:pPr>
              <w:pStyle w:val="TableParagraph"/>
              <w:ind w:left="213"/>
              <w:rPr>
                <w:b/>
                <w:sz w:val="20"/>
              </w:rPr>
            </w:pPr>
            <w:r>
              <w:rPr>
                <w:b/>
                <w:sz w:val="20"/>
              </w:rPr>
              <w:t>Επωνυμία Εμπορικής Έκθεσης</w:t>
            </w:r>
          </w:p>
        </w:tc>
      </w:tr>
      <w:tr>
        <w:trPr>
          <w:trHeight w:val="374" w:hRule="exact"/>
        </w:trPr>
        <w:tc>
          <w:tcPr>
            <w:tcW w:w="3099" w:type="dxa"/>
          </w:tcPr>
          <w:p>
            <w:pPr/>
          </w:p>
        </w:tc>
        <w:tc>
          <w:tcPr>
            <w:tcW w:w="2127" w:type="dxa"/>
          </w:tcPr>
          <w:p>
            <w:pPr>
              <w:pStyle w:val="TableParagraph"/>
              <w:spacing w:line="219" w:lineRule="exact"/>
              <w:ind w:left="103"/>
              <w:rPr>
                <w:i/>
                <w:sz w:val="18"/>
              </w:rPr>
            </w:pPr>
            <w:r>
              <w:rPr>
                <w:i/>
                <w:sz w:val="18"/>
              </w:rPr>
              <w:t>ΕΛΛΑΔΑ</w:t>
            </w:r>
          </w:p>
        </w:tc>
        <w:tc>
          <w:tcPr>
            <w:tcW w:w="2126" w:type="dxa"/>
          </w:tcPr>
          <w:p>
            <w:pPr/>
          </w:p>
        </w:tc>
        <w:tc>
          <w:tcPr>
            <w:tcW w:w="2432" w:type="dxa"/>
          </w:tcPr>
          <w:p>
            <w:pPr/>
          </w:p>
        </w:tc>
        <w:tc>
          <w:tcPr>
            <w:tcW w:w="2228" w:type="dxa"/>
          </w:tcPr>
          <w:p>
            <w:pPr/>
          </w:p>
        </w:tc>
        <w:tc>
          <w:tcPr>
            <w:tcW w:w="2955" w:type="dxa"/>
          </w:tcPr>
          <w:p>
            <w:pPr/>
          </w:p>
        </w:tc>
      </w:tr>
      <w:tr>
        <w:trPr>
          <w:trHeight w:val="377" w:hRule="exact"/>
        </w:trPr>
        <w:tc>
          <w:tcPr>
            <w:tcW w:w="3099" w:type="dxa"/>
          </w:tcPr>
          <w:p>
            <w:pPr/>
          </w:p>
        </w:tc>
        <w:tc>
          <w:tcPr>
            <w:tcW w:w="2127" w:type="dxa"/>
          </w:tcPr>
          <w:p>
            <w:pPr>
              <w:pStyle w:val="TableParagraph"/>
              <w:spacing w:before="1"/>
              <w:ind w:left="103"/>
              <w:rPr>
                <w:i/>
                <w:sz w:val="18"/>
              </w:rPr>
            </w:pPr>
            <w:r>
              <w:rPr>
                <w:i/>
                <w:sz w:val="18"/>
              </w:rPr>
              <w:t>ΧΩΡΑ ΕΞΩΤΕΡΙΚΟΥ</w:t>
            </w:r>
          </w:p>
        </w:tc>
        <w:tc>
          <w:tcPr>
            <w:tcW w:w="2126" w:type="dxa"/>
          </w:tcPr>
          <w:p>
            <w:pPr/>
          </w:p>
        </w:tc>
        <w:tc>
          <w:tcPr>
            <w:tcW w:w="2432" w:type="dxa"/>
          </w:tcPr>
          <w:p>
            <w:pPr/>
          </w:p>
        </w:tc>
        <w:tc>
          <w:tcPr>
            <w:tcW w:w="2228" w:type="dxa"/>
          </w:tcPr>
          <w:p>
            <w:pPr/>
          </w:p>
        </w:tc>
        <w:tc>
          <w:tcPr>
            <w:tcW w:w="2955" w:type="dxa"/>
          </w:tcPr>
          <w:p>
            <w:pPr/>
          </w:p>
        </w:tc>
      </w:tr>
      <w:tr>
        <w:trPr>
          <w:trHeight w:val="377" w:hRule="exact"/>
        </w:trPr>
        <w:tc>
          <w:tcPr>
            <w:tcW w:w="3099" w:type="dxa"/>
          </w:tcPr>
          <w:p>
            <w:pPr/>
          </w:p>
        </w:tc>
        <w:tc>
          <w:tcPr>
            <w:tcW w:w="2127" w:type="dxa"/>
          </w:tcPr>
          <w:p>
            <w:pPr/>
          </w:p>
        </w:tc>
        <w:tc>
          <w:tcPr>
            <w:tcW w:w="2126" w:type="dxa"/>
          </w:tcPr>
          <w:p>
            <w:pPr/>
          </w:p>
        </w:tc>
        <w:tc>
          <w:tcPr>
            <w:tcW w:w="2432" w:type="dxa"/>
          </w:tcPr>
          <w:p>
            <w:pPr/>
          </w:p>
        </w:tc>
        <w:tc>
          <w:tcPr>
            <w:tcW w:w="2228" w:type="dxa"/>
          </w:tcPr>
          <w:p>
            <w:pPr/>
          </w:p>
        </w:tc>
        <w:tc>
          <w:tcPr>
            <w:tcW w:w="2955" w:type="dxa"/>
          </w:tcPr>
          <w:p>
            <w:pPr/>
          </w:p>
        </w:tc>
      </w:tr>
      <w:tr>
        <w:trPr>
          <w:trHeight w:val="377" w:hRule="exact"/>
        </w:trPr>
        <w:tc>
          <w:tcPr>
            <w:tcW w:w="3099" w:type="dxa"/>
            <w:shd w:val="clear" w:color="auto" w:fill="FCE9D9"/>
          </w:tcPr>
          <w:p>
            <w:pPr>
              <w:pStyle w:val="TableParagraph"/>
              <w:spacing w:line="243" w:lineRule="exact"/>
              <w:ind w:left="340" w:right="341"/>
              <w:jc w:val="center"/>
              <w:rPr>
                <w:b/>
                <w:sz w:val="20"/>
              </w:rPr>
            </w:pPr>
            <w:r>
              <w:rPr>
                <w:b/>
                <w:sz w:val="20"/>
              </w:rPr>
              <w:t>Σύνολο</w:t>
            </w:r>
          </w:p>
        </w:tc>
        <w:tc>
          <w:tcPr>
            <w:tcW w:w="2127" w:type="dxa"/>
            <w:shd w:val="clear" w:color="auto" w:fill="FCE9D9"/>
          </w:tcPr>
          <w:p>
            <w:pPr/>
          </w:p>
        </w:tc>
        <w:tc>
          <w:tcPr>
            <w:tcW w:w="2126" w:type="dxa"/>
            <w:shd w:val="clear" w:color="auto" w:fill="FCE9D9"/>
          </w:tcPr>
          <w:p>
            <w:pPr/>
          </w:p>
        </w:tc>
        <w:tc>
          <w:tcPr>
            <w:tcW w:w="2432" w:type="dxa"/>
            <w:shd w:val="clear" w:color="auto" w:fill="FCE9D9"/>
          </w:tcPr>
          <w:p>
            <w:pPr/>
          </w:p>
        </w:tc>
        <w:tc>
          <w:tcPr>
            <w:tcW w:w="2228" w:type="dxa"/>
            <w:shd w:val="clear" w:color="auto" w:fill="FCE9D9"/>
          </w:tcPr>
          <w:p>
            <w:pPr/>
          </w:p>
        </w:tc>
        <w:tc>
          <w:tcPr>
            <w:tcW w:w="2955" w:type="dxa"/>
            <w:shd w:val="clear" w:color="auto" w:fill="FCE9D9"/>
          </w:tcPr>
          <w:p>
            <w:pPr/>
          </w:p>
        </w:tc>
      </w:tr>
      <w:tr>
        <w:trPr>
          <w:trHeight w:val="376" w:hRule="exact"/>
        </w:trPr>
        <w:tc>
          <w:tcPr>
            <w:tcW w:w="3099" w:type="dxa"/>
            <w:shd w:val="clear" w:color="auto" w:fill="EAF0DD"/>
          </w:tcPr>
          <w:p>
            <w:pPr>
              <w:pStyle w:val="TableParagraph"/>
              <w:spacing w:line="243" w:lineRule="exact"/>
              <w:ind w:left="340" w:right="342"/>
              <w:jc w:val="center"/>
              <w:rPr>
                <w:b/>
                <w:sz w:val="20"/>
              </w:rPr>
            </w:pPr>
            <w:r>
              <w:rPr>
                <w:b/>
                <w:sz w:val="20"/>
              </w:rPr>
              <w:t>Μη Επιχορηγούμενο Κόστος</w:t>
            </w:r>
          </w:p>
        </w:tc>
        <w:tc>
          <w:tcPr>
            <w:tcW w:w="2127" w:type="dxa"/>
            <w:shd w:val="clear" w:color="auto" w:fill="EAF0DD"/>
          </w:tcPr>
          <w:p>
            <w:pPr/>
          </w:p>
        </w:tc>
        <w:tc>
          <w:tcPr>
            <w:tcW w:w="2126" w:type="dxa"/>
            <w:shd w:val="clear" w:color="auto" w:fill="EAF0DD"/>
          </w:tcPr>
          <w:p>
            <w:pPr/>
          </w:p>
        </w:tc>
        <w:tc>
          <w:tcPr>
            <w:tcW w:w="2432" w:type="dxa"/>
            <w:shd w:val="clear" w:color="auto" w:fill="EAF0DD"/>
          </w:tcPr>
          <w:p>
            <w:pPr/>
          </w:p>
        </w:tc>
        <w:tc>
          <w:tcPr>
            <w:tcW w:w="2228" w:type="dxa"/>
            <w:shd w:val="clear" w:color="auto" w:fill="EAF0DD"/>
          </w:tcPr>
          <w:p>
            <w:pPr/>
          </w:p>
        </w:tc>
        <w:tc>
          <w:tcPr>
            <w:tcW w:w="2955" w:type="dxa"/>
            <w:shd w:val="clear" w:color="auto" w:fill="EAF0DD"/>
          </w:tcPr>
          <w:p>
            <w:pPr/>
          </w:p>
        </w:tc>
      </w:tr>
    </w:tbl>
    <w:p>
      <w:pPr>
        <w:spacing w:line="357" w:lineRule="auto" w:before="0"/>
        <w:ind w:left="978" w:right="0" w:firstLine="40"/>
        <w:jc w:val="left"/>
        <w:rPr>
          <w:i/>
          <w:sz w:val="20"/>
        </w:rPr>
      </w:pPr>
      <w:r>
        <w:rPr>
          <w:i/>
          <w:sz w:val="20"/>
          <w:u w:val="single"/>
        </w:rPr>
        <w:t>σ.σ. </w:t>
      </w:r>
      <w:r>
        <w:rPr>
          <w:i/>
          <w:sz w:val="20"/>
        </w:rPr>
        <w:t>συμπληρώνονται τόσες σειρές στον ανωτέρω πίνακα 6, όσες και οι Εκθέσεις στις οποίες προτείνεται συμμετοχή στο πλαίσιο του Επενδυτικού Σχεδίου. Ισχύουν οι </w:t>
      </w:r>
      <w:r>
        <w:rPr>
          <w:i/>
          <w:sz w:val="20"/>
        </w:rPr>
        <w:t>περιορισμοί της Πρόσκλησης.</w:t>
      </w:r>
    </w:p>
    <w:p>
      <w:pPr>
        <w:pStyle w:val="BodyText"/>
        <w:rPr>
          <w:i/>
          <w:sz w:val="20"/>
        </w:rPr>
      </w:pPr>
    </w:p>
    <w:p>
      <w:pPr>
        <w:tabs>
          <w:tab w:pos="1907" w:val="left" w:leader="none"/>
        </w:tabs>
        <w:spacing w:before="124"/>
        <w:ind w:left="1547" w:right="0" w:firstLine="0"/>
        <w:jc w:val="left"/>
        <w:rPr>
          <w:b/>
          <w:sz w:val="20"/>
        </w:rPr>
      </w:pPr>
      <w:r>
        <w:rPr>
          <w:b/>
          <w:sz w:val="20"/>
          <w:u w:val="single"/>
        </w:rPr>
        <w:t>7.</w:t>
      </w:r>
      <w:r>
        <w:rPr>
          <w:b/>
          <w:sz w:val="20"/>
        </w:rPr>
        <w:tab/>
      </w:r>
      <w:r>
        <w:rPr>
          <w:b/>
          <w:sz w:val="20"/>
          <w:u w:val="single"/>
        </w:rPr>
        <w:t>Ενισχύσεις Καινοτομίας  - Δαπάνες για άυλα στοιχεία ενεργητικού) </w:t>
      </w:r>
      <w:r>
        <w:rPr>
          <w:b/>
          <w:sz w:val="20"/>
        </w:rPr>
        <w:t>(De</w:t>
      </w:r>
      <w:r>
        <w:rPr>
          <w:b/>
          <w:spacing w:val="-18"/>
          <w:sz w:val="20"/>
        </w:rPr>
        <w:t> </w:t>
      </w:r>
      <w:r>
        <w:rPr>
          <w:b/>
          <w:sz w:val="20"/>
        </w:rPr>
        <w:t>Minimis)</w:t>
      </w:r>
    </w:p>
    <w:p>
      <w:pPr>
        <w:pStyle w:val="BodyText"/>
        <w:spacing w:before="2"/>
        <w:rPr>
          <w:b/>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5"/>
        <w:gridCol w:w="2357"/>
        <w:gridCol w:w="2696"/>
        <w:gridCol w:w="2465"/>
        <w:gridCol w:w="3267"/>
      </w:tblGrid>
      <w:tr>
        <w:trPr>
          <w:trHeight w:val="1082" w:hRule="exact"/>
        </w:trPr>
        <w:tc>
          <w:tcPr>
            <w:tcW w:w="3435" w:type="dxa"/>
            <w:shd w:val="clear" w:color="auto" w:fill="E6E6E6"/>
          </w:tcPr>
          <w:p>
            <w:pPr>
              <w:pStyle w:val="TableParagraph"/>
              <w:tabs>
                <w:tab w:pos="1488" w:val="left" w:leader="none"/>
                <w:tab w:pos="2493" w:val="left" w:leader="none"/>
              </w:tabs>
              <w:spacing w:line="357" w:lineRule="auto" w:before="169"/>
              <w:ind w:left="103" w:right="101"/>
              <w:rPr>
                <w:b/>
                <w:sz w:val="20"/>
              </w:rPr>
            </w:pPr>
            <w:r>
              <w:rPr>
                <w:b/>
                <w:sz w:val="20"/>
              </w:rPr>
              <w:t>Περιγραφή</w:t>
              <w:tab/>
              <w:t>άυλων</w:t>
              <w:tab/>
              <w:t>στοιχείων ενεργητικού και</w:t>
            </w:r>
            <w:r>
              <w:rPr>
                <w:b/>
                <w:spacing w:val="-6"/>
                <w:sz w:val="20"/>
              </w:rPr>
              <w:t> </w:t>
            </w:r>
            <w:r>
              <w:rPr>
                <w:b/>
                <w:sz w:val="20"/>
              </w:rPr>
              <w:t>αιτιολογία</w:t>
            </w:r>
          </w:p>
        </w:tc>
        <w:tc>
          <w:tcPr>
            <w:tcW w:w="2357" w:type="dxa"/>
            <w:shd w:val="clear" w:color="auto" w:fill="E6E6E6"/>
          </w:tcPr>
          <w:p>
            <w:pPr/>
          </w:p>
        </w:tc>
        <w:tc>
          <w:tcPr>
            <w:tcW w:w="2696" w:type="dxa"/>
            <w:shd w:val="clear" w:color="auto" w:fill="E6E6E6"/>
          </w:tcPr>
          <w:p>
            <w:pPr/>
          </w:p>
        </w:tc>
        <w:tc>
          <w:tcPr>
            <w:tcW w:w="2465" w:type="dxa"/>
            <w:shd w:val="clear" w:color="auto" w:fill="E6E6E6"/>
          </w:tcPr>
          <w:p>
            <w:pPr>
              <w:pStyle w:val="TableParagraph"/>
              <w:spacing w:before="10"/>
              <w:rPr>
                <w:b/>
                <w:sz w:val="28"/>
              </w:rPr>
            </w:pPr>
          </w:p>
          <w:p>
            <w:pPr>
              <w:pStyle w:val="TableParagraph"/>
              <w:ind w:left="525"/>
              <w:rPr>
                <w:b/>
                <w:sz w:val="20"/>
              </w:rPr>
            </w:pPr>
            <w:r>
              <w:rPr>
                <w:b/>
                <w:sz w:val="20"/>
              </w:rPr>
              <w:t>Συνολικό Κόστος</w:t>
            </w:r>
          </w:p>
        </w:tc>
        <w:tc>
          <w:tcPr>
            <w:tcW w:w="3267" w:type="dxa"/>
            <w:shd w:val="clear" w:color="auto" w:fill="E6E6E6"/>
          </w:tcPr>
          <w:p>
            <w:pPr>
              <w:pStyle w:val="TableParagraph"/>
              <w:spacing w:before="10"/>
              <w:rPr>
                <w:b/>
                <w:sz w:val="28"/>
              </w:rPr>
            </w:pPr>
          </w:p>
          <w:p>
            <w:pPr>
              <w:pStyle w:val="TableParagraph"/>
              <w:ind w:left="1389" w:right="1391"/>
              <w:jc w:val="center"/>
              <w:rPr>
                <w:b/>
                <w:sz w:val="20"/>
              </w:rPr>
            </w:pPr>
            <w:r>
              <w:rPr>
                <w:b/>
                <w:sz w:val="20"/>
              </w:rPr>
              <w:t>Πηγή</w:t>
            </w:r>
          </w:p>
        </w:tc>
      </w:tr>
      <w:tr>
        <w:trPr>
          <w:trHeight w:val="377" w:hRule="exact"/>
        </w:trPr>
        <w:tc>
          <w:tcPr>
            <w:tcW w:w="3435" w:type="dxa"/>
          </w:tcPr>
          <w:p>
            <w:pPr/>
          </w:p>
        </w:tc>
        <w:tc>
          <w:tcPr>
            <w:tcW w:w="2357" w:type="dxa"/>
          </w:tcPr>
          <w:p>
            <w:pPr/>
          </w:p>
        </w:tc>
        <w:tc>
          <w:tcPr>
            <w:tcW w:w="2696" w:type="dxa"/>
          </w:tcPr>
          <w:p>
            <w:pPr/>
          </w:p>
        </w:tc>
        <w:tc>
          <w:tcPr>
            <w:tcW w:w="2465" w:type="dxa"/>
          </w:tcPr>
          <w:p>
            <w:pPr/>
          </w:p>
        </w:tc>
        <w:tc>
          <w:tcPr>
            <w:tcW w:w="3267" w:type="dxa"/>
          </w:tcPr>
          <w:p>
            <w:pPr/>
          </w:p>
        </w:tc>
      </w:tr>
      <w:tr>
        <w:trPr>
          <w:trHeight w:val="376" w:hRule="exact"/>
        </w:trPr>
        <w:tc>
          <w:tcPr>
            <w:tcW w:w="3435" w:type="dxa"/>
          </w:tcPr>
          <w:p>
            <w:pPr/>
          </w:p>
        </w:tc>
        <w:tc>
          <w:tcPr>
            <w:tcW w:w="2357" w:type="dxa"/>
          </w:tcPr>
          <w:p>
            <w:pPr/>
          </w:p>
        </w:tc>
        <w:tc>
          <w:tcPr>
            <w:tcW w:w="2696" w:type="dxa"/>
          </w:tcPr>
          <w:p>
            <w:pPr/>
          </w:p>
        </w:tc>
        <w:tc>
          <w:tcPr>
            <w:tcW w:w="2465" w:type="dxa"/>
          </w:tcPr>
          <w:p>
            <w:pPr/>
          </w:p>
        </w:tc>
        <w:tc>
          <w:tcPr>
            <w:tcW w:w="3267" w:type="dxa"/>
          </w:tcPr>
          <w:p>
            <w:pPr/>
          </w:p>
        </w:tc>
      </w:tr>
      <w:tr>
        <w:trPr>
          <w:trHeight w:val="376" w:hRule="exact"/>
        </w:trPr>
        <w:tc>
          <w:tcPr>
            <w:tcW w:w="3435" w:type="dxa"/>
            <w:shd w:val="clear" w:color="auto" w:fill="FCE9D9"/>
          </w:tcPr>
          <w:p>
            <w:pPr>
              <w:pStyle w:val="TableParagraph"/>
              <w:ind w:left="508" w:right="509"/>
              <w:jc w:val="center"/>
              <w:rPr>
                <w:b/>
                <w:sz w:val="20"/>
              </w:rPr>
            </w:pPr>
            <w:r>
              <w:rPr>
                <w:b/>
                <w:sz w:val="20"/>
              </w:rPr>
              <w:t>Σύνολο</w:t>
            </w:r>
          </w:p>
        </w:tc>
        <w:tc>
          <w:tcPr>
            <w:tcW w:w="2357" w:type="dxa"/>
            <w:shd w:val="clear" w:color="auto" w:fill="FCE9D9"/>
          </w:tcPr>
          <w:p>
            <w:pPr/>
          </w:p>
        </w:tc>
        <w:tc>
          <w:tcPr>
            <w:tcW w:w="2696" w:type="dxa"/>
            <w:shd w:val="clear" w:color="auto" w:fill="FCE9D9"/>
          </w:tcPr>
          <w:p>
            <w:pPr/>
          </w:p>
        </w:tc>
        <w:tc>
          <w:tcPr>
            <w:tcW w:w="2465" w:type="dxa"/>
            <w:shd w:val="clear" w:color="auto" w:fill="FCE9D9"/>
          </w:tcPr>
          <w:p>
            <w:pPr/>
          </w:p>
        </w:tc>
        <w:tc>
          <w:tcPr>
            <w:tcW w:w="3267" w:type="dxa"/>
            <w:shd w:val="clear" w:color="auto" w:fill="FCE9D9"/>
          </w:tcPr>
          <w:p>
            <w:pPr/>
          </w:p>
        </w:tc>
      </w:tr>
      <w:tr>
        <w:trPr>
          <w:trHeight w:val="377" w:hRule="exact"/>
        </w:trPr>
        <w:tc>
          <w:tcPr>
            <w:tcW w:w="3435" w:type="dxa"/>
            <w:shd w:val="clear" w:color="auto" w:fill="EAF0DD"/>
          </w:tcPr>
          <w:p>
            <w:pPr>
              <w:pStyle w:val="TableParagraph"/>
              <w:spacing w:line="244" w:lineRule="exact"/>
              <w:ind w:left="508" w:right="510"/>
              <w:jc w:val="center"/>
              <w:rPr>
                <w:b/>
                <w:sz w:val="20"/>
              </w:rPr>
            </w:pPr>
            <w:r>
              <w:rPr>
                <w:b/>
                <w:sz w:val="20"/>
              </w:rPr>
              <w:t>Μη Επιχορηγούμενο Κόστος</w:t>
            </w:r>
          </w:p>
        </w:tc>
        <w:tc>
          <w:tcPr>
            <w:tcW w:w="2357" w:type="dxa"/>
            <w:shd w:val="clear" w:color="auto" w:fill="EAF0DD"/>
          </w:tcPr>
          <w:p>
            <w:pPr/>
          </w:p>
        </w:tc>
        <w:tc>
          <w:tcPr>
            <w:tcW w:w="2696" w:type="dxa"/>
            <w:shd w:val="clear" w:color="auto" w:fill="EAF0DD"/>
          </w:tcPr>
          <w:p>
            <w:pPr/>
          </w:p>
        </w:tc>
        <w:tc>
          <w:tcPr>
            <w:tcW w:w="2465" w:type="dxa"/>
            <w:shd w:val="clear" w:color="auto" w:fill="EAF0DD"/>
          </w:tcPr>
          <w:p>
            <w:pPr/>
          </w:p>
        </w:tc>
        <w:tc>
          <w:tcPr>
            <w:tcW w:w="3267" w:type="dxa"/>
            <w:shd w:val="clear" w:color="auto" w:fill="EAF0DD"/>
          </w:tcPr>
          <w:p>
            <w:pPr/>
          </w:p>
        </w:tc>
      </w:tr>
    </w:tbl>
    <w:p>
      <w:pPr>
        <w:spacing w:after="0"/>
        <w:sectPr>
          <w:headerReference w:type="default" r:id="rId67"/>
          <w:pgSz w:w="16840" w:h="11910" w:orient="landscape"/>
          <w:pgMar w:header="1741" w:footer="1588" w:top="1940" w:bottom="1780" w:left="440" w:right="1180"/>
        </w:sectPr>
      </w:pPr>
    </w:p>
    <w:p>
      <w:pPr>
        <w:pStyle w:val="BodyText"/>
        <w:spacing w:before="4"/>
        <w:rPr>
          <w:b/>
          <w:sz w:val="1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10"/>
        <w:gridCol w:w="3545"/>
        <w:gridCol w:w="3827"/>
      </w:tblGrid>
      <w:tr>
        <w:trPr>
          <w:trHeight w:val="1084" w:hRule="exact"/>
        </w:trPr>
        <w:tc>
          <w:tcPr>
            <w:tcW w:w="6810" w:type="dxa"/>
            <w:shd w:val="clear" w:color="auto" w:fill="E6E6E6"/>
          </w:tcPr>
          <w:p>
            <w:pPr>
              <w:pStyle w:val="TableParagraph"/>
              <w:spacing w:before="11"/>
              <w:rPr>
                <w:b/>
                <w:sz w:val="28"/>
              </w:rPr>
            </w:pPr>
          </w:p>
          <w:p>
            <w:pPr>
              <w:pStyle w:val="TableParagraph"/>
              <w:ind w:left="103"/>
              <w:rPr>
                <w:b/>
                <w:sz w:val="20"/>
              </w:rPr>
            </w:pPr>
            <w:r>
              <w:rPr>
                <w:b/>
                <w:sz w:val="20"/>
              </w:rPr>
              <w:t>Περιγραφή και αιτιολογία</w:t>
            </w:r>
          </w:p>
        </w:tc>
        <w:tc>
          <w:tcPr>
            <w:tcW w:w="3545" w:type="dxa"/>
            <w:shd w:val="clear" w:color="auto" w:fill="E6E6E6"/>
          </w:tcPr>
          <w:p>
            <w:pPr>
              <w:pStyle w:val="TableParagraph"/>
              <w:spacing w:before="11"/>
              <w:rPr>
                <w:b/>
                <w:sz w:val="28"/>
              </w:rPr>
            </w:pPr>
          </w:p>
          <w:p>
            <w:pPr>
              <w:pStyle w:val="TableParagraph"/>
              <w:ind w:left="103"/>
              <w:rPr>
                <w:b/>
                <w:sz w:val="20"/>
              </w:rPr>
            </w:pPr>
            <w:r>
              <w:rPr>
                <w:b/>
                <w:sz w:val="20"/>
              </w:rPr>
              <w:t>Συνολικό Κόστος</w:t>
            </w:r>
          </w:p>
        </w:tc>
        <w:tc>
          <w:tcPr>
            <w:tcW w:w="3827" w:type="dxa"/>
            <w:shd w:val="clear" w:color="auto" w:fill="E6E6E6"/>
          </w:tcPr>
          <w:p>
            <w:pPr>
              <w:pStyle w:val="TableParagraph"/>
              <w:spacing w:before="11"/>
              <w:rPr>
                <w:b/>
                <w:sz w:val="28"/>
              </w:rPr>
            </w:pPr>
          </w:p>
          <w:p>
            <w:pPr>
              <w:pStyle w:val="TableParagraph"/>
              <w:ind w:left="103"/>
              <w:rPr>
                <w:b/>
                <w:sz w:val="20"/>
              </w:rPr>
            </w:pPr>
            <w:r>
              <w:rPr>
                <w:b/>
                <w:sz w:val="20"/>
              </w:rPr>
              <w:t>Προμηθευτής (Επιχείρηση και ΑΦΜ)*</w:t>
            </w:r>
          </w:p>
        </w:tc>
      </w:tr>
      <w:tr>
        <w:trPr>
          <w:trHeight w:val="374" w:hRule="exact"/>
        </w:trPr>
        <w:tc>
          <w:tcPr>
            <w:tcW w:w="6810" w:type="dxa"/>
          </w:tcPr>
          <w:p>
            <w:pPr/>
          </w:p>
        </w:tc>
        <w:tc>
          <w:tcPr>
            <w:tcW w:w="3545" w:type="dxa"/>
          </w:tcPr>
          <w:p>
            <w:pPr/>
          </w:p>
        </w:tc>
        <w:tc>
          <w:tcPr>
            <w:tcW w:w="3827" w:type="dxa"/>
          </w:tcPr>
          <w:p>
            <w:pPr/>
          </w:p>
        </w:tc>
      </w:tr>
      <w:tr>
        <w:trPr>
          <w:trHeight w:val="377" w:hRule="exact"/>
        </w:trPr>
        <w:tc>
          <w:tcPr>
            <w:tcW w:w="6810" w:type="dxa"/>
          </w:tcPr>
          <w:p>
            <w:pPr/>
          </w:p>
        </w:tc>
        <w:tc>
          <w:tcPr>
            <w:tcW w:w="3545" w:type="dxa"/>
          </w:tcPr>
          <w:p>
            <w:pPr/>
          </w:p>
        </w:tc>
        <w:tc>
          <w:tcPr>
            <w:tcW w:w="3827" w:type="dxa"/>
          </w:tcPr>
          <w:p>
            <w:pPr/>
          </w:p>
        </w:tc>
      </w:tr>
      <w:tr>
        <w:trPr>
          <w:trHeight w:val="377" w:hRule="exact"/>
        </w:trPr>
        <w:tc>
          <w:tcPr>
            <w:tcW w:w="6810" w:type="dxa"/>
            <w:shd w:val="clear" w:color="auto" w:fill="FCE9D9"/>
          </w:tcPr>
          <w:p>
            <w:pPr>
              <w:pStyle w:val="TableParagraph"/>
              <w:spacing w:line="243" w:lineRule="exact"/>
              <w:ind w:left="103"/>
              <w:rPr>
                <w:b/>
                <w:sz w:val="20"/>
              </w:rPr>
            </w:pPr>
            <w:r>
              <w:rPr>
                <w:b/>
                <w:sz w:val="20"/>
              </w:rPr>
              <w:t>Σύνολο</w:t>
            </w:r>
          </w:p>
        </w:tc>
        <w:tc>
          <w:tcPr>
            <w:tcW w:w="3545" w:type="dxa"/>
            <w:shd w:val="clear" w:color="auto" w:fill="FCE9D9"/>
          </w:tcPr>
          <w:p>
            <w:pPr/>
          </w:p>
        </w:tc>
        <w:tc>
          <w:tcPr>
            <w:tcW w:w="3827" w:type="dxa"/>
            <w:shd w:val="clear" w:color="auto" w:fill="FCE9D9"/>
          </w:tcPr>
          <w:p>
            <w:pPr/>
          </w:p>
        </w:tc>
      </w:tr>
      <w:tr>
        <w:trPr>
          <w:trHeight w:val="377" w:hRule="exact"/>
        </w:trPr>
        <w:tc>
          <w:tcPr>
            <w:tcW w:w="6810" w:type="dxa"/>
            <w:shd w:val="clear" w:color="auto" w:fill="EAF0DD"/>
          </w:tcPr>
          <w:p>
            <w:pPr>
              <w:pStyle w:val="TableParagraph"/>
              <w:spacing w:line="243" w:lineRule="exact"/>
              <w:ind w:left="103"/>
              <w:rPr>
                <w:b/>
                <w:sz w:val="20"/>
              </w:rPr>
            </w:pPr>
            <w:r>
              <w:rPr>
                <w:b/>
                <w:sz w:val="20"/>
              </w:rPr>
              <w:t>Μη Επιχορηγούμενο Κόστος</w:t>
            </w:r>
          </w:p>
        </w:tc>
        <w:tc>
          <w:tcPr>
            <w:tcW w:w="3545" w:type="dxa"/>
            <w:shd w:val="clear" w:color="auto" w:fill="EAF0DD"/>
          </w:tcPr>
          <w:p>
            <w:pPr/>
          </w:p>
        </w:tc>
        <w:tc>
          <w:tcPr>
            <w:tcW w:w="3827" w:type="dxa"/>
            <w:shd w:val="clear" w:color="auto" w:fill="EAF0DD"/>
          </w:tcPr>
          <w:p>
            <w:pPr/>
          </w:p>
        </w:tc>
      </w:tr>
    </w:tbl>
    <w:p>
      <w:pPr>
        <w:tabs>
          <w:tab w:pos="1698" w:val="left" w:leader="none"/>
        </w:tabs>
        <w:spacing w:line="243" w:lineRule="exact" w:before="0"/>
        <w:ind w:left="978" w:right="0" w:firstLine="0"/>
        <w:jc w:val="left"/>
        <w:rPr>
          <w:i/>
          <w:sz w:val="18"/>
        </w:rPr>
      </w:pPr>
      <w:r>
        <w:rPr>
          <w:b/>
          <w:sz w:val="20"/>
        </w:rPr>
        <w:t>(*)</w:t>
        <w:tab/>
      </w:r>
      <w:r>
        <w:rPr>
          <w:i/>
          <w:sz w:val="18"/>
        </w:rPr>
        <w:t>Όπου</w:t>
      </w:r>
      <w:r>
        <w:rPr>
          <w:i/>
          <w:spacing w:val="-8"/>
          <w:sz w:val="18"/>
        </w:rPr>
        <w:t> </w:t>
      </w:r>
      <w:r>
        <w:rPr>
          <w:i/>
          <w:sz w:val="18"/>
        </w:rPr>
        <w:t>υπάρχει</w:t>
      </w:r>
    </w:p>
    <w:p>
      <w:pPr>
        <w:tabs>
          <w:tab w:pos="1907" w:val="left" w:leader="none"/>
        </w:tabs>
        <w:spacing w:before="120"/>
        <w:ind w:left="1547" w:right="0" w:firstLine="0"/>
        <w:jc w:val="left"/>
        <w:rPr>
          <w:b/>
          <w:sz w:val="20"/>
        </w:rPr>
      </w:pPr>
      <w:r>
        <w:rPr>
          <w:b/>
          <w:sz w:val="20"/>
          <w:u w:val="single"/>
        </w:rPr>
        <w:t>9.</w:t>
      </w:r>
      <w:r>
        <w:rPr>
          <w:b/>
          <w:sz w:val="20"/>
        </w:rPr>
        <w:tab/>
      </w:r>
      <w:r>
        <w:rPr>
          <w:b/>
          <w:sz w:val="20"/>
          <w:u w:val="single"/>
        </w:rPr>
        <w:t>Ενισχύσεις Καινοτομίας  - Γνώσεις και διπλώματα ευρεσιτεχνίας </w:t>
      </w:r>
      <w:r>
        <w:rPr>
          <w:b/>
          <w:sz w:val="20"/>
        </w:rPr>
        <w:t>(De</w:t>
      </w:r>
      <w:r>
        <w:rPr>
          <w:b/>
          <w:spacing w:val="-19"/>
          <w:sz w:val="20"/>
        </w:rPr>
        <w:t> </w:t>
      </w:r>
      <w:r>
        <w:rPr>
          <w:b/>
          <w:sz w:val="20"/>
        </w:rPr>
        <w:t>minimis)</w:t>
      </w:r>
    </w:p>
    <w:p>
      <w:pPr>
        <w:pStyle w:val="BodyText"/>
        <w:spacing w:before="1" w:after="1"/>
        <w:rPr>
          <w:b/>
          <w:sz w:val="1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5"/>
        <w:gridCol w:w="2357"/>
        <w:gridCol w:w="2696"/>
        <w:gridCol w:w="2465"/>
        <w:gridCol w:w="3267"/>
      </w:tblGrid>
      <w:tr>
        <w:trPr>
          <w:trHeight w:val="1083" w:hRule="exact"/>
        </w:trPr>
        <w:tc>
          <w:tcPr>
            <w:tcW w:w="3435" w:type="dxa"/>
            <w:shd w:val="clear" w:color="auto" w:fill="E6E6E6"/>
          </w:tcPr>
          <w:p>
            <w:pPr>
              <w:pStyle w:val="TableParagraph"/>
              <w:spacing w:line="360" w:lineRule="auto" w:before="169"/>
              <w:ind w:left="103"/>
              <w:rPr>
                <w:b/>
                <w:sz w:val="20"/>
              </w:rPr>
            </w:pPr>
            <w:r>
              <w:rPr>
                <w:b/>
                <w:sz w:val="20"/>
              </w:rPr>
              <w:t>Περιγραφή γνώσεων και διπλωμάτων ευρεσιτεχνίας και αιτιολογία</w:t>
            </w:r>
          </w:p>
        </w:tc>
        <w:tc>
          <w:tcPr>
            <w:tcW w:w="2357" w:type="dxa"/>
            <w:shd w:val="clear" w:color="auto" w:fill="E6E6E6"/>
          </w:tcPr>
          <w:p>
            <w:pPr>
              <w:pStyle w:val="TableParagraph"/>
              <w:spacing w:before="10"/>
              <w:rPr>
                <w:b/>
                <w:sz w:val="28"/>
              </w:rPr>
            </w:pPr>
          </w:p>
          <w:p>
            <w:pPr>
              <w:pStyle w:val="TableParagraph"/>
              <w:ind w:left="103"/>
              <w:rPr>
                <w:b/>
                <w:sz w:val="20"/>
              </w:rPr>
            </w:pPr>
            <w:r>
              <w:rPr>
                <w:b/>
                <w:sz w:val="20"/>
              </w:rPr>
              <w:t>Τιμή μονάδας</w:t>
            </w:r>
          </w:p>
        </w:tc>
        <w:tc>
          <w:tcPr>
            <w:tcW w:w="2696" w:type="dxa"/>
            <w:shd w:val="clear" w:color="auto" w:fill="E6E6E6"/>
          </w:tcPr>
          <w:p>
            <w:pPr>
              <w:pStyle w:val="TableParagraph"/>
              <w:spacing w:before="10"/>
              <w:rPr>
                <w:b/>
                <w:sz w:val="28"/>
              </w:rPr>
            </w:pPr>
          </w:p>
          <w:p>
            <w:pPr>
              <w:pStyle w:val="TableParagraph"/>
              <w:ind w:left="100"/>
              <w:rPr>
                <w:b/>
                <w:sz w:val="20"/>
              </w:rPr>
            </w:pPr>
            <w:r>
              <w:rPr>
                <w:b/>
                <w:sz w:val="20"/>
              </w:rPr>
              <w:t>Μονάδα Μέτρησης</w:t>
            </w:r>
          </w:p>
        </w:tc>
        <w:tc>
          <w:tcPr>
            <w:tcW w:w="2465" w:type="dxa"/>
            <w:shd w:val="clear" w:color="auto" w:fill="E6E6E6"/>
          </w:tcPr>
          <w:p>
            <w:pPr>
              <w:pStyle w:val="TableParagraph"/>
              <w:spacing w:before="10"/>
              <w:rPr>
                <w:b/>
                <w:sz w:val="28"/>
              </w:rPr>
            </w:pPr>
          </w:p>
          <w:p>
            <w:pPr>
              <w:pStyle w:val="TableParagraph"/>
              <w:ind w:left="103"/>
              <w:rPr>
                <w:b/>
                <w:sz w:val="20"/>
              </w:rPr>
            </w:pPr>
            <w:r>
              <w:rPr>
                <w:b/>
                <w:sz w:val="20"/>
              </w:rPr>
              <w:t>Συνολικό Κόστος</w:t>
            </w:r>
          </w:p>
        </w:tc>
        <w:tc>
          <w:tcPr>
            <w:tcW w:w="3267" w:type="dxa"/>
            <w:shd w:val="clear" w:color="auto" w:fill="E6E6E6"/>
          </w:tcPr>
          <w:p>
            <w:pPr>
              <w:pStyle w:val="TableParagraph"/>
              <w:tabs>
                <w:tab w:pos="1556" w:val="left" w:leader="none"/>
                <w:tab w:pos="2880" w:val="left" w:leader="none"/>
              </w:tabs>
              <w:spacing w:line="360" w:lineRule="auto" w:before="169"/>
              <w:ind w:left="103" w:right="104"/>
              <w:rPr>
                <w:b/>
                <w:sz w:val="20"/>
              </w:rPr>
            </w:pPr>
            <w:r>
              <w:rPr>
                <w:b/>
                <w:sz w:val="20"/>
              </w:rPr>
              <w:t>Προμηθευτής</w:t>
              <w:tab/>
              <w:t>(Επιχείρηση</w:t>
              <w:tab/>
              <w:t>και</w:t>
            </w:r>
            <w:r>
              <w:rPr>
                <w:b/>
                <w:w w:val="99"/>
                <w:sz w:val="20"/>
              </w:rPr>
              <w:t> </w:t>
            </w:r>
            <w:r>
              <w:rPr>
                <w:b/>
                <w:sz w:val="20"/>
              </w:rPr>
              <w:t>ΑΦΜ)*</w:t>
            </w:r>
          </w:p>
        </w:tc>
      </w:tr>
      <w:tr>
        <w:trPr>
          <w:trHeight w:val="377" w:hRule="exact"/>
        </w:trPr>
        <w:tc>
          <w:tcPr>
            <w:tcW w:w="3435" w:type="dxa"/>
          </w:tcPr>
          <w:p>
            <w:pPr/>
          </w:p>
        </w:tc>
        <w:tc>
          <w:tcPr>
            <w:tcW w:w="2357" w:type="dxa"/>
          </w:tcPr>
          <w:p>
            <w:pPr/>
          </w:p>
        </w:tc>
        <w:tc>
          <w:tcPr>
            <w:tcW w:w="2696" w:type="dxa"/>
          </w:tcPr>
          <w:p>
            <w:pPr/>
          </w:p>
        </w:tc>
        <w:tc>
          <w:tcPr>
            <w:tcW w:w="2465" w:type="dxa"/>
          </w:tcPr>
          <w:p>
            <w:pPr/>
          </w:p>
        </w:tc>
        <w:tc>
          <w:tcPr>
            <w:tcW w:w="3267" w:type="dxa"/>
          </w:tcPr>
          <w:p>
            <w:pPr/>
          </w:p>
        </w:tc>
      </w:tr>
      <w:tr>
        <w:trPr>
          <w:trHeight w:val="377" w:hRule="exact"/>
        </w:trPr>
        <w:tc>
          <w:tcPr>
            <w:tcW w:w="3435" w:type="dxa"/>
          </w:tcPr>
          <w:p>
            <w:pPr/>
          </w:p>
        </w:tc>
        <w:tc>
          <w:tcPr>
            <w:tcW w:w="2357" w:type="dxa"/>
          </w:tcPr>
          <w:p>
            <w:pPr/>
          </w:p>
        </w:tc>
        <w:tc>
          <w:tcPr>
            <w:tcW w:w="2696" w:type="dxa"/>
          </w:tcPr>
          <w:p>
            <w:pPr/>
          </w:p>
        </w:tc>
        <w:tc>
          <w:tcPr>
            <w:tcW w:w="2465" w:type="dxa"/>
          </w:tcPr>
          <w:p>
            <w:pPr/>
          </w:p>
        </w:tc>
        <w:tc>
          <w:tcPr>
            <w:tcW w:w="3267" w:type="dxa"/>
          </w:tcPr>
          <w:p>
            <w:pPr/>
          </w:p>
        </w:tc>
      </w:tr>
      <w:tr>
        <w:trPr>
          <w:trHeight w:val="376" w:hRule="exact"/>
        </w:trPr>
        <w:tc>
          <w:tcPr>
            <w:tcW w:w="3435" w:type="dxa"/>
            <w:shd w:val="clear" w:color="auto" w:fill="FCE9D9"/>
          </w:tcPr>
          <w:p>
            <w:pPr>
              <w:pStyle w:val="TableParagraph"/>
              <w:spacing w:line="243" w:lineRule="exact"/>
              <w:ind w:left="103"/>
              <w:rPr>
                <w:b/>
                <w:sz w:val="20"/>
              </w:rPr>
            </w:pPr>
            <w:r>
              <w:rPr>
                <w:b/>
                <w:sz w:val="20"/>
              </w:rPr>
              <w:t>Σύνολο</w:t>
            </w:r>
          </w:p>
        </w:tc>
        <w:tc>
          <w:tcPr>
            <w:tcW w:w="2357" w:type="dxa"/>
            <w:shd w:val="clear" w:color="auto" w:fill="FCE9D9"/>
          </w:tcPr>
          <w:p>
            <w:pPr/>
          </w:p>
        </w:tc>
        <w:tc>
          <w:tcPr>
            <w:tcW w:w="2696" w:type="dxa"/>
            <w:shd w:val="clear" w:color="auto" w:fill="FCE9D9"/>
          </w:tcPr>
          <w:p>
            <w:pPr/>
          </w:p>
        </w:tc>
        <w:tc>
          <w:tcPr>
            <w:tcW w:w="2465" w:type="dxa"/>
            <w:shd w:val="clear" w:color="auto" w:fill="FCE9D9"/>
          </w:tcPr>
          <w:p>
            <w:pPr/>
          </w:p>
        </w:tc>
        <w:tc>
          <w:tcPr>
            <w:tcW w:w="3267" w:type="dxa"/>
            <w:shd w:val="clear" w:color="auto" w:fill="FCE9D9"/>
          </w:tcPr>
          <w:p>
            <w:pPr/>
          </w:p>
        </w:tc>
      </w:tr>
      <w:tr>
        <w:trPr>
          <w:trHeight w:val="376" w:hRule="exact"/>
        </w:trPr>
        <w:tc>
          <w:tcPr>
            <w:tcW w:w="3435" w:type="dxa"/>
            <w:shd w:val="clear" w:color="auto" w:fill="EAF0DD"/>
          </w:tcPr>
          <w:p>
            <w:pPr>
              <w:pStyle w:val="TableParagraph"/>
              <w:ind w:left="103"/>
              <w:rPr>
                <w:b/>
                <w:sz w:val="20"/>
              </w:rPr>
            </w:pPr>
            <w:r>
              <w:rPr>
                <w:b/>
                <w:sz w:val="20"/>
              </w:rPr>
              <w:t>Μη Επιχορηγούμενο Κόστος</w:t>
            </w:r>
          </w:p>
        </w:tc>
        <w:tc>
          <w:tcPr>
            <w:tcW w:w="2357" w:type="dxa"/>
            <w:shd w:val="clear" w:color="auto" w:fill="EAF0DD"/>
          </w:tcPr>
          <w:p>
            <w:pPr/>
          </w:p>
        </w:tc>
        <w:tc>
          <w:tcPr>
            <w:tcW w:w="2696" w:type="dxa"/>
            <w:shd w:val="clear" w:color="auto" w:fill="EAF0DD"/>
          </w:tcPr>
          <w:p>
            <w:pPr/>
          </w:p>
        </w:tc>
        <w:tc>
          <w:tcPr>
            <w:tcW w:w="2465" w:type="dxa"/>
            <w:shd w:val="clear" w:color="auto" w:fill="EAF0DD"/>
          </w:tcPr>
          <w:p>
            <w:pPr/>
          </w:p>
        </w:tc>
        <w:tc>
          <w:tcPr>
            <w:tcW w:w="3267" w:type="dxa"/>
            <w:shd w:val="clear" w:color="auto" w:fill="EAF0DD"/>
          </w:tcPr>
          <w:p>
            <w:pPr/>
          </w:p>
        </w:tc>
      </w:tr>
    </w:tbl>
    <w:p>
      <w:pPr>
        <w:tabs>
          <w:tab w:pos="1698" w:val="left" w:leader="none"/>
        </w:tabs>
        <w:spacing w:line="243" w:lineRule="exact" w:before="0"/>
        <w:ind w:left="978" w:right="0" w:firstLine="0"/>
        <w:jc w:val="left"/>
        <w:rPr>
          <w:i/>
          <w:sz w:val="18"/>
        </w:rPr>
      </w:pPr>
      <w:r>
        <w:rPr>
          <w:b/>
          <w:sz w:val="20"/>
        </w:rPr>
        <w:t>(*)</w:t>
        <w:tab/>
      </w:r>
      <w:r>
        <w:rPr>
          <w:i/>
          <w:sz w:val="18"/>
        </w:rPr>
        <w:t>Όπου</w:t>
      </w:r>
      <w:r>
        <w:rPr>
          <w:i/>
          <w:spacing w:val="-8"/>
          <w:sz w:val="18"/>
        </w:rPr>
        <w:t> </w:t>
      </w:r>
      <w:r>
        <w:rPr>
          <w:i/>
          <w:sz w:val="18"/>
        </w:rPr>
        <w:t>υπάρχει</w:t>
      </w:r>
    </w:p>
    <w:p>
      <w:pPr>
        <w:spacing w:after="0" w:line="243" w:lineRule="exact"/>
        <w:jc w:val="left"/>
        <w:rPr>
          <w:sz w:val="18"/>
        </w:rPr>
        <w:sectPr>
          <w:headerReference w:type="default" r:id="rId68"/>
          <w:pgSz w:w="16840" w:h="11910" w:orient="landscape"/>
          <w:pgMar w:header="1741" w:footer="1588" w:top="1940" w:bottom="1780" w:left="440" w:right="1940"/>
        </w:sectPr>
      </w:pPr>
    </w:p>
    <w:p>
      <w:pPr>
        <w:pStyle w:val="BodyText"/>
        <w:spacing w:before="9"/>
        <w:rPr>
          <w:rFonts w:ascii="Times New Roman"/>
          <w:sz w:val="27"/>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2837"/>
        <w:gridCol w:w="2976"/>
        <w:gridCol w:w="2835"/>
        <w:gridCol w:w="3404"/>
      </w:tblGrid>
      <w:tr>
        <w:trPr>
          <w:trHeight w:val="1188" w:hRule="exact"/>
        </w:trPr>
        <w:tc>
          <w:tcPr>
            <w:tcW w:w="2660" w:type="dxa"/>
            <w:shd w:val="clear" w:color="auto" w:fill="E6E6E6"/>
          </w:tcPr>
          <w:p>
            <w:pPr>
              <w:pStyle w:val="TableParagraph"/>
              <w:rPr>
                <w:rFonts w:ascii="Times New Roman"/>
                <w:sz w:val="18"/>
              </w:rPr>
            </w:pPr>
          </w:p>
          <w:p>
            <w:pPr>
              <w:pStyle w:val="TableParagraph"/>
              <w:spacing w:before="9"/>
              <w:rPr>
                <w:rFonts w:ascii="Times New Roman"/>
                <w:sz w:val="18"/>
              </w:rPr>
            </w:pPr>
          </w:p>
          <w:p>
            <w:pPr>
              <w:pStyle w:val="TableParagraph"/>
              <w:spacing w:before="1"/>
              <w:ind w:left="120" w:right="121"/>
              <w:jc w:val="center"/>
              <w:rPr>
                <w:b/>
                <w:sz w:val="18"/>
              </w:rPr>
            </w:pPr>
            <w:r>
              <w:rPr>
                <w:b/>
                <w:sz w:val="18"/>
              </w:rPr>
              <w:t>ΣΤΕΛΕΧΟΣ / ΚΑΤΗΓΟΡΙΑ</w:t>
            </w:r>
          </w:p>
        </w:tc>
        <w:tc>
          <w:tcPr>
            <w:tcW w:w="2837" w:type="dxa"/>
            <w:shd w:val="clear" w:color="auto" w:fill="E6E6E6"/>
          </w:tcPr>
          <w:p>
            <w:pPr>
              <w:pStyle w:val="TableParagraph"/>
              <w:rPr>
                <w:rFonts w:ascii="Times New Roman"/>
                <w:sz w:val="18"/>
              </w:rPr>
            </w:pPr>
          </w:p>
          <w:p>
            <w:pPr>
              <w:pStyle w:val="TableParagraph"/>
              <w:spacing w:before="9"/>
              <w:rPr>
                <w:rFonts w:ascii="Times New Roman"/>
                <w:sz w:val="18"/>
              </w:rPr>
            </w:pPr>
          </w:p>
          <w:p>
            <w:pPr>
              <w:pStyle w:val="TableParagraph"/>
              <w:spacing w:before="1"/>
              <w:ind w:left="938" w:right="940"/>
              <w:jc w:val="center"/>
              <w:rPr>
                <w:b/>
                <w:sz w:val="18"/>
              </w:rPr>
            </w:pPr>
            <w:r>
              <w:rPr>
                <w:b/>
                <w:sz w:val="18"/>
              </w:rPr>
              <w:t>ΕΙΔΙΚΟΤΗΤΑ</w:t>
            </w:r>
          </w:p>
        </w:tc>
        <w:tc>
          <w:tcPr>
            <w:tcW w:w="2976" w:type="dxa"/>
            <w:shd w:val="clear" w:color="auto" w:fill="E6E6E6"/>
          </w:tcPr>
          <w:p>
            <w:pPr>
              <w:pStyle w:val="TableParagraph"/>
              <w:rPr>
                <w:rFonts w:ascii="Times New Roman"/>
                <w:sz w:val="18"/>
              </w:rPr>
            </w:pPr>
          </w:p>
          <w:p>
            <w:pPr>
              <w:pStyle w:val="TableParagraph"/>
              <w:spacing w:before="9"/>
              <w:rPr>
                <w:rFonts w:ascii="Times New Roman"/>
                <w:sz w:val="18"/>
              </w:rPr>
            </w:pPr>
          </w:p>
          <w:p>
            <w:pPr>
              <w:pStyle w:val="TableParagraph"/>
              <w:spacing w:before="1"/>
              <w:ind w:left="100"/>
              <w:rPr>
                <w:b/>
                <w:sz w:val="18"/>
              </w:rPr>
            </w:pPr>
            <w:r>
              <w:rPr>
                <w:b/>
                <w:sz w:val="18"/>
              </w:rPr>
              <w:t>ΠΕΡΙΓΡΑΦΗ ΚΑΙ ΤΕΚΜΗΡΙΩΣΗ</w:t>
            </w:r>
          </w:p>
        </w:tc>
        <w:tc>
          <w:tcPr>
            <w:tcW w:w="2835" w:type="dxa"/>
            <w:shd w:val="clear" w:color="auto" w:fill="E6E6E6"/>
          </w:tcPr>
          <w:p>
            <w:pPr>
              <w:pStyle w:val="TableParagraph"/>
              <w:rPr>
                <w:rFonts w:ascii="Times New Roman"/>
                <w:sz w:val="18"/>
              </w:rPr>
            </w:pPr>
          </w:p>
          <w:p>
            <w:pPr>
              <w:pStyle w:val="TableParagraph"/>
              <w:spacing w:before="9"/>
              <w:rPr>
                <w:rFonts w:ascii="Times New Roman"/>
                <w:sz w:val="18"/>
              </w:rPr>
            </w:pPr>
          </w:p>
          <w:p>
            <w:pPr>
              <w:pStyle w:val="TableParagraph"/>
              <w:spacing w:before="1"/>
              <w:ind w:left="907"/>
              <w:rPr>
                <w:b/>
                <w:sz w:val="18"/>
              </w:rPr>
            </w:pPr>
            <w:r>
              <w:rPr>
                <w:b/>
                <w:sz w:val="18"/>
              </w:rPr>
              <w:t>Αριθμός Α/Μ</w:t>
            </w:r>
          </w:p>
        </w:tc>
        <w:tc>
          <w:tcPr>
            <w:tcW w:w="3404" w:type="dxa"/>
            <w:shd w:val="clear" w:color="auto" w:fill="E6E6E6"/>
          </w:tcPr>
          <w:p>
            <w:pPr>
              <w:pStyle w:val="TableParagraph"/>
              <w:rPr>
                <w:rFonts w:ascii="Times New Roman"/>
                <w:sz w:val="18"/>
              </w:rPr>
            </w:pPr>
          </w:p>
          <w:p>
            <w:pPr>
              <w:pStyle w:val="TableParagraph"/>
              <w:spacing w:before="9"/>
              <w:rPr>
                <w:rFonts w:ascii="Times New Roman"/>
                <w:sz w:val="18"/>
              </w:rPr>
            </w:pPr>
          </w:p>
          <w:p>
            <w:pPr>
              <w:pStyle w:val="TableParagraph"/>
              <w:spacing w:before="1"/>
              <w:ind w:left="856"/>
              <w:rPr>
                <w:b/>
                <w:sz w:val="18"/>
              </w:rPr>
            </w:pPr>
            <w:r>
              <w:rPr>
                <w:b/>
                <w:sz w:val="18"/>
              </w:rPr>
              <w:t>ΣΥΝΟΛΙΚΟ ΚΟΣΤΟΣ (€)</w:t>
            </w:r>
          </w:p>
        </w:tc>
      </w:tr>
      <w:tr>
        <w:trPr>
          <w:trHeight w:val="394" w:hRule="exact"/>
        </w:trPr>
        <w:tc>
          <w:tcPr>
            <w:tcW w:w="2660" w:type="dxa"/>
          </w:tcPr>
          <w:p>
            <w:pPr/>
          </w:p>
        </w:tc>
        <w:tc>
          <w:tcPr>
            <w:tcW w:w="2837" w:type="dxa"/>
          </w:tcPr>
          <w:p>
            <w:pPr/>
          </w:p>
        </w:tc>
        <w:tc>
          <w:tcPr>
            <w:tcW w:w="2976" w:type="dxa"/>
          </w:tcPr>
          <w:p>
            <w:pPr/>
          </w:p>
        </w:tc>
        <w:tc>
          <w:tcPr>
            <w:tcW w:w="2835" w:type="dxa"/>
          </w:tcPr>
          <w:p>
            <w:pPr/>
          </w:p>
        </w:tc>
        <w:tc>
          <w:tcPr>
            <w:tcW w:w="3404" w:type="dxa"/>
          </w:tcPr>
          <w:p>
            <w:pPr/>
          </w:p>
        </w:tc>
      </w:tr>
      <w:tr>
        <w:trPr>
          <w:trHeight w:val="396" w:hRule="exact"/>
        </w:trPr>
        <w:tc>
          <w:tcPr>
            <w:tcW w:w="2660" w:type="dxa"/>
          </w:tcPr>
          <w:p>
            <w:pPr/>
          </w:p>
        </w:tc>
        <w:tc>
          <w:tcPr>
            <w:tcW w:w="2837" w:type="dxa"/>
          </w:tcPr>
          <w:p>
            <w:pPr/>
          </w:p>
        </w:tc>
        <w:tc>
          <w:tcPr>
            <w:tcW w:w="2976" w:type="dxa"/>
          </w:tcPr>
          <w:p>
            <w:pPr/>
          </w:p>
        </w:tc>
        <w:tc>
          <w:tcPr>
            <w:tcW w:w="2835" w:type="dxa"/>
          </w:tcPr>
          <w:p>
            <w:pPr/>
          </w:p>
        </w:tc>
        <w:tc>
          <w:tcPr>
            <w:tcW w:w="3404" w:type="dxa"/>
          </w:tcPr>
          <w:p>
            <w:pPr/>
          </w:p>
        </w:tc>
      </w:tr>
      <w:tr>
        <w:trPr>
          <w:trHeight w:val="1181" w:hRule="exact"/>
        </w:trPr>
        <w:tc>
          <w:tcPr>
            <w:tcW w:w="2660" w:type="dxa"/>
            <w:shd w:val="clear" w:color="auto" w:fill="FCE9D9"/>
          </w:tcPr>
          <w:p>
            <w:pPr>
              <w:pStyle w:val="TableParagraph"/>
              <w:rPr>
                <w:rFonts w:ascii="Times New Roman"/>
                <w:sz w:val="20"/>
              </w:rPr>
            </w:pPr>
          </w:p>
          <w:p>
            <w:pPr>
              <w:pStyle w:val="TableParagraph"/>
              <w:spacing w:before="134"/>
              <w:ind w:left="120" w:right="121"/>
              <w:jc w:val="center"/>
              <w:rPr>
                <w:b/>
                <w:sz w:val="20"/>
              </w:rPr>
            </w:pPr>
            <w:r>
              <w:rPr>
                <w:b/>
                <w:sz w:val="20"/>
              </w:rPr>
              <w:t>Σύνολο</w:t>
            </w:r>
          </w:p>
        </w:tc>
        <w:tc>
          <w:tcPr>
            <w:tcW w:w="2837" w:type="dxa"/>
            <w:shd w:val="clear" w:color="auto" w:fill="FCE9D9"/>
          </w:tcPr>
          <w:p>
            <w:pPr/>
          </w:p>
        </w:tc>
        <w:tc>
          <w:tcPr>
            <w:tcW w:w="2976" w:type="dxa"/>
            <w:shd w:val="clear" w:color="auto" w:fill="FCE9D9"/>
          </w:tcPr>
          <w:p>
            <w:pPr/>
          </w:p>
        </w:tc>
        <w:tc>
          <w:tcPr>
            <w:tcW w:w="2835" w:type="dxa"/>
            <w:shd w:val="clear" w:color="auto" w:fill="FCE9D9"/>
          </w:tcPr>
          <w:p>
            <w:pPr/>
          </w:p>
        </w:tc>
        <w:tc>
          <w:tcPr>
            <w:tcW w:w="3404" w:type="dxa"/>
            <w:shd w:val="clear" w:color="auto" w:fill="FCE9D9"/>
          </w:tcPr>
          <w:p>
            <w:pPr>
              <w:pStyle w:val="TableParagraph"/>
              <w:rPr>
                <w:rFonts w:ascii="Times New Roman"/>
                <w:sz w:val="16"/>
              </w:rPr>
            </w:pPr>
          </w:p>
          <w:p>
            <w:pPr>
              <w:pStyle w:val="TableParagraph"/>
              <w:spacing w:before="107"/>
              <w:ind w:left="1248" w:right="1249"/>
              <w:jc w:val="center"/>
              <w:rPr>
                <w:i/>
                <w:sz w:val="16"/>
              </w:rPr>
            </w:pPr>
            <w:r>
              <w:rPr>
                <w:i/>
                <w:sz w:val="16"/>
              </w:rPr>
              <w:t>…….</w:t>
            </w:r>
          </w:p>
          <w:p>
            <w:pPr>
              <w:pStyle w:val="TableParagraph"/>
              <w:rPr>
                <w:rFonts w:ascii="Times New Roman"/>
                <w:sz w:val="16"/>
              </w:rPr>
            </w:pPr>
          </w:p>
          <w:p>
            <w:pPr>
              <w:pStyle w:val="TableParagraph"/>
              <w:spacing w:before="10"/>
              <w:rPr>
                <w:rFonts w:ascii="Times New Roman"/>
                <w:sz w:val="17"/>
              </w:rPr>
            </w:pPr>
          </w:p>
          <w:p>
            <w:pPr>
              <w:pStyle w:val="TableParagraph"/>
              <w:spacing w:before="1"/>
              <w:ind w:left="1250" w:right="1249"/>
              <w:jc w:val="center"/>
              <w:rPr>
                <w:i/>
                <w:sz w:val="16"/>
              </w:rPr>
            </w:pPr>
            <w:r>
              <w:rPr>
                <w:i/>
                <w:sz w:val="16"/>
              </w:rPr>
              <w:t>Έως 30.000 €</w:t>
            </w:r>
          </w:p>
        </w:tc>
      </w:tr>
      <w:tr>
        <w:trPr>
          <w:trHeight w:val="418" w:hRule="exact"/>
        </w:trPr>
        <w:tc>
          <w:tcPr>
            <w:tcW w:w="2660" w:type="dxa"/>
            <w:shd w:val="clear" w:color="auto" w:fill="EAF0DD"/>
          </w:tcPr>
          <w:p>
            <w:pPr>
              <w:pStyle w:val="TableParagraph"/>
              <w:spacing w:line="243" w:lineRule="exact"/>
              <w:ind w:left="121" w:right="121"/>
              <w:jc w:val="center"/>
              <w:rPr>
                <w:b/>
                <w:sz w:val="20"/>
              </w:rPr>
            </w:pPr>
            <w:r>
              <w:rPr>
                <w:b/>
                <w:sz w:val="20"/>
              </w:rPr>
              <w:t>Μη Επιχορηγούμενο Κόστος</w:t>
            </w:r>
          </w:p>
        </w:tc>
        <w:tc>
          <w:tcPr>
            <w:tcW w:w="2837" w:type="dxa"/>
            <w:shd w:val="clear" w:color="auto" w:fill="EAF0DD"/>
          </w:tcPr>
          <w:p>
            <w:pPr/>
          </w:p>
        </w:tc>
        <w:tc>
          <w:tcPr>
            <w:tcW w:w="2976" w:type="dxa"/>
            <w:shd w:val="clear" w:color="auto" w:fill="EAF0DD"/>
          </w:tcPr>
          <w:p>
            <w:pPr/>
          </w:p>
        </w:tc>
        <w:tc>
          <w:tcPr>
            <w:tcW w:w="2835" w:type="dxa"/>
            <w:shd w:val="clear" w:color="auto" w:fill="EAF0DD"/>
          </w:tcPr>
          <w:p>
            <w:pPr/>
          </w:p>
        </w:tc>
        <w:tc>
          <w:tcPr>
            <w:tcW w:w="3404" w:type="dxa"/>
            <w:shd w:val="clear" w:color="auto" w:fill="EAF0DD"/>
          </w:tcPr>
          <w:p>
            <w:pPr/>
          </w:p>
        </w:tc>
      </w:tr>
    </w:tbl>
    <w:p>
      <w:pPr>
        <w:spacing w:after="0"/>
        <w:sectPr>
          <w:headerReference w:type="default" r:id="rId69"/>
          <w:pgSz w:w="16840" w:h="11910" w:orient="landscape"/>
          <w:pgMar w:header="1861" w:footer="1588" w:top="2060" w:bottom="1780" w:left="460" w:right="1440"/>
        </w:sectPr>
      </w:pPr>
    </w:p>
    <w:p>
      <w:pPr>
        <w:pStyle w:val="BodyText"/>
        <w:spacing w:before="2"/>
        <w:rPr>
          <w:rFonts w:ascii="Times New Roman"/>
          <w:sz w:val="16"/>
        </w:rPr>
      </w:pPr>
    </w:p>
    <w:tbl>
      <w:tblPr>
        <w:tblW w:w="0" w:type="auto"/>
        <w:jc w:val="lef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2"/>
        <w:gridCol w:w="3829"/>
        <w:gridCol w:w="4679"/>
      </w:tblGrid>
      <w:tr>
        <w:trPr>
          <w:trHeight w:val="743" w:hRule="exact"/>
        </w:trPr>
        <w:tc>
          <w:tcPr>
            <w:tcW w:w="9139" w:type="dxa"/>
            <w:gridSpan w:val="3"/>
            <w:shd w:val="clear" w:color="auto" w:fill="D9D9D9"/>
          </w:tcPr>
          <w:p>
            <w:pPr>
              <w:pStyle w:val="TableParagraph"/>
              <w:spacing w:line="357" w:lineRule="auto"/>
              <w:ind w:left="100" w:firstLine="720"/>
              <w:rPr>
                <w:b/>
                <w:sz w:val="20"/>
              </w:rPr>
            </w:pPr>
            <w:r>
              <w:rPr>
                <w:b/>
                <w:sz w:val="20"/>
              </w:rPr>
              <w:t>Δ.1 ΚΑΤΑΛΟΓΟΣ ΣΥΝΝΗΜΕΝΩΝ ΔΙΚΑΙΟΛΟΓΗΤΙΚΩΝ ΣΥΜΦΩΝΑ ΜΕ ΤΑ ΟΡΙΖΟΜΕΝΑ ΣΤΗΝ ΠΡΟΣΚΛΗΣΗ</w:t>
            </w:r>
          </w:p>
        </w:tc>
      </w:tr>
      <w:tr>
        <w:trPr>
          <w:trHeight w:val="377" w:hRule="exact"/>
        </w:trPr>
        <w:tc>
          <w:tcPr>
            <w:tcW w:w="632" w:type="dxa"/>
            <w:shd w:val="clear" w:color="auto" w:fill="D9D9D9"/>
          </w:tcPr>
          <w:p>
            <w:pPr>
              <w:pStyle w:val="TableParagraph"/>
              <w:spacing w:line="243" w:lineRule="exact"/>
              <w:ind w:left="100"/>
              <w:rPr>
                <w:b/>
                <w:sz w:val="20"/>
              </w:rPr>
            </w:pPr>
            <w:r>
              <w:rPr>
                <w:b/>
                <w:sz w:val="20"/>
              </w:rPr>
              <w:t>Α/Α</w:t>
            </w:r>
          </w:p>
        </w:tc>
        <w:tc>
          <w:tcPr>
            <w:tcW w:w="3829" w:type="dxa"/>
            <w:shd w:val="clear" w:color="auto" w:fill="D9D9D9"/>
          </w:tcPr>
          <w:p>
            <w:pPr>
              <w:pStyle w:val="TableParagraph"/>
              <w:spacing w:line="243" w:lineRule="exact"/>
              <w:ind w:left="103"/>
              <w:rPr>
                <w:b/>
                <w:sz w:val="20"/>
              </w:rPr>
            </w:pPr>
            <w:r>
              <w:rPr>
                <w:b/>
                <w:sz w:val="20"/>
              </w:rPr>
              <w:t>ΠΕΡΙΓΡΑΦΗ ΕΓΓΡΑΦΟΥ</w:t>
            </w:r>
          </w:p>
        </w:tc>
        <w:tc>
          <w:tcPr>
            <w:tcW w:w="4679" w:type="dxa"/>
            <w:shd w:val="clear" w:color="auto" w:fill="D9D9D9"/>
          </w:tcPr>
          <w:p>
            <w:pPr/>
          </w:p>
        </w:tc>
      </w:tr>
      <w:tr>
        <w:trPr>
          <w:trHeight w:val="374" w:hRule="exact"/>
        </w:trPr>
        <w:tc>
          <w:tcPr>
            <w:tcW w:w="632" w:type="dxa"/>
          </w:tcPr>
          <w:p>
            <w:pPr/>
          </w:p>
        </w:tc>
        <w:tc>
          <w:tcPr>
            <w:tcW w:w="3829" w:type="dxa"/>
          </w:tcPr>
          <w:p>
            <w:pPr/>
          </w:p>
        </w:tc>
        <w:tc>
          <w:tcPr>
            <w:tcW w:w="4679" w:type="dxa"/>
          </w:tcPr>
          <w:p>
            <w:pPr/>
          </w:p>
        </w:tc>
      </w:tr>
      <w:tr>
        <w:trPr>
          <w:trHeight w:val="377" w:hRule="exact"/>
        </w:trPr>
        <w:tc>
          <w:tcPr>
            <w:tcW w:w="632" w:type="dxa"/>
          </w:tcPr>
          <w:p>
            <w:pPr/>
          </w:p>
        </w:tc>
        <w:tc>
          <w:tcPr>
            <w:tcW w:w="3829" w:type="dxa"/>
          </w:tcPr>
          <w:p>
            <w:pPr/>
          </w:p>
        </w:tc>
        <w:tc>
          <w:tcPr>
            <w:tcW w:w="4679" w:type="dxa"/>
          </w:tcPr>
          <w:p>
            <w:pPr/>
          </w:p>
        </w:tc>
      </w:tr>
      <w:tr>
        <w:trPr>
          <w:trHeight w:val="377" w:hRule="exact"/>
        </w:trPr>
        <w:tc>
          <w:tcPr>
            <w:tcW w:w="632" w:type="dxa"/>
          </w:tcPr>
          <w:p>
            <w:pPr/>
          </w:p>
        </w:tc>
        <w:tc>
          <w:tcPr>
            <w:tcW w:w="3829" w:type="dxa"/>
          </w:tcPr>
          <w:p>
            <w:pPr/>
          </w:p>
        </w:tc>
        <w:tc>
          <w:tcPr>
            <w:tcW w:w="4679" w:type="dxa"/>
          </w:tcPr>
          <w:p>
            <w:pPr/>
          </w:p>
        </w:tc>
      </w:tr>
      <w:tr>
        <w:trPr>
          <w:trHeight w:val="377" w:hRule="exact"/>
        </w:trPr>
        <w:tc>
          <w:tcPr>
            <w:tcW w:w="632" w:type="dxa"/>
          </w:tcPr>
          <w:p>
            <w:pPr/>
          </w:p>
        </w:tc>
        <w:tc>
          <w:tcPr>
            <w:tcW w:w="3829" w:type="dxa"/>
          </w:tcPr>
          <w:p>
            <w:pPr/>
          </w:p>
        </w:tc>
        <w:tc>
          <w:tcPr>
            <w:tcW w:w="4679" w:type="dxa"/>
          </w:tcPr>
          <w:p>
            <w:pPr/>
          </w:p>
        </w:tc>
      </w:tr>
    </w:tbl>
    <w:p>
      <w:pPr>
        <w:spacing w:line="360" w:lineRule="auto" w:before="0"/>
        <w:ind w:left="802" w:right="808" w:firstLine="0"/>
        <w:jc w:val="left"/>
        <w:rPr>
          <w:i/>
          <w:sz w:val="20"/>
        </w:rPr>
      </w:pPr>
      <w:r>
        <w:rPr>
          <w:i/>
          <w:sz w:val="20"/>
        </w:rPr>
        <w:t>Αναφέρονται συνοπτικά τα έγγραφα που συνοδεύουν την υποβαλλόμενη πρόταση και θα υποβληθούν </w:t>
      </w:r>
      <w:r>
        <w:rPr>
          <w:i/>
          <w:sz w:val="20"/>
        </w:rPr>
        <w:t>ή θα αποσταλούν ταχυδρομικά συνημμένα σε αυτήν, </w:t>
      </w:r>
      <w:r>
        <w:rPr>
          <w:i/>
          <w:sz w:val="20"/>
          <w:u w:val="single"/>
        </w:rPr>
        <w:t>σύμφωνα με την Πρόσκληση.</w:t>
      </w:r>
    </w:p>
    <w:p>
      <w:pPr>
        <w:pStyle w:val="BodyText"/>
        <w:rPr>
          <w:i/>
          <w:sz w:val="20"/>
        </w:rPr>
      </w:pPr>
    </w:p>
    <w:p>
      <w:pPr>
        <w:pStyle w:val="BodyText"/>
        <w:spacing w:before="2"/>
        <w:rPr>
          <w:i/>
          <w:sz w:val="25"/>
        </w:rPr>
      </w:pPr>
    </w:p>
    <w:p>
      <w:pPr>
        <w:spacing w:before="59"/>
        <w:ind w:left="802" w:right="803" w:firstLine="0"/>
        <w:jc w:val="both"/>
        <w:rPr>
          <w:sz w:val="20"/>
        </w:rPr>
      </w:pPr>
      <w:r>
        <w:rPr>
          <w:sz w:val="20"/>
        </w:rPr>
        <w:t>Η υποβολή Αίτησης Χρηματοδότησης επέχει θέση υπεύθυνης δήλωσης του άρθρου 8 του ν.1599/1986 (Α΄75) όσον αφορά την αλήθεια, ακρίβεια και πληρότητα των στοιχείων που αναφέρονται σε αυτήν. Συνεπώς, θα πρέπει να εμφανίζει ταυτότητα περιεχομένου με τα ζητούμενα δικαιολογητικά του σχετικού Παραρτήματος της Αναλυτικής Πρόσκλησης για την έκδοση της απόφασης  ένταξης. Ανακρίβεια στοιχείων που δηλώνονται στην αίτηση επισύρει τις προβλεπόμενες ποινικές  και διοικητικές κυρώσεις.</w:t>
      </w:r>
    </w:p>
    <w:p>
      <w:pPr>
        <w:pStyle w:val="BodyText"/>
        <w:spacing w:before="11"/>
        <w:rPr>
          <w:sz w:val="19"/>
        </w:rPr>
      </w:pPr>
    </w:p>
    <w:p>
      <w:pPr>
        <w:spacing w:before="0"/>
        <w:ind w:left="802" w:right="0" w:firstLine="0"/>
        <w:jc w:val="both"/>
        <w:rPr>
          <w:sz w:val="20"/>
        </w:rPr>
      </w:pPr>
      <w:r>
        <w:rPr>
          <w:sz w:val="20"/>
        </w:rPr>
        <w:t>Οι δικαιούχοι φέρουν την ευθύνη της πλήρους και ορθής συμπλήρωσης της αίτησης χρηματοδότησης.</w:t>
      </w:r>
    </w:p>
    <w:p>
      <w:pPr>
        <w:pStyle w:val="BodyText"/>
        <w:spacing w:before="1"/>
        <w:rPr>
          <w:sz w:val="20"/>
        </w:rPr>
      </w:pPr>
    </w:p>
    <w:p>
      <w:pPr>
        <w:spacing w:before="0"/>
        <w:ind w:left="802" w:right="810" w:firstLine="0"/>
        <w:jc w:val="both"/>
        <w:rPr>
          <w:i/>
          <w:sz w:val="20"/>
        </w:rPr>
      </w:pPr>
      <w:r>
        <w:rPr>
          <w:i/>
          <w:sz w:val="20"/>
        </w:rPr>
        <w:t>Εφιστάται η προσοχή στους Δυνητικούς Δικαιούχους η υποβολή της Αίτησης Χρηματοδότησης να </w:t>
      </w:r>
      <w:r>
        <w:rPr>
          <w:i/>
          <w:sz w:val="20"/>
        </w:rPr>
        <w:t>πραγματοποιείται σε εύλογο χρονικό διάστημα πριν την καταληκτική ημερομηνία και ώρα.</w:t>
      </w:r>
    </w:p>
    <w:p>
      <w:pPr>
        <w:pStyle w:val="BodyText"/>
        <w:rPr>
          <w:i/>
          <w:sz w:val="20"/>
        </w:rPr>
      </w:pPr>
    </w:p>
    <w:p>
      <w:pPr>
        <w:pStyle w:val="BodyText"/>
        <w:rPr>
          <w:i/>
          <w:sz w:val="20"/>
        </w:rPr>
      </w:pPr>
    </w:p>
    <w:p>
      <w:pPr>
        <w:pStyle w:val="BodyText"/>
        <w:rPr>
          <w:i/>
          <w:sz w:val="20"/>
        </w:rPr>
      </w:pPr>
    </w:p>
    <w:p>
      <w:pPr>
        <w:pStyle w:val="BodyText"/>
        <w:rPr>
          <w:i/>
          <w:sz w:val="20"/>
        </w:rPr>
      </w:pPr>
    </w:p>
    <w:p>
      <w:pPr>
        <w:spacing w:before="1"/>
        <w:ind w:left="0" w:right="2053" w:firstLine="0"/>
        <w:jc w:val="right"/>
        <w:rPr>
          <w:b/>
          <w:sz w:val="20"/>
        </w:rPr>
      </w:pPr>
      <w:r>
        <w:rPr>
          <w:b/>
          <w:sz w:val="20"/>
        </w:rPr>
        <w:t>Ημερομηνία</w:t>
      </w:r>
    </w:p>
    <w:p>
      <w:pPr>
        <w:spacing w:before="1"/>
        <w:ind w:left="6011" w:right="0" w:firstLine="0"/>
        <w:jc w:val="left"/>
        <w:rPr>
          <w:sz w:val="24"/>
        </w:rPr>
      </w:pPr>
      <w:r>
        <w:rPr>
          <w:sz w:val="24"/>
        </w:rPr>
        <w:t>Υπογραφή Νομίμου Εκπροσώπου</w:t>
      </w:r>
    </w:p>
    <w:p>
      <w:pPr>
        <w:pStyle w:val="BodyText"/>
        <w:rPr>
          <w:sz w:val="24"/>
        </w:rPr>
      </w:pPr>
    </w:p>
    <w:p>
      <w:pPr>
        <w:pStyle w:val="BodyText"/>
        <w:rPr>
          <w:sz w:val="24"/>
        </w:rPr>
      </w:pPr>
    </w:p>
    <w:p>
      <w:pPr>
        <w:pStyle w:val="BodyText"/>
        <w:rPr>
          <w:sz w:val="24"/>
        </w:rPr>
      </w:pPr>
    </w:p>
    <w:p>
      <w:pPr>
        <w:pStyle w:val="BodyText"/>
        <w:spacing w:before="10"/>
        <w:rPr>
          <w:sz w:val="27"/>
        </w:rPr>
      </w:pPr>
    </w:p>
    <w:p>
      <w:pPr>
        <w:spacing w:before="0"/>
        <w:ind w:left="6565" w:right="0" w:firstLine="0"/>
        <w:jc w:val="left"/>
        <w:rPr>
          <w:b/>
          <w:sz w:val="20"/>
        </w:rPr>
      </w:pPr>
      <w:r>
        <w:rPr>
          <w:b/>
          <w:sz w:val="20"/>
        </w:rPr>
        <w:t>Σφραγίδα</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rPr>
      </w:pPr>
      <w:r>
        <w:rPr/>
        <w:pict>
          <v:group style="position:absolute;margin-left:50.630001pt;margin-top:15.850092pt;width:494.15pt;height:.5pt;mso-position-horizontal-relative:page;mso-position-vertical-relative:paragraph;z-index:1336;mso-wrap-distance-left:0;mso-wrap-distance-right:0" coordorigin="1013,317" coordsize="9883,10">
            <v:line style="position:absolute" from="1018,322" to="4537,322" stroked="true" strokeweight=".47998pt" strokecolor="#000000">
              <v:stroke dashstyle="solid"/>
            </v:line>
            <v:line style="position:absolute" from="4537,322" to="4547,322" stroked="true" strokeweight=".47998pt" strokecolor="#000000">
              <v:stroke dashstyle="solid"/>
            </v:line>
            <v:line style="position:absolute" from="4547,322" to="7516,322" stroked="true" strokeweight=".47998pt" strokecolor="#000000">
              <v:stroke dashstyle="solid"/>
            </v:line>
            <v:line style="position:absolute" from="7516,322" to="7525,322" stroked="true" strokeweight=".47998pt" strokecolor="#000000">
              <v:stroke dashstyle="solid"/>
            </v:line>
            <v:line style="position:absolute" from="7525,322" to="10891,322" stroked="true" strokeweight=".47998pt" strokecolor="#000000">
              <v:stroke dashstyle="solid"/>
            </v:line>
            <w10:wrap type="topAndBottom"/>
          </v:group>
        </w:pict>
      </w:r>
    </w:p>
    <w:p>
      <w:pPr>
        <w:pStyle w:val="BodyText"/>
        <w:spacing w:before="6"/>
        <w:rPr>
          <w:b/>
          <w:sz w:val="18"/>
        </w:rPr>
      </w:pPr>
    </w:p>
    <w:p>
      <w:pPr>
        <w:pStyle w:val="BodyText"/>
        <w:tabs>
          <w:tab w:pos="4344" w:val="left" w:leader="none"/>
        </w:tabs>
        <w:spacing w:before="57"/>
        <w:ind w:left="1150"/>
        <w:rPr>
          <w:b/>
        </w:rPr>
      </w:pPr>
      <w:r>
        <w:rPr/>
        <w:drawing>
          <wp:anchor distT="0" distB="0" distL="0" distR="0" allowOverlap="1" layoutInCell="1" locked="0" behindDoc="0" simplePos="0" relativeHeight="1360">
            <wp:simplePos x="0" y="0"/>
            <wp:positionH relativeFrom="page">
              <wp:posOffset>6062345</wp:posOffset>
            </wp:positionH>
            <wp:positionV relativeFrom="paragraph">
              <wp:posOffset>-91520</wp:posOffset>
            </wp:positionV>
            <wp:extent cx="781684" cy="466725"/>
            <wp:effectExtent l="0" t="0" r="0" b="0"/>
            <wp:wrapNone/>
            <wp:docPr id="41" name="image9.jpeg" descr=""/>
            <wp:cNvGraphicFramePr>
              <a:graphicFrameLocks noChangeAspect="1"/>
            </wp:cNvGraphicFramePr>
            <a:graphic>
              <a:graphicData uri="http://schemas.openxmlformats.org/drawingml/2006/picture">
                <pic:pic>
                  <pic:nvPicPr>
                    <pic:cNvPr id="42" name="image9.jpeg"/>
                    <pic:cNvPicPr/>
                  </pic:nvPicPr>
                  <pic:blipFill>
                    <a:blip r:embed="rId47" cstate="print"/>
                    <a:stretch>
                      <a:fillRect/>
                    </a:stretch>
                  </pic:blipFill>
                  <pic:spPr>
                    <a:xfrm>
                      <a:off x="0" y="0"/>
                      <a:ext cx="781684" cy="466725"/>
                    </a:xfrm>
                    <a:prstGeom prst="rect">
                      <a:avLst/>
                    </a:prstGeom>
                  </pic:spPr>
                </pic:pic>
              </a:graphicData>
            </a:graphic>
          </wp:anchor>
        </w:drawing>
      </w:r>
      <w:r>
        <w:rPr/>
        <w:t>ΠΑΡΑΡΤΗΜΑ</w:t>
      </w:r>
      <w:r>
        <w:rPr>
          <w:spacing w:val="-1"/>
        </w:rPr>
        <w:t> </w:t>
      </w:r>
      <w:r>
        <w:rPr/>
        <w:t>Ι.2</w:t>
        <w:tab/>
        <w:t>Σελίδα </w:t>
      </w:r>
      <w:r>
        <w:rPr>
          <w:b/>
        </w:rPr>
        <w:t>15 </w:t>
      </w:r>
      <w:r>
        <w:rPr/>
        <w:t>από</w:t>
      </w:r>
      <w:r>
        <w:rPr>
          <w:spacing w:val="-3"/>
        </w:rPr>
        <w:t> </w:t>
      </w:r>
      <w:r>
        <w:rPr>
          <w:b/>
        </w:rPr>
        <w:t>15</w:t>
      </w:r>
    </w:p>
    <w:p>
      <w:pPr>
        <w:spacing w:after="0"/>
        <w:sectPr>
          <w:headerReference w:type="default" r:id="rId70"/>
          <w:footerReference w:type="default" r:id="rId71"/>
          <w:pgSz w:w="11910" w:h="16840"/>
          <w:pgMar w:header="0" w:footer="0" w:top="1580" w:bottom="280" w:left="900" w:right="900"/>
        </w:sectPr>
      </w:pPr>
    </w:p>
    <w:p>
      <w:pPr>
        <w:pStyle w:val="BodyText"/>
        <w:spacing w:before="7"/>
        <w:rPr>
          <w:b/>
          <w:sz w:val="17"/>
        </w:rPr>
      </w:pPr>
    </w:p>
    <w:p>
      <w:pPr>
        <w:pStyle w:val="Heading4"/>
        <w:spacing w:before="57"/>
      </w:pPr>
      <w:r>
        <w:rPr/>
        <w:t>ΠΑΡΑΡΤΗΜΑ ΙΙ: ΔΗΜΟΣΙΟΝΟΜΙΚΕΣ ΔΙΟΡΘΩΣΕΙΣ</w:t>
      </w:r>
    </w:p>
    <w:p>
      <w:pPr>
        <w:pStyle w:val="BodyText"/>
        <w:spacing w:line="276" w:lineRule="auto" w:before="120" w:after="3"/>
        <w:ind w:left="100" w:right="115"/>
        <w:jc w:val="both"/>
      </w:pPr>
      <w:r>
        <w:rPr/>
        <w:t>Επισυνάπτεται η ΚΥΑ περί δημοσιονομικών διορθώσεων και διαδικασιών ανάκτησης αχρεωστήτως ή παρανόμως καταβληθέντων ποσών από πόρους του κρατικού προϋπολογισμού για την υλοποίηση προγραμμάτων συγχρηματοδοτούμενων στο πλαίσιο του ΕΣΠΑ 2014−2020, σύμφωνα με το αρ. 22 του Ν. 4314/2014, ΦΕΚ 21/Τεύχος Β/Δεκεμβρίου 2015/Αρ. Φύλλου 2784.</w:t>
      </w:r>
    </w:p>
    <w:p>
      <w:pPr>
        <w:pStyle w:val="BodyText"/>
        <w:ind w:left="695"/>
        <w:rPr>
          <w:sz w:val="20"/>
        </w:rPr>
      </w:pPr>
      <w:r>
        <w:rPr>
          <w:sz w:val="20"/>
        </w:rPr>
        <w:drawing>
          <wp:inline distT="0" distB="0" distL="0" distR="0">
            <wp:extent cx="5387665" cy="7532655"/>
            <wp:effectExtent l="0" t="0" r="0" b="0"/>
            <wp:docPr id="43" name="image10.png" descr=""/>
            <wp:cNvGraphicFramePr>
              <a:graphicFrameLocks noChangeAspect="1"/>
            </wp:cNvGraphicFramePr>
            <a:graphic>
              <a:graphicData uri="http://schemas.openxmlformats.org/drawingml/2006/picture">
                <pic:pic>
                  <pic:nvPicPr>
                    <pic:cNvPr id="44" name="image10.png"/>
                    <pic:cNvPicPr/>
                  </pic:nvPicPr>
                  <pic:blipFill>
                    <a:blip r:embed="rId74" cstate="print"/>
                    <a:stretch>
                      <a:fillRect/>
                    </a:stretch>
                  </pic:blipFill>
                  <pic:spPr>
                    <a:xfrm>
                      <a:off x="0" y="0"/>
                      <a:ext cx="5387665" cy="7532655"/>
                    </a:xfrm>
                    <a:prstGeom prst="rect">
                      <a:avLst/>
                    </a:prstGeom>
                  </pic:spPr>
                </pic:pic>
              </a:graphicData>
            </a:graphic>
          </wp:inline>
        </w:drawing>
      </w:r>
      <w:r>
        <w:rPr>
          <w:sz w:val="20"/>
        </w:rPr>
      </w:r>
    </w:p>
    <w:p>
      <w:pPr>
        <w:spacing w:after="0"/>
        <w:rPr>
          <w:sz w:val="20"/>
        </w:rPr>
        <w:sectPr>
          <w:headerReference w:type="default" r:id="rId72"/>
          <w:footerReference w:type="default" r:id="rId73"/>
          <w:pgSz w:w="11910" w:h="16840"/>
          <w:pgMar w:header="748" w:footer="734" w:top="1420" w:bottom="920" w:left="980" w:right="960"/>
          <w:pgNumType w:start="1"/>
        </w:sectPr>
      </w:pPr>
    </w:p>
    <w:p>
      <w:pPr>
        <w:pStyle w:val="BodyText"/>
        <w:spacing w:before="9" w:after="1"/>
        <w:rPr>
          <w:rFonts w:ascii="Times New Roman"/>
          <w:sz w:val="23"/>
        </w:rPr>
      </w:pPr>
    </w:p>
    <w:p>
      <w:pPr>
        <w:pStyle w:val="BodyText"/>
        <w:ind w:left="395"/>
        <w:rPr>
          <w:rFonts w:ascii="Times New Roman"/>
          <w:sz w:val="20"/>
        </w:rPr>
      </w:pPr>
      <w:r>
        <w:rPr>
          <w:rFonts w:ascii="Times New Roman"/>
          <w:sz w:val="20"/>
        </w:rPr>
        <w:drawing>
          <wp:inline distT="0" distB="0" distL="0" distR="0">
            <wp:extent cx="5761347" cy="8219313"/>
            <wp:effectExtent l="0" t="0" r="0" b="0"/>
            <wp:docPr id="45" name="image11.jpeg" descr=""/>
            <wp:cNvGraphicFramePr>
              <a:graphicFrameLocks noChangeAspect="1"/>
            </wp:cNvGraphicFramePr>
            <a:graphic>
              <a:graphicData uri="http://schemas.openxmlformats.org/drawingml/2006/picture">
                <pic:pic>
                  <pic:nvPicPr>
                    <pic:cNvPr id="46" name="image11.jpeg"/>
                    <pic:cNvPicPr/>
                  </pic:nvPicPr>
                  <pic:blipFill>
                    <a:blip r:embed="rId75" cstate="print"/>
                    <a:stretch>
                      <a:fillRect/>
                    </a:stretch>
                  </pic:blipFill>
                  <pic:spPr>
                    <a:xfrm>
                      <a:off x="0" y="0"/>
                      <a:ext cx="5761347" cy="8219313"/>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980" w:right="1000"/>
        </w:sectPr>
      </w:pPr>
    </w:p>
    <w:p>
      <w:pPr>
        <w:pStyle w:val="BodyText"/>
        <w:spacing w:before="9" w:after="1"/>
        <w:rPr>
          <w:rFonts w:ascii="Times New Roman"/>
          <w:sz w:val="23"/>
        </w:rPr>
      </w:pPr>
    </w:p>
    <w:p>
      <w:pPr>
        <w:pStyle w:val="BodyText"/>
        <w:ind w:left="323"/>
        <w:rPr>
          <w:rFonts w:ascii="Times New Roman"/>
          <w:sz w:val="20"/>
        </w:rPr>
      </w:pPr>
      <w:r>
        <w:rPr>
          <w:rFonts w:ascii="Times New Roman"/>
          <w:sz w:val="20"/>
        </w:rPr>
        <w:drawing>
          <wp:inline distT="0" distB="0" distL="0" distR="0">
            <wp:extent cx="5888742" cy="8257032"/>
            <wp:effectExtent l="0" t="0" r="0" b="0"/>
            <wp:docPr id="47" name="image12.jpeg" descr=""/>
            <wp:cNvGraphicFramePr>
              <a:graphicFrameLocks noChangeAspect="1"/>
            </wp:cNvGraphicFramePr>
            <a:graphic>
              <a:graphicData uri="http://schemas.openxmlformats.org/drawingml/2006/picture">
                <pic:pic>
                  <pic:nvPicPr>
                    <pic:cNvPr id="48" name="image12.jpeg"/>
                    <pic:cNvPicPr/>
                  </pic:nvPicPr>
                  <pic:blipFill>
                    <a:blip r:embed="rId76" cstate="print"/>
                    <a:stretch>
                      <a:fillRect/>
                    </a:stretch>
                  </pic:blipFill>
                  <pic:spPr>
                    <a:xfrm>
                      <a:off x="0" y="0"/>
                      <a:ext cx="5888742" cy="825703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980" w:right="1000"/>
        </w:sectPr>
      </w:pPr>
    </w:p>
    <w:p>
      <w:pPr>
        <w:pStyle w:val="BodyText"/>
        <w:spacing w:before="9" w:after="1"/>
        <w:rPr>
          <w:rFonts w:ascii="Times New Roman"/>
          <w:sz w:val="23"/>
        </w:rPr>
      </w:pPr>
    </w:p>
    <w:p>
      <w:pPr>
        <w:pStyle w:val="BodyText"/>
        <w:ind w:left="338"/>
        <w:rPr>
          <w:rFonts w:ascii="Times New Roman"/>
          <w:sz w:val="20"/>
        </w:rPr>
      </w:pPr>
      <w:r>
        <w:rPr>
          <w:rFonts w:ascii="Times New Roman"/>
          <w:sz w:val="20"/>
        </w:rPr>
        <w:drawing>
          <wp:inline distT="0" distB="0" distL="0" distR="0">
            <wp:extent cx="5836193" cy="8215026"/>
            <wp:effectExtent l="0" t="0" r="0" b="0"/>
            <wp:docPr id="49" name="image13.jpeg" descr=""/>
            <wp:cNvGraphicFramePr>
              <a:graphicFrameLocks noChangeAspect="1"/>
            </wp:cNvGraphicFramePr>
            <a:graphic>
              <a:graphicData uri="http://schemas.openxmlformats.org/drawingml/2006/picture">
                <pic:pic>
                  <pic:nvPicPr>
                    <pic:cNvPr id="50" name="image13.jpeg"/>
                    <pic:cNvPicPr/>
                  </pic:nvPicPr>
                  <pic:blipFill>
                    <a:blip r:embed="rId77" cstate="print"/>
                    <a:stretch>
                      <a:fillRect/>
                    </a:stretch>
                  </pic:blipFill>
                  <pic:spPr>
                    <a:xfrm>
                      <a:off x="0" y="0"/>
                      <a:ext cx="5836193" cy="8215026"/>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980" w:right="1000"/>
        </w:sectPr>
      </w:pPr>
    </w:p>
    <w:p>
      <w:pPr>
        <w:pStyle w:val="BodyText"/>
        <w:spacing w:before="9" w:after="1"/>
        <w:rPr>
          <w:rFonts w:ascii="Times New Roman"/>
          <w:sz w:val="23"/>
        </w:rPr>
      </w:pPr>
    </w:p>
    <w:p>
      <w:pPr>
        <w:pStyle w:val="BodyText"/>
        <w:ind w:left="413"/>
        <w:rPr>
          <w:rFonts w:ascii="Times New Roman"/>
          <w:sz w:val="20"/>
        </w:rPr>
      </w:pPr>
      <w:r>
        <w:rPr>
          <w:rFonts w:ascii="Times New Roman"/>
          <w:sz w:val="20"/>
        </w:rPr>
        <w:drawing>
          <wp:inline distT="0" distB="0" distL="0" distR="0">
            <wp:extent cx="5783583" cy="8277225"/>
            <wp:effectExtent l="0" t="0" r="0" b="0"/>
            <wp:docPr id="51" name="image14.jpeg" descr=""/>
            <wp:cNvGraphicFramePr>
              <a:graphicFrameLocks noChangeAspect="1"/>
            </wp:cNvGraphicFramePr>
            <a:graphic>
              <a:graphicData uri="http://schemas.openxmlformats.org/drawingml/2006/picture">
                <pic:pic>
                  <pic:nvPicPr>
                    <pic:cNvPr id="52" name="image14.jpeg"/>
                    <pic:cNvPicPr/>
                  </pic:nvPicPr>
                  <pic:blipFill>
                    <a:blip r:embed="rId78" cstate="print"/>
                    <a:stretch>
                      <a:fillRect/>
                    </a:stretch>
                  </pic:blipFill>
                  <pic:spPr>
                    <a:xfrm>
                      <a:off x="0" y="0"/>
                      <a:ext cx="5783583" cy="8277225"/>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980" w:right="1000"/>
        </w:sectPr>
      </w:pPr>
    </w:p>
    <w:p>
      <w:pPr>
        <w:pStyle w:val="BodyText"/>
        <w:spacing w:before="9"/>
        <w:rPr>
          <w:rFonts w:ascii="Times New Roman"/>
          <w:sz w:val="23"/>
        </w:rPr>
      </w:pPr>
    </w:p>
    <w:p>
      <w:pPr>
        <w:pStyle w:val="BodyText"/>
        <w:ind w:left="473"/>
        <w:rPr>
          <w:rFonts w:ascii="Times New Roman"/>
          <w:sz w:val="20"/>
        </w:rPr>
      </w:pPr>
      <w:r>
        <w:rPr>
          <w:rFonts w:ascii="Times New Roman"/>
          <w:sz w:val="20"/>
        </w:rPr>
        <w:drawing>
          <wp:inline distT="0" distB="0" distL="0" distR="0">
            <wp:extent cx="5689428" cy="8243506"/>
            <wp:effectExtent l="0" t="0" r="0" b="0"/>
            <wp:docPr id="53" name="image15.jpeg" descr=""/>
            <wp:cNvGraphicFramePr>
              <a:graphicFrameLocks noChangeAspect="1"/>
            </wp:cNvGraphicFramePr>
            <a:graphic>
              <a:graphicData uri="http://schemas.openxmlformats.org/drawingml/2006/picture">
                <pic:pic>
                  <pic:nvPicPr>
                    <pic:cNvPr id="54" name="image15.jpeg"/>
                    <pic:cNvPicPr/>
                  </pic:nvPicPr>
                  <pic:blipFill>
                    <a:blip r:embed="rId79" cstate="print"/>
                    <a:stretch>
                      <a:fillRect/>
                    </a:stretch>
                  </pic:blipFill>
                  <pic:spPr>
                    <a:xfrm>
                      <a:off x="0" y="0"/>
                      <a:ext cx="5689428" cy="8243506"/>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980" w:right="1000"/>
        </w:sectPr>
      </w:pPr>
    </w:p>
    <w:p>
      <w:pPr>
        <w:pStyle w:val="BodyText"/>
        <w:rPr>
          <w:rFonts w:ascii="Times New Roman"/>
          <w:sz w:val="20"/>
        </w:rPr>
      </w:pPr>
    </w:p>
    <w:p>
      <w:pPr>
        <w:pStyle w:val="BodyText"/>
        <w:spacing w:before="6"/>
        <w:rPr>
          <w:rFonts w:ascii="Times New Roman"/>
          <w:sz w:val="19"/>
        </w:rPr>
      </w:pPr>
    </w:p>
    <w:p>
      <w:pPr>
        <w:pStyle w:val="Heading4"/>
        <w:spacing w:before="57"/>
        <w:ind w:left="820" w:hanging="721"/>
        <w:jc w:val="left"/>
      </w:pPr>
      <w:r>
        <w:rPr/>
        <w:t>ΠΑΡΑΡΤΗΜΑ ΙΙΙ: ΠΡΟΫΠΟΘΕΣΕΙΣ ΕΠΙΛΕΞΙΜΟΤΗΤΑΣ ΔΑΠΑΝΩΝ – ΑΠΑΡΑΙΤΗΤΑ ΠΑΡΑΣΤΑΤΙΚΑ ΓΙΑ ΤΗΝ ΥΛΟΠΟΙΗΣΗ ΦΥΣΙΚΟΥ ΚΑΙ ΟΙΚΟΝΟΜΙΚΟΥ ΑΝΤΙΚΕΙΜΕΝΟΥ</w:t>
      </w:r>
    </w:p>
    <w:p>
      <w:pPr>
        <w:pStyle w:val="BodyText"/>
        <w:rPr>
          <w:b/>
        </w:rPr>
      </w:pPr>
    </w:p>
    <w:p>
      <w:pPr>
        <w:pStyle w:val="Heading5"/>
        <w:spacing w:before="161"/>
        <w:rPr>
          <w:i/>
        </w:rPr>
      </w:pPr>
      <w:r>
        <w:rPr>
          <w:i/>
        </w:rPr>
        <w:t>Χρόνος πραγματοποίησης των δαπανών</w:t>
      </w:r>
    </w:p>
    <w:p>
      <w:pPr>
        <w:pStyle w:val="BodyText"/>
        <w:spacing w:line="276" w:lineRule="auto" w:before="158"/>
        <w:ind w:left="100" w:right="115"/>
        <w:jc w:val="both"/>
      </w:pPr>
      <w:r>
        <w:rPr/>
        <w:t>Το σύνολο των δαπανών του έργου θα πρέπει να έχει πραγματοποιηθεί κατά τη διάρκεια του χρονικού πλαισίου, που προσδιορίζεται στην απόφαση ένταξης - χρηματοδότησης του έργου. Αποδεικτικά πραγματοποίησης των δαπανών θεωρούνται τα σχετικά παραστατικά (π.χ. τιμολόγια) όπως αυτά καθορίζονται παρακάτω.</w:t>
      </w:r>
    </w:p>
    <w:p>
      <w:pPr>
        <w:pStyle w:val="BodyText"/>
        <w:spacing w:line="276" w:lineRule="auto" w:before="121"/>
        <w:ind w:left="100" w:right="118"/>
        <w:jc w:val="both"/>
      </w:pPr>
      <w:r>
        <w:rPr/>
        <w:t>Οι δαπάνες θα πρέπει να έχουν εξοφληθεί πλήρως μέχρι τη διενέργεια του ενδιάμεσου ελέγχου, για να πιστοποιηθούν οι σχετικές δαπάνες στο αντίστοιχο χρονικό διάστημα, που αφορά ο έλεγχος. Δαπάνες που δεν έχουν εξοφληθεί πλήρως μέχρι την διενέργεια του ελέγχου θα θεωρούνται μη επιλέξιμες για την ελεγχόμενη περίοδο και στην περίπτωση αυτή οι δαπάνες αυτές μπορούν να υποβληθούν με την επόμενη έκθεση προόδου εφόσον έχει ολοκληρωθεί η εξόφλησή τους. Οποιαδήποτε δαπάνη δεν έχει εξοφληθεί πλήρως μέχρι την ημερομηνία υποβολής της τελικής έκθεσης επαλήθευσης, κρίνεται οριστικά μη επιλέξιμη.</w:t>
      </w:r>
    </w:p>
    <w:p>
      <w:pPr>
        <w:pStyle w:val="BodyText"/>
      </w:pPr>
    </w:p>
    <w:p>
      <w:pPr>
        <w:pStyle w:val="BodyText"/>
        <w:spacing w:before="1"/>
        <w:rPr>
          <w:sz w:val="23"/>
        </w:rPr>
      </w:pPr>
    </w:p>
    <w:p>
      <w:pPr>
        <w:pStyle w:val="Heading5"/>
        <w:rPr>
          <w:i/>
        </w:rPr>
      </w:pPr>
      <w:r>
        <w:rPr>
          <w:i/>
        </w:rPr>
        <w:t>Προϋποθέσεις επιλεξιμότητας δαπανών – Απαραίτητα παραστατικά</w:t>
      </w:r>
    </w:p>
    <w:p>
      <w:pPr>
        <w:pStyle w:val="BodyText"/>
        <w:rPr>
          <w:b/>
          <w:i/>
        </w:rPr>
      </w:pPr>
    </w:p>
    <w:p>
      <w:pPr>
        <w:pStyle w:val="BodyText"/>
        <w:spacing w:before="2"/>
        <w:rPr>
          <w:b/>
          <w:i/>
          <w:sz w:val="26"/>
        </w:rPr>
      </w:pPr>
    </w:p>
    <w:p>
      <w:pPr>
        <w:pStyle w:val="ListParagraph"/>
        <w:numPr>
          <w:ilvl w:val="0"/>
          <w:numId w:val="54"/>
        </w:numPr>
        <w:tabs>
          <w:tab w:pos="461" w:val="left" w:leader="none"/>
        </w:tabs>
        <w:spacing w:line="240" w:lineRule="auto" w:before="0" w:after="0"/>
        <w:ind w:left="460" w:right="0" w:hanging="360"/>
        <w:jc w:val="both"/>
        <w:rPr>
          <w:b/>
          <w:sz w:val="22"/>
        </w:rPr>
      </w:pPr>
      <w:r>
        <w:rPr>
          <w:b/>
          <w:sz w:val="22"/>
        </w:rPr>
        <w:t>Κατηγορία δραστηριότητας: «Επενδύσεις σε στοιχεία</w:t>
      </w:r>
      <w:r>
        <w:rPr>
          <w:b/>
          <w:spacing w:val="-18"/>
          <w:sz w:val="22"/>
        </w:rPr>
        <w:t> </w:t>
      </w:r>
      <w:r>
        <w:rPr>
          <w:b/>
          <w:sz w:val="22"/>
        </w:rPr>
        <w:t>ενεργητικού»</w:t>
      </w:r>
    </w:p>
    <w:p>
      <w:pPr>
        <w:pStyle w:val="ListParagraph"/>
        <w:numPr>
          <w:ilvl w:val="1"/>
          <w:numId w:val="54"/>
        </w:numPr>
        <w:tabs>
          <w:tab w:pos="821" w:val="left" w:leader="none"/>
        </w:tabs>
        <w:spacing w:line="240" w:lineRule="auto" w:before="135" w:after="0"/>
        <w:ind w:left="820" w:right="0" w:hanging="360"/>
        <w:jc w:val="both"/>
        <w:rPr>
          <w:b/>
          <w:sz w:val="22"/>
        </w:rPr>
      </w:pPr>
      <w:r>
        <w:rPr>
          <w:b/>
          <w:sz w:val="22"/>
        </w:rPr>
        <w:t>Κατηγορία Δαπάνης «Επενδύσεις σε Κτιριακές</w:t>
      </w:r>
      <w:r>
        <w:rPr>
          <w:b/>
          <w:spacing w:val="-34"/>
          <w:sz w:val="22"/>
        </w:rPr>
        <w:t> </w:t>
      </w:r>
      <w:r>
        <w:rPr>
          <w:b/>
          <w:sz w:val="22"/>
        </w:rPr>
        <w:t>εγκαταστάσεις»</w:t>
      </w:r>
    </w:p>
    <w:p>
      <w:pPr>
        <w:pStyle w:val="BodyText"/>
        <w:spacing w:line="276" w:lineRule="auto" w:before="134"/>
        <w:ind w:left="460" w:right="117"/>
        <w:jc w:val="both"/>
      </w:pPr>
      <w:r>
        <w:rPr/>
        <w:t>Απαραίτητη προϋπόθεση για να είναι επιλέξιμες οι δαπάνες ιδιόκτητων κτιριακών εγκαταστάσεων είναι η εγγραφή τους σε βιβλίο μητρώου παγίων ή αντίστοιχο βιβλίο κατά τα προβλεπόμενα στις εκάστοτε ισχύουσες φορολογικές διατάξεις.</w:t>
      </w:r>
    </w:p>
    <w:p>
      <w:pPr>
        <w:pStyle w:val="BodyText"/>
        <w:spacing w:before="120"/>
        <w:ind w:left="460"/>
        <w:jc w:val="both"/>
      </w:pPr>
      <w:r>
        <w:rPr/>
        <w:t>Απαραίτητα παραστατικά:</w:t>
      </w:r>
    </w:p>
    <w:p>
      <w:pPr>
        <w:pStyle w:val="ListParagraph"/>
        <w:numPr>
          <w:ilvl w:val="0"/>
          <w:numId w:val="55"/>
        </w:numPr>
        <w:tabs>
          <w:tab w:pos="821" w:val="left" w:leader="none"/>
        </w:tabs>
        <w:spacing w:line="240" w:lineRule="auto" w:before="161" w:after="0"/>
        <w:ind w:left="820" w:right="0" w:hanging="360"/>
        <w:jc w:val="both"/>
        <w:rPr>
          <w:rFonts w:ascii="Symbol" w:hAnsi="Symbol"/>
          <w:sz w:val="22"/>
        </w:rPr>
      </w:pPr>
      <w:r>
        <w:rPr>
          <w:sz w:val="22"/>
        </w:rPr>
        <w:t>Αντίγραφο</w:t>
      </w:r>
      <w:r>
        <w:rPr>
          <w:spacing w:val="-7"/>
          <w:sz w:val="22"/>
        </w:rPr>
        <w:t> </w:t>
      </w:r>
      <w:r>
        <w:rPr>
          <w:sz w:val="22"/>
        </w:rPr>
        <w:t>τίτλου</w:t>
      </w:r>
      <w:r>
        <w:rPr>
          <w:spacing w:val="-8"/>
          <w:sz w:val="22"/>
        </w:rPr>
        <w:t> </w:t>
      </w:r>
      <w:r>
        <w:rPr>
          <w:sz w:val="22"/>
        </w:rPr>
        <w:t>ιδιοκτησίας</w:t>
      </w:r>
      <w:r>
        <w:rPr>
          <w:spacing w:val="-6"/>
          <w:sz w:val="22"/>
        </w:rPr>
        <w:t> </w:t>
      </w:r>
      <w:r>
        <w:rPr>
          <w:spacing w:val="-3"/>
          <w:sz w:val="22"/>
        </w:rPr>
        <w:t>και</w:t>
      </w:r>
      <w:r>
        <w:rPr>
          <w:spacing w:val="-9"/>
          <w:sz w:val="22"/>
        </w:rPr>
        <w:t> </w:t>
      </w:r>
      <w:r>
        <w:rPr>
          <w:sz w:val="22"/>
        </w:rPr>
        <w:t>μεταγραφή</w:t>
      </w:r>
      <w:r>
        <w:rPr>
          <w:spacing w:val="-7"/>
          <w:sz w:val="22"/>
        </w:rPr>
        <w:t> </w:t>
      </w:r>
      <w:r>
        <w:rPr>
          <w:sz w:val="22"/>
        </w:rPr>
        <w:t>αυτού</w:t>
      </w:r>
      <w:r>
        <w:rPr>
          <w:spacing w:val="-8"/>
          <w:sz w:val="22"/>
        </w:rPr>
        <w:t> </w:t>
      </w:r>
      <w:r>
        <w:rPr>
          <w:sz w:val="22"/>
        </w:rPr>
        <w:t>στο</w:t>
      </w:r>
      <w:r>
        <w:rPr>
          <w:spacing w:val="-7"/>
          <w:sz w:val="22"/>
        </w:rPr>
        <w:t> </w:t>
      </w:r>
      <w:r>
        <w:rPr>
          <w:sz w:val="22"/>
        </w:rPr>
        <w:t>υποθηκοφυλακείο</w:t>
      </w:r>
      <w:r>
        <w:rPr>
          <w:spacing w:val="-7"/>
          <w:sz w:val="22"/>
        </w:rPr>
        <w:t> </w:t>
      </w:r>
      <w:r>
        <w:rPr>
          <w:sz w:val="22"/>
        </w:rPr>
        <w:t>/</w:t>
      </w:r>
      <w:r>
        <w:rPr>
          <w:spacing w:val="-5"/>
          <w:sz w:val="22"/>
        </w:rPr>
        <w:t> </w:t>
      </w:r>
      <w:r>
        <w:rPr>
          <w:sz w:val="22"/>
        </w:rPr>
        <w:t>Κτηματολόγιο.</w:t>
      </w:r>
    </w:p>
    <w:p>
      <w:pPr>
        <w:pStyle w:val="ListParagraph"/>
        <w:numPr>
          <w:ilvl w:val="0"/>
          <w:numId w:val="55"/>
        </w:numPr>
        <w:tabs>
          <w:tab w:pos="821" w:val="left" w:leader="none"/>
        </w:tabs>
        <w:spacing w:line="276" w:lineRule="auto" w:before="159" w:after="0"/>
        <w:ind w:left="820" w:right="116" w:hanging="360"/>
        <w:jc w:val="both"/>
        <w:rPr>
          <w:rFonts w:ascii="Symbol" w:hAnsi="Symbol"/>
          <w:sz w:val="22"/>
        </w:rPr>
      </w:pPr>
      <w:r>
        <w:rPr>
          <w:sz w:val="22"/>
        </w:rPr>
        <w:t>Συμβολαιογραφική πράξη αγοραπωλησίας ή σύστασης επικαρπίας για υφιστάμενη επιχειρηματική εγκατάσταση, εγγεγραμμένη στο αρμόδιο υποθηκοφυλακείο ή τίτλος ιδιοκτησίας στο Εθνικό Κτηματολόγιο. Η επικαρπία θα πρέπει να έχει διάρκεια τουλάχιστον οκτώ (8) ετών από την ημέρα έκδοσης της εγκριτικής</w:t>
      </w:r>
      <w:r>
        <w:rPr>
          <w:spacing w:val="-21"/>
          <w:sz w:val="22"/>
        </w:rPr>
        <w:t> </w:t>
      </w:r>
      <w:r>
        <w:rPr>
          <w:sz w:val="22"/>
        </w:rPr>
        <w:t>απόφασης.</w:t>
      </w:r>
    </w:p>
    <w:p>
      <w:pPr>
        <w:pStyle w:val="ListParagraph"/>
        <w:numPr>
          <w:ilvl w:val="0"/>
          <w:numId w:val="55"/>
        </w:numPr>
        <w:tabs>
          <w:tab w:pos="821" w:val="left" w:leader="none"/>
        </w:tabs>
        <w:spacing w:line="276" w:lineRule="auto" w:before="120" w:after="0"/>
        <w:ind w:left="820" w:right="114" w:hanging="360"/>
        <w:jc w:val="both"/>
        <w:rPr>
          <w:rFonts w:ascii="Symbol" w:hAnsi="Symbol"/>
          <w:sz w:val="20"/>
        </w:rPr>
      </w:pPr>
      <w:r>
        <w:rPr>
          <w:sz w:val="22"/>
        </w:rPr>
        <w:t>Απόδειξη ηλεκτρονικής υποβολής για τις μισθώσεις ή παραχωρήσεις κτιριακών εγκαταστάσεων. </w:t>
      </w:r>
      <w:r>
        <w:rPr>
          <w:spacing w:val="-10"/>
          <w:sz w:val="22"/>
        </w:rPr>
        <w:t>Το </w:t>
      </w:r>
      <w:r>
        <w:rPr>
          <w:sz w:val="22"/>
        </w:rPr>
        <w:t>μισθωτήριο συμβόλαιο ή η παραχώρηση χρήσης πρέπει να έχει διάρκεια τουλάχιστον οκτώ (8) ετών από την ημέρα έκδοσης της εγκριτικής</w:t>
      </w:r>
      <w:r>
        <w:rPr>
          <w:spacing w:val="-27"/>
          <w:sz w:val="22"/>
        </w:rPr>
        <w:t> </w:t>
      </w:r>
      <w:r>
        <w:rPr>
          <w:sz w:val="22"/>
        </w:rPr>
        <w:t>απόφασης.</w:t>
      </w:r>
    </w:p>
    <w:p>
      <w:pPr>
        <w:pStyle w:val="ListParagraph"/>
        <w:numPr>
          <w:ilvl w:val="0"/>
          <w:numId w:val="55"/>
        </w:numPr>
        <w:tabs>
          <w:tab w:pos="821" w:val="left" w:leader="none"/>
        </w:tabs>
        <w:spacing w:line="276" w:lineRule="auto" w:before="121" w:after="0"/>
        <w:ind w:left="820" w:right="115" w:hanging="360"/>
        <w:jc w:val="both"/>
        <w:rPr>
          <w:rFonts w:ascii="Symbol" w:hAnsi="Symbol"/>
          <w:sz w:val="22"/>
        </w:rPr>
      </w:pPr>
      <w:r>
        <w:rPr>
          <w:sz w:val="22"/>
        </w:rPr>
        <w:t>Άδεια δόμησης ή έγκριση εργασιών μικρής κλίμακας ή όποια άλλη μορφή έγκρισης εργασιών απαιτείται από τις πολεοδομικές διατάξεις ή βεβαίωση απαλλαγής από τις αρμόδιες υπηρεσίες ή τακτοποίηση / νομιμοποίηση χώρου εφόσον συντρέχει τέτοια</w:t>
      </w:r>
      <w:r>
        <w:rPr>
          <w:spacing w:val="-26"/>
          <w:sz w:val="22"/>
        </w:rPr>
        <w:t> </w:t>
      </w:r>
      <w:r>
        <w:rPr>
          <w:sz w:val="22"/>
        </w:rPr>
        <w:t>περίπτωση.</w:t>
      </w:r>
    </w:p>
    <w:p>
      <w:pPr>
        <w:pStyle w:val="ListParagraph"/>
        <w:numPr>
          <w:ilvl w:val="0"/>
          <w:numId w:val="55"/>
        </w:numPr>
        <w:tabs>
          <w:tab w:pos="821" w:val="left" w:leader="none"/>
        </w:tabs>
        <w:spacing w:line="273" w:lineRule="auto" w:before="121" w:after="0"/>
        <w:ind w:left="820" w:right="116" w:hanging="360"/>
        <w:jc w:val="both"/>
        <w:rPr>
          <w:rFonts w:ascii="Symbol" w:hAnsi="Symbol"/>
          <w:sz w:val="22"/>
        </w:rPr>
      </w:pPr>
      <w:r>
        <w:rPr>
          <w:sz w:val="22"/>
        </w:rPr>
        <w:t>Ιδιωτικά συμφωνητικά – συμβάσεις με κατασκευαστές / προμηθευτές για τις κτιριακές επενδύσεις, υποβεβλημένες στην αρμόδια </w:t>
      </w:r>
      <w:r>
        <w:rPr>
          <w:spacing w:val="-8"/>
          <w:sz w:val="22"/>
        </w:rPr>
        <w:t>Δ.Ο.Υ., </w:t>
      </w:r>
      <w:r>
        <w:rPr>
          <w:sz w:val="22"/>
        </w:rPr>
        <w:t>όπου προβλέπει η σχετική</w:t>
      </w:r>
      <w:r>
        <w:rPr>
          <w:spacing w:val="-15"/>
          <w:sz w:val="22"/>
        </w:rPr>
        <w:t> </w:t>
      </w:r>
      <w:r>
        <w:rPr>
          <w:sz w:val="22"/>
        </w:rPr>
        <w:t>νομοθεσία.</w:t>
      </w:r>
    </w:p>
    <w:p>
      <w:pPr>
        <w:pStyle w:val="ListParagraph"/>
        <w:numPr>
          <w:ilvl w:val="0"/>
          <w:numId w:val="55"/>
        </w:numPr>
        <w:tabs>
          <w:tab w:pos="821" w:val="left" w:leader="none"/>
        </w:tabs>
        <w:spacing w:line="240" w:lineRule="auto" w:before="124" w:after="0"/>
        <w:ind w:left="820" w:right="0" w:hanging="360"/>
        <w:jc w:val="both"/>
        <w:rPr>
          <w:rFonts w:ascii="Symbol" w:hAnsi="Symbol"/>
          <w:sz w:val="22"/>
        </w:rPr>
      </w:pPr>
      <w:r>
        <w:rPr>
          <w:sz w:val="22"/>
        </w:rPr>
        <w:t>Φάκελο  τεχνικών  στοιχείων  των  κτιριακών  επενδύσεων  που  περιλαμβάνει:  Τεχνική  έκθεση  </w:t>
      </w:r>
      <w:r>
        <w:rPr>
          <w:spacing w:val="13"/>
          <w:sz w:val="22"/>
        </w:rPr>
        <w:t> </w:t>
      </w:r>
      <w:r>
        <w:rPr>
          <w:sz w:val="22"/>
        </w:rPr>
        <w:t>με</w:t>
      </w:r>
    </w:p>
    <w:p>
      <w:pPr>
        <w:spacing w:after="0" w:line="240" w:lineRule="auto"/>
        <w:jc w:val="both"/>
        <w:rPr>
          <w:rFonts w:ascii="Symbol" w:hAnsi="Symbol"/>
          <w:sz w:val="22"/>
        </w:rPr>
        <w:sectPr>
          <w:footerReference w:type="default" r:id="rId80"/>
          <w:pgSz w:w="11910" w:h="16840"/>
          <w:pgMar w:footer="734" w:header="748" w:top="1420" w:bottom="920" w:left="980" w:right="960"/>
          <w:pgNumType w:start="1"/>
        </w:sectPr>
      </w:pPr>
    </w:p>
    <w:p>
      <w:pPr>
        <w:pStyle w:val="BodyText"/>
        <w:spacing w:before="7"/>
        <w:rPr>
          <w:sz w:val="17"/>
        </w:rPr>
      </w:pPr>
    </w:p>
    <w:p>
      <w:pPr>
        <w:pStyle w:val="BodyText"/>
        <w:spacing w:line="276" w:lineRule="auto" w:before="57"/>
        <w:ind w:left="820"/>
      </w:pPr>
      <w:r>
        <w:rPr/>
        <w:t>περιγραφή εργασιών, Σχέδια, Επιμετρήσεις εργασιών, Ανάλυση κόστους εργασιών του προμηθευτή, Φωτογραφικό υλικό. Ο φάκελος τεχνικών στοιχείων υπογράφεται από αρμόδιο/ους μηχανικό/ους.</w:t>
      </w:r>
    </w:p>
    <w:p>
      <w:pPr>
        <w:pStyle w:val="ListParagraph"/>
        <w:numPr>
          <w:ilvl w:val="0"/>
          <w:numId w:val="55"/>
        </w:numPr>
        <w:tabs>
          <w:tab w:pos="821" w:val="left" w:leader="none"/>
        </w:tabs>
        <w:spacing w:line="276" w:lineRule="auto" w:before="118" w:after="0"/>
        <w:ind w:left="820" w:right="113" w:hanging="360"/>
        <w:jc w:val="both"/>
        <w:rPr>
          <w:rFonts w:ascii="Symbol" w:hAnsi="Symbol"/>
          <w:sz w:val="22"/>
        </w:rPr>
      </w:pPr>
      <w:r>
        <w:rPr>
          <w:sz w:val="22"/>
        </w:rPr>
        <w:t>Τιμολόγια πώλησης ή παροχής υπηρεσιών του προμηθευτή / κατασκευαστή προς τον φορέα. Στα παραστατικά θα πρέπει να αναφέρεται η επωνυμία του προμηθευτή ή κατασκευαστή, να περιγράφεται αναλυτικά η προμήθεια </w:t>
      </w:r>
      <w:r>
        <w:rPr>
          <w:spacing w:val="-3"/>
          <w:sz w:val="22"/>
        </w:rPr>
        <w:t>υλικών </w:t>
      </w:r>
      <w:r>
        <w:rPr>
          <w:sz w:val="22"/>
        </w:rPr>
        <w:t>ή η κατασκευή κτιριακών εγκαταστάσεων </w:t>
      </w:r>
      <w:r>
        <w:rPr>
          <w:spacing w:val="-3"/>
          <w:sz w:val="22"/>
        </w:rPr>
        <w:t>και </w:t>
      </w:r>
      <w:r>
        <w:rPr>
          <w:sz w:val="22"/>
        </w:rPr>
        <w:t>να αναγράφεται</w:t>
      </w:r>
      <w:r>
        <w:rPr>
          <w:spacing w:val="-4"/>
          <w:sz w:val="22"/>
        </w:rPr>
        <w:t> </w:t>
      </w:r>
      <w:r>
        <w:rPr>
          <w:sz w:val="22"/>
        </w:rPr>
        <w:t>η</w:t>
      </w:r>
      <w:r>
        <w:rPr>
          <w:spacing w:val="-5"/>
          <w:sz w:val="22"/>
        </w:rPr>
        <w:t> </w:t>
      </w:r>
      <w:r>
        <w:rPr>
          <w:sz w:val="22"/>
        </w:rPr>
        <w:t>ονομασία</w:t>
      </w:r>
      <w:r>
        <w:rPr>
          <w:spacing w:val="-4"/>
          <w:sz w:val="22"/>
        </w:rPr>
        <w:t> </w:t>
      </w:r>
      <w:r>
        <w:rPr>
          <w:sz w:val="22"/>
        </w:rPr>
        <w:t>της</w:t>
      </w:r>
      <w:r>
        <w:rPr>
          <w:spacing w:val="-3"/>
          <w:sz w:val="22"/>
        </w:rPr>
        <w:t> </w:t>
      </w:r>
      <w:r>
        <w:rPr>
          <w:sz w:val="22"/>
        </w:rPr>
        <w:t>δράσης</w:t>
      </w:r>
      <w:r>
        <w:rPr>
          <w:spacing w:val="-3"/>
          <w:sz w:val="22"/>
        </w:rPr>
        <w:t> και</w:t>
      </w:r>
      <w:r>
        <w:rPr>
          <w:spacing w:val="-6"/>
          <w:sz w:val="22"/>
        </w:rPr>
        <w:t> </w:t>
      </w:r>
      <w:r>
        <w:rPr>
          <w:sz w:val="22"/>
        </w:rPr>
        <w:t>του</w:t>
      </w:r>
      <w:r>
        <w:rPr>
          <w:spacing w:val="-3"/>
          <w:sz w:val="22"/>
        </w:rPr>
        <w:t> </w:t>
      </w:r>
      <w:r>
        <w:rPr>
          <w:sz w:val="22"/>
        </w:rPr>
        <w:t>έργου</w:t>
      </w:r>
      <w:r>
        <w:rPr>
          <w:spacing w:val="-5"/>
          <w:sz w:val="22"/>
        </w:rPr>
        <w:t> </w:t>
      </w:r>
      <w:r>
        <w:rPr>
          <w:sz w:val="22"/>
        </w:rPr>
        <w:t>για</w:t>
      </w:r>
      <w:r>
        <w:rPr>
          <w:spacing w:val="-3"/>
          <w:sz w:val="22"/>
        </w:rPr>
        <w:t> </w:t>
      </w:r>
      <w:r>
        <w:rPr>
          <w:sz w:val="22"/>
        </w:rPr>
        <w:t>το</w:t>
      </w:r>
      <w:r>
        <w:rPr>
          <w:spacing w:val="-4"/>
          <w:sz w:val="22"/>
        </w:rPr>
        <w:t> </w:t>
      </w:r>
      <w:r>
        <w:rPr>
          <w:sz w:val="22"/>
        </w:rPr>
        <w:t>οποίο</w:t>
      </w:r>
      <w:r>
        <w:rPr>
          <w:spacing w:val="-2"/>
          <w:sz w:val="22"/>
        </w:rPr>
        <w:t> </w:t>
      </w:r>
      <w:r>
        <w:rPr>
          <w:sz w:val="22"/>
        </w:rPr>
        <w:t>πραγματοποιείται</w:t>
      </w:r>
      <w:r>
        <w:rPr>
          <w:spacing w:val="-4"/>
          <w:sz w:val="22"/>
        </w:rPr>
        <w:t> </w:t>
      </w:r>
      <w:r>
        <w:rPr>
          <w:sz w:val="22"/>
        </w:rPr>
        <w:t>η</w:t>
      </w:r>
      <w:r>
        <w:rPr>
          <w:spacing w:val="-3"/>
          <w:sz w:val="22"/>
        </w:rPr>
        <w:t> </w:t>
      </w:r>
      <w:r>
        <w:rPr>
          <w:sz w:val="22"/>
        </w:rPr>
        <w:t>αγορά.</w:t>
      </w:r>
    </w:p>
    <w:p>
      <w:pPr>
        <w:pStyle w:val="ListParagraph"/>
        <w:numPr>
          <w:ilvl w:val="0"/>
          <w:numId w:val="55"/>
        </w:numPr>
        <w:tabs>
          <w:tab w:pos="809" w:val="left" w:leader="none"/>
        </w:tabs>
        <w:spacing w:line="276" w:lineRule="auto" w:before="121" w:after="0"/>
        <w:ind w:left="808" w:right="113" w:hanging="360"/>
        <w:jc w:val="both"/>
        <w:rPr>
          <w:rFonts w:ascii="Symbol" w:hAnsi="Symbol"/>
          <w:sz w:val="22"/>
        </w:rPr>
      </w:pPr>
      <w:r>
        <w:rPr>
          <w:sz w:val="22"/>
        </w:rPr>
        <w:t>Εξοφλήσεις</w:t>
      </w:r>
      <w:r>
        <w:rPr>
          <w:spacing w:val="-8"/>
          <w:sz w:val="22"/>
        </w:rPr>
        <w:t> </w:t>
      </w:r>
      <w:r>
        <w:rPr>
          <w:sz w:val="22"/>
        </w:rPr>
        <w:t>των</w:t>
      </w:r>
      <w:r>
        <w:rPr>
          <w:spacing w:val="-7"/>
          <w:sz w:val="22"/>
        </w:rPr>
        <w:t> </w:t>
      </w:r>
      <w:r>
        <w:rPr>
          <w:sz w:val="22"/>
        </w:rPr>
        <w:t>ανωτέρω</w:t>
      </w:r>
      <w:r>
        <w:rPr>
          <w:spacing w:val="-8"/>
          <w:sz w:val="22"/>
        </w:rPr>
        <w:t> </w:t>
      </w:r>
      <w:r>
        <w:rPr>
          <w:sz w:val="22"/>
        </w:rPr>
        <w:t>τιμολογίων/αποδείξεων,</w:t>
      </w:r>
      <w:r>
        <w:rPr>
          <w:spacing w:val="-6"/>
          <w:sz w:val="22"/>
        </w:rPr>
        <w:t> </w:t>
      </w:r>
      <w:r>
        <w:rPr>
          <w:sz w:val="22"/>
        </w:rPr>
        <w:t>όπως</w:t>
      </w:r>
      <w:r>
        <w:rPr>
          <w:spacing w:val="-6"/>
          <w:sz w:val="22"/>
        </w:rPr>
        <w:t> </w:t>
      </w:r>
      <w:r>
        <w:rPr>
          <w:sz w:val="22"/>
        </w:rPr>
        <w:t>αποδεικνύεται</w:t>
      </w:r>
      <w:r>
        <w:rPr>
          <w:spacing w:val="-7"/>
          <w:sz w:val="22"/>
        </w:rPr>
        <w:t> </w:t>
      </w:r>
      <w:r>
        <w:rPr>
          <w:sz w:val="22"/>
        </w:rPr>
        <w:t>από</w:t>
      </w:r>
      <w:r>
        <w:rPr>
          <w:spacing w:val="-5"/>
          <w:sz w:val="22"/>
        </w:rPr>
        <w:t> </w:t>
      </w:r>
      <w:r>
        <w:rPr>
          <w:sz w:val="22"/>
        </w:rPr>
        <w:t>εξοφλητικές</w:t>
      </w:r>
      <w:r>
        <w:rPr>
          <w:spacing w:val="-5"/>
          <w:sz w:val="22"/>
        </w:rPr>
        <w:t> </w:t>
      </w:r>
      <w:r>
        <w:rPr>
          <w:sz w:val="22"/>
        </w:rPr>
        <w:t>αποδείξεις προμηθευτή / κατασκευαστή ή/και αποδεικτικά καταβολής του οφειλόμενου ποσού, την καρτέλα προμηθευτή</w:t>
      </w:r>
      <w:r>
        <w:rPr>
          <w:spacing w:val="-7"/>
          <w:sz w:val="22"/>
        </w:rPr>
        <w:t> </w:t>
      </w:r>
      <w:r>
        <w:rPr>
          <w:sz w:val="22"/>
        </w:rPr>
        <w:t>/</w:t>
      </w:r>
      <w:r>
        <w:rPr>
          <w:spacing w:val="-3"/>
          <w:sz w:val="22"/>
        </w:rPr>
        <w:t> </w:t>
      </w:r>
      <w:r>
        <w:rPr>
          <w:sz w:val="22"/>
        </w:rPr>
        <w:t>κατασκευαστή</w:t>
      </w:r>
      <w:r>
        <w:rPr>
          <w:spacing w:val="-5"/>
          <w:sz w:val="22"/>
        </w:rPr>
        <w:t> </w:t>
      </w:r>
      <w:r>
        <w:rPr>
          <w:spacing w:val="-3"/>
          <w:sz w:val="22"/>
        </w:rPr>
        <w:t>και</w:t>
      </w:r>
      <w:r>
        <w:rPr>
          <w:spacing w:val="-5"/>
          <w:sz w:val="22"/>
        </w:rPr>
        <w:t> </w:t>
      </w:r>
      <w:r>
        <w:rPr>
          <w:sz w:val="22"/>
        </w:rPr>
        <w:t>την</w:t>
      </w:r>
      <w:r>
        <w:rPr>
          <w:spacing w:val="-7"/>
          <w:sz w:val="22"/>
        </w:rPr>
        <w:t> </w:t>
      </w:r>
      <w:r>
        <w:rPr>
          <w:sz w:val="22"/>
        </w:rPr>
        <w:t>κίνηση</w:t>
      </w:r>
      <w:r>
        <w:rPr>
          <w:spacing w:val="-5"/>
          <w:sz w:val="22"/>
        </w:rPr>
        <w:t> </w:t>
      </w:r>
      <w:r>
        <w:rPr>
          <w:sz w:val="22"/>
        </w:rPr>
        <w:t>του</w:t>
      </w:r>
      <w:r>
        <w:rPr>
          <w:spacing w:val="-6"/>
          <w:sz w:val="22"/>
        </w:rPr>
        <w:t> </w:t>
      </w:r>
      <w:r>
        <w:rPr>
          <w:sz w:val="22"/>
        </w:rPr>
        <w:t>λογαριασμού</w:t>
      </w:r>
      <w:r>
        <w:rPr>
          <w:spacing w:val="-4"/>
          <w:sz w:val="22"/>
        </w:rPr>
        <w:t> </w:t>
      </w:r>
      <w:r>
        <w:rPr>
          <w:sz w:val="22"/>
        </w:rPr>
        <w:t>του</w:t>
      </w:r>
      <w:r>
        <w:rPr>
          <w:spacing w:val="-6"/>
          <w:sz w:val="22"/>
        </w:rPr>
        <w:t> </w:t>
      </w:r>
      <w:r>
        <w:rPr>
          <w:sz w:val="22"/>
        </w:rPr>
        <w:t>ταμείου</w:t>
      </w:r>
      <w:r>
        <w:rPr>
          <w:spacing w:val="-4"/>
          <w:sz w:val="22"/>
        </w:rPr>
        <w:t> </w:t>
      </w:r>
      <w:r>
        <w:rPr>
          <w:sz w:val="22"/>
        </w:rPr>
        <w:t>ή</w:t>
      </w:r>
      <w:r>
        <w:rPr>
          <w:spacing w:val="-7"/>
          <w:sz w:val="22"/>
        </w:rPr>
        <w:t> </w:t>
      </w:r>
      <w:r>
        <w:rPr>
          <w:sz w:val="22"/>
        </w:rPr>
        <w:t>της</w:t>
      </w:r>
      <w:r>
        <w:rPr>
          <w:spacing w:val="-6"/>
          <w:sz w:val="22"/>
        </w:rPr>
        <w:t> </w:t>
      </w:r>
      <w:r>
        <w:rPr>
          <w:sz w:val="22"/>
        </w:rPr>
        <w:t>τράπεζας.</w:t>
      </w:r>
    </w:p>
    <w:p>
      <w:pPr>
        <w:pStyle w:val="ListParagraph"/>
        <w:numPr>
          <w:ilvl w:val="0"/>
          <w:numId w:val="55"/>
        </w:numPr>
        <w:tabs>
          <w:tab w:pos="821" w:val="left" w:leader="none"/>
        </w:tabs>
        <w:spacing w:line="276" w:lineRule="auto" w:before="121" w:after="0"/>
        <w:ind w:left="820" w:right="114" w:hanging="360"/>
        <w:jc w:val="both"/>
        <w:rPr>
          <w:rFonts w:ascii="Symbol" w:hAnsi="Symbol"/>
          <w:sz w:val="22"/>
        </w:rPr>
      </w:pPr>
      <w:r>
        <w:rPr>
          <w:sz w:val="22"/>
        </w:rPr>
        <w:t>Σε περίπτωση εισαγωγής προκατασκευασμένων εγκαταστάσεων από το εξωτερικό, όλα τα </w:t>
      </w:r>
      <w:r>
        <w:rPr>
          <w:spacing w:val="-3"/>
          <w:sz w:val="22"/>
        </w:rPr>
        <w:t>κατά  </w:t>
      </w:r>
      <w:r>
        <w:rPr>
          <w:sz w:val="22"/>
        </w:rPr>
        <w:t>νόμο παραστατικά που απαιτούνται μέχρι την θέση των εγκαταστάσεων σε παραγωγική λειτουργία, ανεξαρτήτως αν δεν είναι στο σύνολό τους</w:t>
      </w:r>
      <w:r>
        <w:rPr>
          <w:spacing w:val="-33"/>
          <w:sz w:val="22"/>
        </w:rPr>
        <w:t> </w:t>
      </w:r>
      <w:r>
        <w:rPr>
          <w:sz w:val="22"/>
        </w:rPr>
        <w:t>επιλέξιμα.</w:t>
      </w:r>
    </w:p>
    <w:p>
      <w:pPr>
        <w:pStyle w:val="Heading4"/>
        <w:numPr>
          <w:ilvl w:val="1"/>
          <w:numId w:val="54"/>
        </w:numPr>
        <w:tabs>
          <w:tab w:pos="809" w:val="left" w:leader="none"/>
        </w:tabs>
        <w:spacing w:line="240" w:lineRule="auto" w:before="120" w:after="0"/>
        <w:ind w:left="808" w:right="0" w:hanging="360"/>
        <w:jc w:val="left"/>
      </w:pPr>
      <w:r>
        <w:rPr/>
        <w:t>Κατηγορία Δαπάνης «Μηχανήματα -</w:t>
      </w:r>
      <w:r>
        <w:rPr>
          <w:spacing w:val="-30"/>
        </w:rPr>
        <w:t> </w:t>
      </w:r>
      <w:r>
        <w:rPr/>
        <w:t>Εξοπλισμός»</w:t>
      </w:r>
    </w:p>
    <w:p>
      <w:pPr>
        <w:pStyle w:val="BodyText"/>
        <w:spacing w:line="273" w:lineRule="auto" w:before="134"/>
        <w:ind w:left="460" w:right="162"/>
      </w:pPr>
      <w:r>
        <w:rPr/>
        <w:t>Απαραίτητη προϋπόθεση για να είναι επιλέξιμες οι δαπάνες εξοπλισμού είναι η εγγραφή τους  σε  βιβλίο μητρώου παγίων ή αντίστοιχο βιβλίο κατά τα προβλεπόμενα στις φορολογικές</w:t>
      </w:r>
      <w:r>
        <w:rPr>
          <w:spacing w:val="-20"/>
        </w:rPr>
        <w:t> </w:t>
      </w:r>
      <w:r>
        <w:rPr/>
        <w:t>διατάξεις.</w:t>
      </w:r>
    </w:p>
    <w:p>
      <w:pPr>
        <w:pStyle w:val="BodyText"/>
        <w:spacing w:before="123"/>
        <w:ind w:left="460"/>
      </w:pPr>
      <w:r>
        <w:rPr/>
        <w:t>Απαραίτητα παραστατικά:</w:t>
      </w:r>
    </w:p>
    <w:p>
      <w:pPr>
        <w:pStyle w:val="ListParagraph"/>
        <w:numPr>
          <w:ilvl w:val="0"/>
          <w:numId w:val="56"/>
        </w:numPr>
        <w:tabs>
          <w:tab w:pos="821" w:val="left" w:leader="none"/>
        </w:tabs>
        <w:spacing w:line="273" w:lineRule="auto" w:before="161" w:after="0"/>
        <w:ind w:left="820" w:right="114" w:hanging="360"/>
        <w:jc w:val="both"/>
        <w:rPr>
          <w:rFonts w:ascii="Symbol" w:hAnsi="Symbol"/>
          <w:sz w:val="22"/>
        </w:rPr>
      </w:pPr>
      <w:r>
        <w:rPr>
          <w:sz w:val="22"/>
        </w:rPr>
        <w:t>Αντίγραφα των ιδιωτικών συμφωνητικών – συμβάσεων για την προμήθεια μηχανημάτων – εξοπλισμού, υποβεβλημένα στην αρμόδια Δ.Ο.Υ., όπου προβλέπει η σχετική</w:t>
      </w:r>
      <w:r>
        <w:rPr>
          <w:spacing w:val="-16"/>
          <w:sz w:val="22"/>
        </w:rPr>
        <w:t> </w:t>
      </w:r>
      <w:r>
        <w:rPr>
          <w:sz w:val="22"/>
        </w:rPr>
        <w:t>νομοθεσία</w:t>
      </w:r>
    </w:p>
    <w:p>
      <w:pPr>
        <w:pStyle w:val="ListParagraph"/>
        <w:numPr>
          <w:ilvl w:val="0"/>
          <w:numId w:val="56"/>
        </w:numPr>
        <w:tabs>
          <w:tab w:pos="821" w:val="left" w:leader="none"/>
        </w:tabs>
        <w:spacing w:line="276" w:lineRule="auto" w:before="124" w:after="0"/>
        <w:ind w:left="820" w:right="116" w:hanging="360"/>
        <w:jc w:val="both"/>
        <w:rPr>
          <w:rFonts w:ascii="Symbol" w:hAnsi="Symbol"/>
          <w:sz w:val="22"/>
        </w:rPr>
      </w:pPr>
      <w:r>
        <w:rPr>
          <w:sz w:val="22"/>
        </w:rPr>
        <w:t>Αντίγραφα των συμβάσεων χρηματοδοτικής μίσθωσης, οι οποίες περιλαμβάνουν υποχρέωση για την αγορά των μηχανημάτων – εξοπλισμού από τον μισθωτή, κατά τη λήξη της περιόδου</w:t>
      </w:r>
      <w:r>
        <w:rPr>
          <w:spacing w:val="-19"/>
          <w:sz w:val="22"/>
        </w:rPr>
        <w:t> </w:t>
      </w:r>
      <w:r>
        <w:rPr>
          <w:sz w:val="22"/>
        </w:rPr>
        <w:t>μίσθωσης.</w:t>
      </w:r>
    </w:p>
    <w:p>
      <w:pPr>
        <w:pStyle w:val="ListParagraph"/>
        <w:numPr>
          <w:ilvl w:val="0"/>
          <w:numId w:val="56"/>
        </w:numPr>
        <w:tabs>
          <w:tab w:pos="821" w:val="left" w:leader="none"/>
        </w:tabs>
        <w:spacing w:line="276" w:lineRule="auto" w:before="118" w:after="0"/>
        <w:ind w:left="820" w:right="114" w:hanging="360"/>
        <w:jc w:val="both"/>
        <w:rPr>
          <w:rFonts w:ascii="Symbol" w:hAnsi="Symbol"/>
          <w:sz w:val="22"/>
        </w:rPr>
      </w:pPr>
      <w:r>
        <w:rPr>
          <w:sz w:val="22"/>
        </w:rPr>
        <w:t>Βεβαίωση προμηθευτή για το καινουργές, αμεταχείριστο και περί μη παρακράτησης κυριότητας  του προμηθευόμενου είδους με αναφορά στο serial number των μηχανημάτων και των στοιχείων εξοπλισμού, όπου αυτό</w:t>
      </w:r>
      <w:r>
        <w:rPr>
          <w:spacing w:val="-6"/>
          <w:sz w:val="22"/>
        </w:rPr>
        <w:t> </w:t>
      </w:r>
      <w:r>
        <w:rPr>
          <w:sz w:val="22"/>
        </w:rPr>
        <w:t>υφίσταται.</w:t>
      </w:r>
    </w:p>
    <w:p>
      <w:pPr>
        <w:pStyle w:val="ListParagraph"/>
        <w:numPr>
          <w:ilvl w:val="0"/>
          <w:numId w:val="56"/>
        </w:numPr>
        <w:tabs>
          <w:tab w:pos="820" w:val="left" w:leader="none"/>
          <w:tab w:pos="821" w:val="left" w:leader="none"/>
        </w:tabs>
        <w:spacing w:line="240" w:lineRule="auto" w:before="118" w:after="0"/>
        <w:ind w:left="820" w:right="0" w:hanging="360"/>
        <w:jc w:val="left"/>
        <w:rPr>
          <w:rFonts w:ascii="Symbol" w:hAnsi="Symbol"/>
          <w:sz w:val="22"/>
        </w:rPr>
      </w:pPr>
      <w:r>
        <w:rPr>
          <w:sz w:val="22"/>
        </w:rPr>
        <w:t>Αντίγραφο πιστοποιητικού CE ή δήλωση συμμόρφωσης για τα παραγωγικά</w:t>
      </w:r>
      <w:r>
        <w:rPr>
          <w:spacing w:val="-20"/>
          <w:sz w:val="22"/>
        </w:rPr>
        <w:t> </w:t>
      </w:r>
      <w:r>
        <w:rPr>
          <w:sz w:val="22"/>
        </w:rPr>
        <w:t>μηχανήματα.</w:t>
      </w:r>
    </w:p>
    <w:p>
      <w:pPr>
        <w:pStyle w:val="ListParagraph"/>
        <w:numPr>
          <w:ilvl w:val="0"/>
          <w:numId w:val="56"/>
        </w:numPr>
        <w:tabs>
          <w:tab w:pos="821" w:val="left" w:leader="none"/>
        </w:tabs>
        <w:spacing w:line="273" w:lineRule="auto" w:before="161" w:after="0"/>
        <w:ind w:left="820" w:right="117" w:hanging="360"/>
        <w:jc w:val="both"/>
        <w:rPr>
          <w:rFonts w:ascii="Symbol" w:hAnsi="Symbol"/>
          <w:sz w:val="22"/>
        </w:rPr>
      </w:pPr>
      <w:r>
        <w:rPr>
          <w:sz w:val="22"/>
        </w:rPr>
        <w:t>Αντίγραφο άδειας πρώτης κυκλοφορίας στο όνομα της επιχείρησης με τις απαιτούμενες θεωρήσεις από όπου να τεκμαίρεται η αποκλειστικά επαγγελματική χρήση μεταφορικού</w:t>
      </w:r>
      <w:r>
        <w:rPr>
          <w:spacing w:val="-14"/>
          <w:sz w:val="22"/>
        </w:rPr>
        <w:t> </w:t>
      </w:r>
      <w:r>
        <w:rPr>
          <w:sz w:val="22"/>
        </w:rPr>
        <w:t>μέσου.</w:t>
      </w:r>
    </w:p>
    <w:p>
      <w:pPr>
        <w:pStyle w:val="ListParagraph"/>
        <w:numPr>
          <w:ilvl w:val="0"/>
          <w:numId w:val="56"/>
        </w:numPr>
        <w:tabs>
          <w:tab w:pos="821" w:val="left" w:leader="none"/>
        </w:tabs>
        <w:spacing w:line="276" w:lineRule="auto" w:before="124" w:after="0"/>
        <w:ind w:left="820" w:right="114" w:hanging="360"/>
        <w:jc w:val="both"/>
        <w:rPr>
          <w:rFonts w:ascii="Symbol" w:hAnsi="Symbol"/>
          <w:sz w:val="22"/>
        </w:rPr>
      </w:pPr>
      <w:r>
        <w:rPr>
          <w:sz w:val="22"/>
        </w:rPr>
        <w:t>Τιμολόγια πώλησης ή παροχής υπηρεσιών ή ισοδύναμα με αυτά φορολογικά παραστατικά του προμηθευτή προς τον φορέα. Στα παραστατικά θα πρέπει να αναφέρεται η επωνυμία του προμηθευτή και να περιγράφεται αναλυτικά ο εξοπλισμός ή η εργασία διαμόρφωσης ή το λογισμικό και να αναγράφεται η ονομασία της δράσης και του έργου για το οποίο πραγματοποιείται η</w:t>
      </w:r>
      <w:r>
        <w:rPr>
          <w:spacing w:val="-5"/>
          <w:sz w:val="22"/>
        </w:rPr>
        <w:t> </w:t>
      </w:r>
      <w:r>
        <w:rPr>
          <w:sz w:val="22"/>
        </w:rPr>
        <w:t>αγορά.</w:t>
      </w:r>
    </w:p>
    <w:p>
      <w:pPr>
        <w:pStyle w:val="ListParagraph"/>
        <w:numPr>
          <w:ilvl w:val="0"/>
          <w:numId w:val="56"/>
        </w:numPr>
        <w:tabs>
          <w:tab w:pos="821" w:val="left" w:leader="none"/>
        </w:tabs>
        <w:spacing w:line="276" w:lineRule="auto" w:before="118" w:after="0"/>
        <w:ind w:left="820" w:right="115" w:hanging="360"/>
        <w:jc w:val="both"/>
        <w:rPr>
          <w:rFonts w:ascii="Symbol" w:hAnsi="Symbol"/>
          <w:sz w:val="22"/>
        </w:rPr>
      </w:pPr>
      <w:r>
        <w:rPr>
          <w:sz w:val="22"/>
        </w:rPr>
        <w:t>Παραστατικά Εξόφλησης (εξοφλητικές αποδείξεις προμηθευτή) των ανωτέρω φορολογικών παραστατικών, ή/και αποδεικτικά καταβολής του οφειλόμενου ποσού, την καρτέλα λογιστικής παρακολούθησης του προμηθευτή και την κίνηση του λογαριασμού ταμείου ή καταθέσεων από όπου πραγματοποιήθηκε η καταβολή των σχετικών</w:t>
      </w:r>
      <w:r>
        <w:rPr>
          <w:spacing w:val="-11"/>
          <w:sz w:val="22"/>
        </w:rPr>
        <w:t> </w:t>
      </w:r>
      <w:r>
        <w:rPr>
          <w:sz w:val="22"/>
        </w:rPr>
        <w:t>ποσών.</w:t>
      </w:r>
    </w:p>
    <w:p>
      <w:pPr>
        <w:pStyle w:val="ListParagraph"/>
        <w:numPr>
          <w:ilvl w:val="0"/>
          <w:numId w:val="56"/>
        </w:numPr>
        <w:tabs>
          <w:tab w:pos="821" w:val="left" w:leader="none"/>
        </w:tabs>
        <w:spacing w:line="276" w:lineRule="auto" w:before="121" w:after="0"/>
        <w:ind w:left="820" w:right="119" w:hanging="360"/>
        <w:jc w:val="both"/>
        <w:rPr>
          <w:rFonts w:ascii="Symbol" w:hAnsi="Symbol"/>
          <w:sz w:val="22"/>
        </w:rPr>
      </w:pPr>
      <w:r>
        <w:rPr>
          <w:sz w:val="22"/>
        </w:rPr>
        <w:t>Σε περίπτωση εισαγωγής του εξοπλισμού από το εξωτερικό, όλα τα κατά νόμο παραστατικά που απαιτούνται μέχρι την θέση των εγκαταστάσεων σε παραγωγική λειτουργία, ανεξαρτήτως αν δεν είναι στο σύνολό τους</w:t>
      </w:r>
      <w:r>
        <w:rPr>
          <w:spacing w:val="-4"/>
          <w:sz w:val="22"/>
        </w:rPr>
        <w:t> </w:t>
      </w:r>
      <w:r>
        <w:rPr>
          <w:sz w:val="22"/>
        </w:rPr>
        <w:t>επιλέξιμα.</w:t>
      </w:r>
    </w:p>
    <w:p>
      <w:pPr>
        <w:spacing w:after="0" w:line="276" w:lineRule="auto"/>
        <w:jc w:val="both"/>
        <w:rPr>
          <w:rFonts w:ascii="Symbol" w:hAnsi="Symbol"/>
          <w:sz w:val="22"/>
        </w:rPr>
        <w:sectPr>
          <w:pgSz w:w="11910" w:h="16840"/>
          <w:pgMar w:header="748" w:footer="734" w:top="1420" w:bottom="920" w:left="980" w:right="960"/>
        </w:sectPr>
      </w:pPr>
    </w:p>
    <w:p>
      <w:pPr>
        <w:pStyle w:val="BodyText"/>
        <w:spacing w:before="9"/>
        <w:rPr>
          <w:sz w:val="14"/>
        </w:rPr>
      </w:pPr>
    </w:p>
    <w:p>
      <w:pPr>
        <w:pStyle w:val="ListParagraph"/>
        <w:numPr>
          <w:ilvl w:val="0"/>
          <w:numId w:val="56"/>
        </w:numPr>
        <w:tabs>
          <w:tab w:pos="820" w:val="left" w:leader="none"/>
          <w:tab w:pos="821" w:val="left" w:leader="none"/>
        </w:tabs>
        <w:spacing w:line="240" w:lineRule="auto" w:before="91" w:after="0"/>
        <w:ind w:left="820" w:right="0" w:hanging="360"/>
        <w:jc w:val="left"/>
        <w:rPr>
          <w:rFonts w:ascii="Symbol" w:hAnsi="Symbol"/>
          <w:sz w:val="20"/>
        </w:rPr>
      </w:pPr>
      <w:r>
        <w:rPr>
          <w:sz w:val="22"/>
        </w:rPr>
        <w:t>Φωτογραφικό</w:t>
      </w:r>
      <w:r>
        <w:rPr>
          <w:spacing w:val="-2"/>
          <w:sz w:val="22"/>
        </w:rPr>
        <w:t> </w:t>
      </w:r>
      <w:r>
        <w:rPr>
          <w:sz w:val="22"/>
        </w:rPr>
        <w:t>υλικό</w:t>
      </w:r>
    </w:p>
    <w:p>
      <w:pPr>
        <w:pStyle w:val="BodyText"/>
        <w:rPr>
          <w:sz w:val="26"/>
        </w:rPr>
      </w:pPr>
    </w:p>
    <w:p>
      <w:pPr>
        <w:pStyle w:val="BodyText"/>
        <w:spacing w:before="2"/>
        <w:rPr>
          <w:sz w:val="20"/>
        </w:rPr>
      </w:pPr>
    </w:p>
    <w:p>
      <w:pPr>
        <w:pStyle w:val="Heading4"/>
        <w:numPr>
          <w:ilvl w:val="1"/>
          <w:numId w:val="54"/>
        </w:numPr>
        <w:tabs>
          <w:tab w:pos="667" w:val="left" w:leader="none"/>
        </w:tabs>
        <w:spacing w:line="240" w:lineRule="auto" w:before="0" w:after="0"/>
        <w:ind w:left="666" w:right="0" w:hanging="360"/>
        <w:jc w:val="left"/>
      </w:pPr>
      <w:r>
        <w:rPr/>
        <w:t>Κατηγορία</w:t>
      </w:r>
      <w:r>
        <w:rPr>
          <w:spacing w:val="-7"/>
        </w:rPr>
        <w:t> </w:t>
      </w:r>
      <w:r>
        <w:rPr/>
        <w:t>Δαπάνης</w:t>
      </w:r>
      <w:r>
        <w:rPr>
          <w:spacing w:val="-7"/>
        </w:rPr>
        <w:t> </w:t>
      </w:r>
      <w:r>
        <w:rPr/>
        <w:t>«Άυλα</w:t>
      </w:r>
      <w:r>
        <w:rPr>
          <w:spacing w:val="-6"/>
        </w:rPr>
        <w:t> </w:t>
      </w:r>
      <w:r>
        <w:rPr/>
        <w:t>στοιχεία</w:t>
      </w:r>
      <w:r>
        <w:rPr>
          <w:spacing w:val="-7"/>
        </w:rPr>
        <w:t> </w:t>
      </w:r>
      <w:r>
        <w:rPr/>
        <w:t>ενεργητικού</w:t>
      </w:r>
      <w:r>
        <w:rPr>
          <w:spacing w:val="-7"/>
        </w:rPr>
        <w:t> </w:t>
      </w:r>
      <w:r>
        <w:rPr/>
        <w:t>ή</w:t>
      </w:r>
      <w:r>
        <w:rPr>
          <w:spacing w:val="-6"/>
        </w:rPr>
        <w:t> </w:t>
      </w:r>
      <w:r>
        <w:rPr/>
        <w:t>παροχής</w:t>
      </w:r>
      <w:r>
        <w:rPr>
          <w:spacing w:val="-7"/>
        </w:rPr>
        <w:t> </w:t>
      </w:r>
      <w:r>
        <w:rPr/>
        <w:t>υπηρεσιών»</w:t>
      </w:r>
    </w:p>
    <w:p>
      <w:pPr>
        <w:pStyle w:val="ListParagraph"/>
        <w:numPr>
          <w:ilvl w:val="2"/>
          <w:numId w:val="54"/>
        </w:numPr>
        <w:tabs>
          <w:tab w:pos="1181" w:val="left" w:leader="none"/>
        </w:tabs>
        <w:spacing w:line="276" w:lineRule="auto" w:before="132" w:after="0"/>
        <w:ind w:left="1180" w:right="115" w:hanging="360"/>
        <w:jc w:val="both"/>
        <w:rPr>
          <w:sz w:val="22"/>
        </w:rPr>
      </w:pPr>
      <w:r>
        <w:rPr>
          <w:sz w:val="22"/>
        </w:rPr>
        <w:t>Αντίγραφα των ιδιωτικών συμφωνητικών – συμβάσεων για την προμήθεια λογισμικών, αδειών εκμετάλλευσης, χρήσης βάσεων δεδομένων, χρήσης υπηρεσιών εργαστηρίου,  υπηρεσιών για τη μελέτη και σύνταξη εγχειριδίων για την ανάπτυξη και πιστοποίηση διαδικασιών και προϊόντων / υπηρεσιών, υπηρεσιών για το σχεδιασμό νέων προϊόντων και υπηρεσιών, υπηρεσιών πειραματικής ανάπτυξης, κ.λπ. υποβαλλόμενα στην αρμόδια Δ.Ο.Υ. όπου προβλέπει το νομοθετικό</w:t>
      </w:r>
      <w:r>
        <w:rPr>
          <w:spacing w:val="-6"/>
          <w:sz w:val="22"/>
        </w:rPr>
        <w:t> </w:t>
      </w:r>
      <w:r>
        <w:rPr>
          <w:sz w:val="22"/>
        </w:rPr>
        <w:t>πλαίσιο.</w:t>
      </w:r>
    </w:p>
    <w:p>
      <w:pPr>
        <w:pStyle w:val="ListParagraph"/>
        <w:numPr>
          <w:ilvl w:val="2"/>
          <w:numId w:val="54"/>
        </w:numPr>
        <w:tabs>
          <w:tab w:pos="1181" w:val="left" w:leader="none"/>
        </w:tabs>
        <w:spacing w:line="276" w:lineRule="auto" w:before="121" w:after="0"/>
        <w:ind w:left="1180" w:right="113" w:hanging="360"/>
        <w:jc w:val="both"/>
        <w:rPr>
          <w:sz w:val="22"/>
        </w:rPr>
      </w:pPr>
      <w:r>
        <w:rPr>
          <w:sz w:val="22"/>
        </w:rPr>
        <w:t>Αντίγραφο μελετών και εγχειριδίων, άδειες χρήσης / εκμετάλλευσης, εκθέσεων και δικαιολογητικών, πιστοποιητικά προϊόντων ή/και υπηρεσιών, πιστοποιητικά διαχειριστικών συστημάτων, παραδοτέα που προβλέπουν τα εκάστοτε ιδιωτικά συμφωνητικά –</w:t>
      </w:r>
      <w:r>
        <w:rPr>
          <w:spacing w:val="-7"/>
          <w:sz w:val="22"/>
        </w:rPr>
        <w:t> </w:t>
      </w:r>
      <w:r>
        <w:rPr>
          <w:sz w:val="22"/>
        </w:rPr>
        <w:t>συμβάσεις.</w:t>
      </w:r>
    </w:p>
    <w:p>
      <w:pPr>
        <w:pStyle w:val="ListParagraph"/>
        <w:numPr>
          <w:ilvl w:val="2"/>
          <w:numId w:val="54"/>
        </w:numPr>
        <w:tabs>
          <w:tab w:pos="1181" w:val="left" w:leader="none"/>
        </w:tabs>
        <w:spacing w:line="276" w:lineRule="auto" w:before="120" w:after="0"/>
        <w:ind w:left="1180" w:right="116" w:hanging="360"/>
        <w:jc w:val="both"/>
        <w:rPr>
          <w:sz w:val="22"/>
        </w:rPr>
      </w:pPr>
      <w:r>
        <w:rPr>
          <w:sz w:val="22"/>
        </w:rPr>
        <w:t>Παραστατικά πώλησης ή παροχής υπηρεσιών (Τιμολόγια, κλπ.) του προμηθευτή / παρόχου προς την επιχείρηση. Στα παραστατικά θα πρέπει να αναφέρεται η επωνυμία του προμηθευτή / παρόχου και να περιγράφονται αναλυτικά οι σχετικές</w:t>
      </w:r>
      <w:r>
        <w:rPr>
          <w:spacing w:val="-6"/>
          <w:sz w:val="22"/>
        </w:rPr>
        <w:t> </w:t>
      </w:r>
      <w:r>
        <w:rPr>
          <w:sz w:val="22"/>
        </w:rPr>
        <w:t>εργασίες.</w:t>
      </w:r>
    </w:p>
    <w:p>
      <w:pPr>
        <w:pStyle w:val="ListParagraph"/>
        <w:numPr>
          <w:ilvl w:val="2"/>
          <w:numId w:val="54"/>
        </w:numPr>
        <w:tabs>
          <w:tab w:pos="1181" w:val="left" w:leader="none"/>
        </w:tabs>
        <w:spacing w:line="276" w:lineRule="auto" w:before="120" w:after="0"/>
        <w:ind w:left="1180" w:right="114" w:hanging="360"/>
        <w:jc w:val="both"/>
        <w:rPr>
          <w:sz w:val="22"/>
        </w:rPr>
      </w:pPr>
      <w:r>
        <w:rPr>
          <w:sz w:val="22"/>
        </w:rPr>
        <w:t>Παραστατικά Εξόφλησης (εξοφλητικές αποδείξεις προμηθευτή) των ανωτέρω φορολογικών παραστατικών, ή/και αποδεικτικά καταβολής του οφειλόμενου ποσού, την καρτέλα λογιστικής παρακολούθησης του προμηθευτή και την κίνηση του λογαριασμού ταμείου ή καταθέσεων από όπου πραγματοποιήθηκε η καταβολή των σχετικών</w:t>
      </w:r>
      <w:r>
        <w:rPr>
          <w:spacing w:val="-8"/>
          <w:sz w:val="22"/>
        </w:rPr>
        <w:t> </w:t>
      </w:r>
      <w:r>
        <w:rPr>
          <w:sz w:val="22"/>
        </w:rPr>
        <w:t>ποσών.</w:t>
      </w:r>
    </w:p>
    <w:p>
      <w:pPr>
        <w:pStyle w:val="BodyText"/>
      </w:pPr>
    </w:p>
    <w:p>
      <w:pPr>
        <w:pStyle w:val="BodyText"/>
        <w:spacing w:before="9"/>
        <w:rPr>
          <w:sz w:val="20"/>
        </w:rPr>
      </w:pPr>
    </w:p>
    <w:p>
      <w:pPr>
        <w:pStyle w:val="Heading4"/>
        <w:numPr>
          <w:ilvl w:val="1"/>
          <w:numId w:val="54"/>
        </w:numPr>
        <w:tabs>
          <w:tab w:pos="667" w:val="left" w:leader="none"/>
        </w:tabs>
        <w:spacing w:line="240" w:lineRule="auto" w:before="0" w:after="0"/>
        <w:ind w:left="666" w:right="0" w:hanging="360"/>
        <w:jc w:val="left"/>
      </w:pPr>
      <w:r>
        <w:rPr/>
        <w:t>Τεχνολογική αναβάθμιση μέσω της αύξησης της χρήσης</w:t>
      </w:r>
      <w:r>
        <w:rPr>
          <w:spacing w:val="-13"/>
        </w:rPr>
        <w:t> </w:t>
      </w:r>
      <w:r>
        <w:rPr/>
        <w:t>ΤΠΕ</w:t>
      </w:r>
    </w:p>
    <w:p>
      <w:pPr>
        <w:pStyle w:val="ListParagraph"/>
        <w:numPr>
          <w:ilvl w:val="2"/>
          <w:numId w:val="54"/>
        </w:numPr>
        <w:tabs>
          <w:tab w:pos="1181" w:val="left" w:leader="none"/>
        </w:tabs>
        <w:spacing w:line="276" w:lineRule="auto" w:before="134" w:after="0"/>
        <w:ind w:left="1180" w:right="114" w:hanging="360"/>
        <w:jc w:val="both"/>
        <w:rPr>
          <w:sz w:val="22"/>
        </w:rPr>
      </w:pPr>
      <w:r>
        <w:rPr>
          <w:sz w:val="22"/>
        </w:rPr>
        <w:t>Παραστατικά αγοράς νέων σύγχρονων μηχανικών και λοιπού εξοπλισμού πληροφορικής (όπως π.χ. ηλεκτρονικοί υπολογιστές, εξοπλισμός μηχανογράφησης και ηλεκτρονικής δικτύωσης). Στο κόστος αγοράς δύναται να περιλαμβάνεται και η μεταφορά και εγκατάσταση των μηχανημάτων/του</w:t>
      </w:r>
      <w:r>
        <w:rPr>
          <w:spacing w:val="-10"/>
          <w:sz w:val="22"/>
        </w:rPr>
        <w:t> </w:t>
      </w:r>
      <w:r>
        <w:rPr>
          <w:sz w:val="22"/>
        </w:rPr>
        <w:t>εξοπλισμού.</w:t>
      </w:r>
    </w:p>
    <w:p>
      <w:pPr>
        <w:pStyle w:val="ListParagraph"/>
        <w:numPr>
          <w:ilvl w:val="2"/>
          <w:numId w:val="54"/>
        </w:numPr>
        <w:tabs>
          <w:tab w:pos="1180" w:val="left" w:leader="none"/>
          <w:tab w:pos="1181" w:val="left" w:leader="none"/>
        </w:tabs>
        <w:spacing w:line="240" w:lineRule="auto" w:before="120" w:after="0"/>
        <w:ind w:left="1180" w:right="0" w:hanging="360"/>
        <w:jc w:val="left"/>
        <w:rPr>
          <w:sz w:val="22"/>
        </w:rPr>
      </w:pPr>
      <w:r>
        <w:rPr>
          <w:sz w:val="22"/>
        </w:rPr>
        <w:t>Συμβάσεις παροχής υπηρεσιών cloud</w:t>
      </w:r>
      <w:r>
        <w:rPr>
          <w:spacing w:val="-8"/>
          <w:sz w:val="22"/>
        </w:rPr>
        <w:t> </w:t>
      </w:r>
      <w:r>
        <w:rPr>
          <w:sz w:val="22"/>
        </w:rPr>
        <w:t>computing</w:t>
      </w:r>
    </w:p>
    <w:p>
      <w:pPr>
        <w:pStyle w:val="ListParagraph"/>
        <w:numPr>
          <w:ilvl w:val="2"/>
          <w:numId w:val="54"/>
        </w:numPr>
        <w:tabs>
          <w:tab w:pos="1180" w:val="left" w:leader="none"/>
          <w:tab w:pos="1181" w:val="left" w:leader="none"/>
        </w:tabs>
        <w:spacing w:line="240" w:lineRule="auto" w:before="158" w:after="0"/>
        <w:ind w:left="1180" w:right="0" w:hanging="360"/>
        <w:jc w:val="left"/>
        <w:rPr>
          <w:sz w:val="22"/>
        </w:rPr>
      </w:pPr>
      <w:r>
        <w:rPr>
          <w:sz w:val="22"/>
        </w:rPr>
        <w:t>Άδειες χρήσης λογισμικού ή/και συμβάσεις παροχής υπηρεσιών</w:t>
      </w:r>
      <w:r>
        <w:rPr>
          <w:spacing w:val="-11"/>
          <w:sz w:val="22"/>
        </w:rPr>
        <w:t> </w:t>
      </w:r>
      <w:r>
        <w:rPr>
          <w:sz w:val="22"/>
        </w:rPr>
        <w:t>συντήρησης</w:t>
      </w:r>
    </w:p>
    <w:p>
      <w:pPr>
        <w:pStyle w:val="ListParagraph"/>
        <w:numPr>
          <w:ilvl w:val="2"/>
          <w:numId w:val="54"/>
        </w:numPr>
        <w:tabs>
          <w:tab w:pos="1180" w:val="left" w:leader="none"/>
          <w:tab w:pos="1181" w:val="left" w:leader="none"/>
        </w:tabs>
        <w:spacing w:line="240" w:lineRule="auto" w:before="161" w:after="0"/>
        <w:ind w:left="1180" w:right="0" w:hanging="360"/>
        <w:jc w:val="left"/>
        <w:rPr>
          <w:sz w:val="22"/>
        </w:rPr>
      </w:pPr>
      <w:r>
        <w:rPr>
          <w:sz w:val="22"/>
        </w:rPr>
        <w:t>Παραστατικά παροχής υπηρεσιών του προμηθευτή / παρόχου προς την</w:t>
      </w:r>
      <w:r>
        <w:rPr>
          <w:spacing w:val="-17"/>
          <w:sz w:val="22"/>
        </w:rPr>
        <w:t> </w:t>
      </w:r>
      <w:r>
        <w:rPr>
          <w:sz w:val="22"/>
        </w:rPr>
        <w:t>επιχείρηση</w:t>
      </w:r>
    </w:p>
    <w:p>
      <w:pPr>
        <w:pStyle w:val="ListParagraph"/>
        <w:numPr>
          <w:ilvl w:val="2"/>
          <w:numId w:val="54"/>
        </w:numPr>
        <w:tabs>
          <w:tab w:pos="1181" w:val="left" w:leader="none"/>
        </w:tabs>
        <w:spacing w:line="276" w:lineRule="auto" w:before="161" w:after="0"/>
        <w:ind w:left="1180" w:right="119" w:hanging="360"/>
        <w:jc w:val="both"/>
        <w:rPr>
          <w:sz w:val="22"/>
        </w:rPr>
      </w:pPr>
      <w:r>
        <w:rPr>
          <w:sz w:val="22"/>
        </w:rPr>
        <w:t>Παραστατικά εξόφλησης ή και αποδεικτικά καταβολής του οφειλόμενου ποσού, καρτέλα λογιστικής παρακολούθησης του προμηθευτή και κίνηση του λογαριασμού του ταμείου ή καταθέσεων από όπου πραγματοποιήθηκε η καταβολή των σχετικών</w:t>
      </w:r>
      <w:r>
        <w:rPr>
          <w:spacing w:val="-9"/>
          <w:sz w:val="22"/>
        </w:rPr>
        <w:t> </w:t>
      </w:r>
      <w:r>
        <w:rPr>
          <w:sz w:val="22"/>
        </w:rPr>
        <w:t>ποσών.</w:t>
      </w:r>
    </w:p>
    <w:p>
      <w:pPr>
        <w:pStyle w:val="BodyText"/>
      </w:pPr>
    </w:p>
    <w:p>
      <w:pPr>
        <w:pStyle w:val="Heading4"/>
        <w:numPr>
          <w:ilvl w:val="0"/>
          <w:numId w:val="54"/>
        </w:numPr>
        <w:tabs>
          <w:tab w:pos="461" w:val="left" w:leader="none"/>
        </w:tabs>
        <w:spacing w:line="240" w:lineRule="auto" w:before="162" w:after="0"/>
        <w:ind w:left="460" w:right="0" w:hanging="360"/>
        <w:jc w:val="left"/>
      </w:pPr>
      <w:r>
        <w:rPr/>
        <w:t>Κατηγορία Δαπάνης: «Συμβουλευτικές</w:t>
      </w:r>
      <w:r>
        <w:rPr>
          <w:spacing w:val="-28"/>
        </w:rPr>
        <w:t> </w:t>
      </w:r>
      <w:r>
        <w:rPr/>
        <w:t>Υπηρεσίες»</w:t>
      </w:r>
    </w:p>
    <w:p>
      <w:pPr>
        <w:pStyle w:val="ListParagraph"/>
        <w:numPr>
          <w:ilvl w:val="0"/>
          <w:numId w:val="57"/>
        </w:numPr>
        <w:tabs>
          <w:tab w:pos="820" w:val="left" w:leader="none"/>
          <w:tab w:pos="821" w:val="left" w:leader="none"/>
        </w:tabs>
        <w:spacing w:line="240" w:lineRule="auto" w:before="132" w:after="0"/>
        <w:ind w:left="820" w:right="0" w:hanging="360"/>
        <w:jc w:val="left"/>
        <w:rPr>
          <w:sz w:val="22"/>
        </w:rPr>
      </w:pPr>
      <w:r>
        <w:rPr>
          <w:sz w:val="22"/>
        </w:rPr>
        <w:t>Τιμολόγια, ΤΠΥ, ΑΠΥ, κλπ. παραστατικά συμβουλευτικών</w:t>
      </w:r>
      <w:r>
        <w:rPr>
          <w:spacing w:val="-10"/>
          <w:sz w:val="22"/>
        </w:rPr>
        <w:t> </w:t>
      </w:r>
      <w:r>
        <w:rPr>
          <w:sz w:val="22"/>
        </w:rPr>
        <w:t>υπηρεσιών</w:t>
      </w:r>
    </w:p>
    <w:p>
      <w:pPr>
        <w:pStyle w:val="ListParagraph"/>
        <w:numPr>
          <w:ilvl w:val="0"/>
          <w:numId w:val="57"/>
        </w:numPr>
        <w:tabs>
          <w:tab w:pos="820" w:val="left" w:leader="none"/>
          <w:tab w:pos="821" w:val="left" w:leader="none"/>
        </w:tabs>
        <w:spacing w:line="276" w:lineRule="auto" w:before="161" w:after="0"/>
        <w:ind w:left="820" w:right="118" w:hanging="360"/>
        <w:jc w:val="left"/>
        <w:rPr>
          <w:sz w:val="22"/>
        </w:rPr>
      </w:pPr>
      <w:r>
        <w:rPr>
          <w:sz w:val="22"/>
        </w:rPr>
        <w:t>Θεωρημένες από την αρμόδια ΔΟΥ συμβάσεις εφόσον αυτές συντάχθηκαν ή απαιτούνται από τη φορολογική</w:t>
      </w:r>
      <w:r>
        <w:rPr>
          <w:spacing w:val="-3"/>
          <w:sz w:val="22"/>
        </w:rPr>
        <w:t> </w:t>
      </w:r>
      <w:r>
        <w:rPr>
          <w:sz w:val="22"/>
        </w:rPr>
        <w:t>νομοθεσία</w:t>
      </w:r>
    </w:p>
    <w:p>
      <w:pPr>
        <w:pStyle w:val="ListParagraph"/>
        <w:numPr>
          <w:ilvl w:val="0"/>
          <w:numId w:val="57"/>
        </w:numPr>
        <w:tabs>
          <w:tab w:pos="820" w:val="left" w:leader="none"/>
          <w:tab w:pos="821" w:val="left" w:leader="none"/>
        </w:tabs>
        <w:spacing w:line="276" w:lineRule="auto" w:before="119" w:after="0"/>
        <w:ind w:left="820" w:right="121" w:hanging="360"/>
        <w:jc w:val="left"/>
        <w:rPr>
          <w:sz w:val="22"/>
        </w:rPr>
      </w:pPr>
      <w:r>
        <w:rPr>
          <w:sz w:val="22"/>
        </w:rPr>
        <w:t>Αντίγραφο των παραδοτέων που προβλέπονται στη σύμβαση με τον πάροχο των συμβουλευτικών υπηρεσιών</w:t>
      </w:r>
    </w:p>
    <w:p>
      <w:pPr>
        <w:spacing w:after="0" w:line="276" w:lineRule="auto"/>
        <w:jc w:val="left"/>
        <w:rPr>
          <w:sz w:val="22"/>
        </w:rPr>
        <w:sectPr>
          <w:pgSz w:w="11910" w:h="16840"/>
          <w:pgMar w:header="748" w:footer="734" w:top="1420" w:bottom="920" w:left="980" w:right="960"/>
        </w:sectPr>
      </w:pPr>
    </w:p>
    <w:p>
      <w:pPr>
        <w:pStyle w:val="BodyText"/>
        <w:rPr>
          <w:sz w:val="20"/>
        </w:rPr>
      </w:pPr>
    </w:p>
    <w:p>
      <w:pPr>
        <w:pStyle w:val="BodyText"/>
        <w:rPr>
          <w:sz w:val="20"/>
        </w:rPr>
      </w:pPr>
    </w:p>
    <w:p>
      <w:pPr>
        <w:pStyle w:val="BodyText"/>
        <w:spacing w:before="5"/>
        <w:rPr>
          <w:sz w:val="17"/>
        </w:rPr>
      </w:pPr>
    </w:p>
    <w:p>
      <w:pPr>
        <w:pStyle w:val="Heading4"/>
        <w:numPr>
          <w:ilvl w:val="0"/>
          <w:numId w:val="54"/>
        </w:numPr>
        <w:tabs>
          <w:tab w:pos="461" w:val="left" w:leader="none"/>
        </w:tabs>
        <w:spacing w:line="240" w:lineRule="auto" w:before="0" w:after="0"/>
        <w:ind w:left="460" w:right="0" w:hanging="360"/>
        <w:jc w:val="left"/>
      </w:pPr>
      <w:r>
        <w:rPr/>
        <w:t>Κατηγορία Δαπάνης: «Ενισχύσεις για συμμετοχή σε εμπορικές</w:t>
      </w:r>
      <w:r>
        <w:rPr>
          <w:spacing w:val="-17"/>
        </w:rPr>
        <w:t> </w:t>
      </w:r>
      <w:r>
        <w:rPr/>
        <w:t>εκθέσεις»</w:t>
      </w:r>
    </w:p>
    <w:p>
      <w:pPr>
        <w:pStyle w:val="ListParagraph"/>
        <w:numPr>
          <w:ilvl w:val="0"/>
          <w:numId w:val="58"/>
        </w:numPr>
        <w:tabs>
          <w:tab w:pos="821" w:val="left" w:leader="none"/>
        </w:tabs>
        <w:spacing w:line="273" w:lineRule="auto" w:before="135" w:after="0"/>
        <w:ind w:left="820" w:right="117" w:hanging="360"/>
        <w:jc w:val="both"/>
        <w:rPr>
          <w:sz w:val="22"/>
        </w:rPr>
      </w:pPr>
      <w:r>
        <w:rPr>
          <w:sz w:val="22"/>
        </w:rPr>
        <w:t>Αντίγραφα των ιδιωτικών συμφωνητικών – συμβάσεων με οργανωτές εκθέσεων για συμμετοχή της επιχείρησης.</w:t>
      </w:r>
    </w:p>
    <w:p>
      <w:pPr>
        <w:pStyle w:val="ListParagraph"/>
        <w:numPr>
          <w:ilvl w:val="0"/>
          <w:numId w:val="58"/>
        </w:numPr>
        <w:tabs>
          <w:tab w:pos="821" w:val="left" w:leader="none"/>
        </w:tabs>
        <w:spacing w:line="276" w:lineRule="auto" w:before="123" w:after="0"/>
        <w:ind w:left="820" w:right="112" w:hanging="360"/>
        <w:jc w:val="both"/>
        <w:rPr>
          <w:sz w:val="22"/>
        </w:rPr>
      </w:pPr>
      <w:r>
        <w:rPr>
          <w:sz w:val="22"/>
        </w:rPr>
        <w:t>Αντίγραφα των ιδιωτικών συμφωνητικών – συμβάσεων με προμηθευτές εξοπλισμού ή παρόχους υπηρεσιών για τη διαμόρφωση του περίπτερου (ενδεικτικά: κατασκευή και σχεδίαση περιπτέρου, δημιουργία ηλεκτρονικού υλικού (π.χ. παρουσιάσεις, banner, βίντεο), δημιουργία και παραγωγή υλικού δημοσιότητας (π.χ. έντυπα, αφίσες, CD, επιχειρηματικά</w:t>
      </w:r>
      <w:r>
        <w:rPr>
          <w:spacing w:val="-13"/>
          <w:sz w:val="22"/>
        </w:rPr>
        <w:t> </w:t>
      </w:r>
      <w:r>
        <w:rPr>
          <w:sz w:val="22"/>
        </w:rPr>
        <w:t>δώρα))</w:t>
      </w:r>
    </w:p>
    <w:p>
      <w:pPr>
        <w:pStyle w:val="ListParagraph"/>
        <w:numPr>
          <w:ilvl w:val="0"/>
          <w:numId w:val="58"/>
        </w:numPr>
        <w:tabs>
          <w:tab w:pos="821" w:val="left" w:leader="none"/>
        </w:tabs>
        <w:spacing w:line="276" w:lineRule="auto" w:before="118" w:after="0"/>
        <w:ind w:left="820" w:right="114" w:hanging="360"/>
        <w:jc w:val="both"/>
        <w:rPr>
          <w:sz w:val="22"/>
        </w:rPr>
      </w:pPr>
      <w:r>
        <w:rPr>
          <w:sz w:val="22"/>
        </w:rPr>
        <w:t>Παραστατικά Εξόφλησης (εξοφλητικές αποδείξεις προμηθευτή) των ανωτέρω φορολογικών παραστατικών, ή/και αποδεικτικά καταβολής του οφειλόμενου ποσού, την καρτέλα λογιστικής παρακολούθησης του προμηθευτή και την κίνηση του λογαριασμού ταμείου ή καταθέσεων από όπου πραγματοποιήθηκε η καταβολή των σχετικών</w:t>
      </w:r>
      <w:r>
        <w:rPr>
          <w:spacing w:val="-11"/>
          <w:sz w:val="22"/>
        </w:rPr>
        <w:t> </w:t>
      </w:r>
      <w:r>
        <w:rPr>
          <w:sz w:val="22"/>
        </w:rPr>
        <w:t>ποσών.</w:t>
      </w:r>
    </w:p>
    <w:p>
      <w:pPr>
        <w:pStyle w:val="BodyText"/>
      </w:pPr>
    </w:p>
    <w:p>
      <w:pPr>
        <w:pStyle w:val="BodyText"/>
        <w:spacing w:before="1"/>
        <w:rPr>
          <w:sz w:val="23"/>
        </w:rPr>
      </w:pPr>
    </w:p>
    <w:p>
      <w:pPr>
        <w:pStyle w:val="Heading4"/>
        <w:numPr>
          <w:ilvl w:val="0"/>
          <w:numId w:val="54"/>
        </w:numPr>
        <w:tabs>
          <w:tab w:pos="461" w:val="left" w:leader="none"/>
        </w:tabs>
        <w:spacing w:line="240" w:lineRule="auto" w:before="0" w:after="0"/>
        <w:ind w:left="460" w:right="0" w:hanging="360"/>
        <w:jc w:val="left"/>
      </w:pPr>
      <w:r>
        <w:rPr/>
        <w:t>Κατηγορία δραστηριότητας: «Ενισχύσεις</w:t>
      </w:r>
      <w:r>
        <w:rPr>
          <w:spacing w:val="-30"/>
        </w:rPr>
        <w:t> </w:t>
      </w:r>
      <w:r>
        <w:rPr/>
        <w:t>καινοτομίας»</w:t>
      </w:r>
    </w:p>
    <w:p>
      <w:pPr>
        <w:pStyle w:val="BodyText"/>
        <w:spacing w:before="134"/>
        <w:ind w:left="100"/>
      </w:pPr>
      <w:r>
        <w:rPr/>
        <w:t>Οι δαπάνες της κατηγορίας αυτής εμπίπτουν σε μία από τις ακόλουθες τρεις κατηγορίες:</w:t>
      </w:r>
    </w:p>
    <w:p>
      <w:pPr>
        <w:pStyle w:val="Heading4"/>
        <w:numPr>
          <w:ilvl w:val="1"/>
          <w:numId w:val="54"/>
        </w:numPr>
        <w:tabs>
          <w:tab w:pos="821" w:val="left" w:leader="none"/>
        </w:tabs>
        <w:spacing w:line="240" w:lineRule="auto" w:before="158" w:after="0"/>
        <w:ind w:left="820" w:right="0" w:hanging="360"/>
        <w:jc w:val="both"/>
      </w:pPr>
      <w:r>
        <w:rPr/>
        <w:t>Δαπάνες για </w:t>
      </w:r>
      <w:r>
        <w:rPr>
          <w:spacing w:val="-3"/>
        </w:rPr>
        <w:t>άυλα </w:t>
      </w:r>
      <w:r>
        <w:rPr/>
        <w:t>στοιχεία</w:t>
      </w:r>
      <w:r>
        <w:rPr>
          <w:spacing w:val="-17"/>
        </w:rPr>
        <w:t> </w:t>
      </w:r>
      <w:r>
        <w:rPr/>
        <w:t>ενεργητικού</w:t>
      </w:r>
    </w:p>
    <w:p>
      <w:pPr>
        <w:pStyle w:val="BodyText"/>
        <w:spacing w:line="276" w:lineRule="auto" w:before="134"/>
        <w:ind w:left="460" w:right="116"/>
        <w:jc w:val="both"/>
      </w:pPr>
      <w:r>
        <w:rPr/>
        <w:t>Αφορά σε δαπάνες για την απόκτηση (obtaining), την επικύρωση και την προστασία διπλωμάτων ευρεσιτεχνίας και λοιπών άυλων στοιχείων ενεργητικού. Σχετίζονται με την απονομή δικαιώματος που προκύπτει ως αποτέλεσμα ερευνητικών δραστηριοτήτων που εκτελεί, χρηματοδοτεί ή στις οποίες συμμετέχει ο δικαιούχος. Οι σχετιζόμενες δαπάνες που αφορούν σε αμοιβές συμβούλων εμπίπτουν στην υποκατηγορία ii. Οι δαπάνες για την αγορά άυλων στοιχείων ενεργητικού από εξωτερικές πηγές εμπίπτει στην κατηγορία iii.</w:t>
      </w:r>
    </w:p>
    <w:p>
      <w:pPr>
        <w:pStyle w:val="BodyText"/>
        <w:spacing w:before="118"/>
        <w:ind w:left="460"/>
        <w:jc w:val="both"/>
      </w:pPr>
      <w:r>
        <w:rPr/>
        <w:t>Για την πιστοποίηση των δαπανών για άυλα στοιχεία ενεργητικού απαιτούνται:</w:t>
      </w:r>
    </w:p>
    <w:p>
      <w:pPr>
        <w:pStyle w:val="ListParagraph"/>
        <w:numPr>
          <w:ilvl w:val="0"/>
          <w:numId w:val="59"/>
        </w:numPr>
        <w:tabs>
          <w:tab w:pos="821" w:val="left" w:leader="none"/>
        </w:tabs>
        <w:spacing w:line="276" w:lineRule="auto" w:before="161" w:after="0"/>
        <w:ind w:left="820" w:right="113" w:hanging="360"/>
        <w:jc w:val="both"/>
        <w:rPr>
          <w:sz w:val="22"/>
        </w:rPr>
      </w:pPr>
      <w:r>
        <w:rPr>
          <w:sz w:val="22"/>
        </w:rPr>
        <w:t>Ο τίτλος προστασίας </w:t>
      </w:r>
      <w:r>
        <w:rPr>
          <w:spacing w:val="-3"/>
          <w:sz w:val="22"/>
        </w:rPr>
        <w:t>και </w:t>
      </w:r>
      <w:r>
        <w:rPr>
          <w:sz w:val="22"/>
        </w:rPr>
        <w:t>αντίγραφο από το αρχείο ενσώματων </w:t>
      </w:r>
      <w:r>
        <w:rPr>
          <w:spacing w:val="-3"/>
          <w:sz w:val="22"/>
        </w:rPr>
        <w:t>και άυλων </w:t>
      </w:r>
      <w:r>
        <w:rPr>
          <w:sz w:val="22"/>
        </w:rPr>
        <w:t>παγίων περιουσιακών στοιχείων</w:t>
      </w:r>
      <w:r>
        <w:rPr>
          <w:spacing w:val="-7"/>
          <w:sz w:val="22"/>
        </w:rPr>
        <w:t> </w:t>
      </w:r>
      <w:r>
        <w:rPr>
          <w:sz w:val="22"/>
        </w:rPr>
        <w:t>(μητρώο</w:t>
      </w:r>
      <w:r>
        <w:rPr>
          <w:spacing w:val="-7"/>
          <w:sz w:val="22"/>
        </w:rPr>
        <w:t> </w:t>
      </w:r>
      <w:r>
        <w:rPr>
          <w:sz w:val="22"/>
        </w:rPr>
        <w:t>παγίων)</w:t>
      </w:r>
      <w:r>
        <w:rPr>
          <w:spacing w:val="-5"/>
          <w:sz w:val="22"/>
        </w:rPr>
        <w:t> </w:t>
      </w:r>
      <w:r>
        <w:rPr>
          <w:sz w:val="22"/>
        </w:rPr>
        <w:t>(ανάλογα</w:t>
      </w:r>
      <w:r>
        <w:rPr>
          <w:spacing w:val="-7"/>
          <w:sz w:val="22"/>
        </w:rPr>
        <w:t> </w:t>
      </w:r>
      <w:r>
        <w:rPr>
          <w:sz w:val="22"/>
        </w:rPr>
        <w:t>την</w:t>
      </w:r>
      <w:r>
        <w:rPr>
          <w:spacing w:val="-7"/>
          <w:sz w:val="22"/>
        </w:rPr>
        <w:t> </w:t>
      </w:r>
      <w:r>
        <w:rPr>
          <w:sz w:val="22"/>
        </w:rPr>
        <w:t>περίπτωση</w:t>
      </w:r>
      <w:r>
        <w:rPr>
          <w:spacing w:val="-7"/>
          <w:sz w:val="22"/>
        </w:rPr>
        <w:t> </w:t>
      </w:r>
      <w:r>
        <w:rPr>
          <w:sz w:val="22"/>
        </w:rPr>
        <w:t>στην</w:t>
      </w:r>
      <w:r>
        <w:rPr>
          <w:spacing w:val="-6"/>
          <w:sz w:val="22"/>
        </w:rPr>
        <w:t> </w:t>
      </w:r>
      <w:r>
        <w:rPr>
          <w:sz w:val="22"/>
        </w:rPr>
        <w:t>οποία</w:t>
      </w:r>
      <w:r>
        <w:rPr>
          <w:spacing w:val="-6"/>
          <w:sz w:val="22"/>
        </w:rPr>
        <w:t> </w:t>
      </w:r>
      <w:r>
        <w:rPr>
          <w:sz w:val="22"/>
        </w:rPr>
        <w:t>απαιτείται)</w:t>
      </w:r>
    </w:p>
    <w:p>
      <w:pPr>
        <w:pStyle w:val="ListParagraph"/>
        <w:numPr>
          <w:ilvl w:val="0"/>
          <w:numId w:val="59"/>
        </w:numPr>
        <w:tabs>
          <w:tab w:pos="821" w:val="left" w:leader="none"/>
        </w:tabs>
        <w:spacing w:line="240" w:lineRule="auto" w:before="118" w:after="0"/>
        <w:ind w:left="820" w:right="0" w:hanging="360"/>
        <w:jc w:val="both"/>
        <w:rPr>
          <w:sz w:val="22"/>
        </w:rPr>
      </w:pPr>
      <w:r>
        <w:rPr>
          <w:sz w:val="22"/>
        </w:rPr>
        <w:t>Αντίστοιχο παραστατικό </w:t>
      </w:r>
      <w:r>
        <w:rPr>
          <w:spacing w:val="-4"/>
          <w:sz w:val="22"/>
        </w:rPr>
        <w:t>και </w:t>
      </w:r>
      <w:r>
        <w:rPr>
          <w:sz w:val="22"/>
        </w:rPr>
        <w:t>εξόφληση (π.χ. αίτηση </w:t>
      </w:r>
      <w:r>
        <w:rPr>
          <w:spacing w:val="-3"/>
          <w:sz w:val="22"/>
        </w:rPr>
        <w:t>και </w:t>
      </w:r>
      <w:r>
        <w:rPr>
          <w:sz w:val="22"/>
        </w:rPr>
        <w:t>τέλη προς τον αρμόδιο</w:t>
      </w:r>
      <w:r>
        <w:rPr>
          <w:spacing w:val="-31"/>
          <w:sz w:val="22"/>
        </w:rPr>
        <w:t> </w:t>
      </w:r>
      <w:r>
        <w:rPr>
          <w:sz w:val="22"/>
        </w:rPr>
        <w:t>οργανισμό)</w:t>
      </w:r>
    </w:p>
    <w:p>
      <w:pPr>
        <w:pStyle w:val="Heading4"/>
        <w:numPr>
          <w:ilvl w:val="1"/>
          <w:numId w:val="54"/>
        </w:numPr>
        <w:tabs>
          <w:tab w:pos="821" w:val="left" w:leader="none"/>
        </w:tabs>
        <w:spacing w:line="240" w:lineRule="auto" w:before="161" w:after="0"/>
        <w:ind w:left="820" w:right="0" w:hanging="360"/>
        <w:jc w:val="both"/>
      </w:pPr>
      <w:r>
        <w:rPr/>
        <w:t>Δαπάνες για υπηρεσίες</w:t>
      </w:r>
      <w:r>
        <w:rPr>
          <w:spacing w:val="3"/>
        </w:rPr>
        <w:t> </w:t>
      </w:r>
      <w:r>
        <w:rPr>
          <w:spacing w:val="-3"/>
        </w:rPr>
        <w:t>καινοτομίας</w:t>
      </w:r>
    </w:p>
    <w:p>
      <w:pPr>
        <w:pStyle w:val="BodyText"/>
        <w:spacing w:line="276" w:lineRule="auto" w:before="134"/>
        <w:ind w:left="460" w:right="112"/>
        <w:jc w:val="both"/>
      </w:pPr>
      <w:r>
        <w:rPr/>
        <w:t>Στην υποκατηγορία περιλαμβάνονται δαπάνες για συμβουλευτικές </w:t>
      </w:r>
      <w:r>
        <w:rPr>
          <w:spacing w:val="-3"/>
        </w:rPr>
        <w:t>και </w:t>
      </w:r>
      <w:r>
        <w:rPr/>
        <w:t>υποστηρικτικές υπηρεσίες στον τομέα της καινοτομίας. Στις συμβουλευτικές υπηρεσίες συγκαταλέγονται η συνδρομή </w:t>
      </w:r>
      <w:r>
        <w:rPr>
          <w:spacing w:val="-3"/>
        </w:rPr>
        <w:t>και </w:t>
      </w:r>
      <w:r>
        <w:rPr/>
        <w:t>η επαγγελματική κατάρτιση στους τομείς της μεταφοράς γνώσεων, της απόκτησης, της προστασίας </w:t>
      </w:r>
      <w:r>
        <w:rPr>
          <w:spacing w:val="-3"/>
        </w:rPr>
        <w:t>και </w:t>
      </w:r>
      <w:r>
        <w:rPr/>
        <w:t>της εκμετάλλευσης </w:t>
      </w:r>
      <w:r>
        <w:rPr>
          <w:spacing w:val="-3"/>
        </w:rPr>
        <w:t>άυλων </w:t>
      </w:r>
      <w:r>
        <w:rPr/>
        <w:t>στοιχείων ενεργητικού, της χρήσης προτύπων </w:t>
      </w:r>
      <w:r>
        <w:rPr>
          <w:spacing w:val="-4"/>
        </w:rPr>
        <w:t>και </w:t>
      </w:r>
      <w:r>
        <w:rPr/>
        <w:t>κανονισμών που τα εμπεριέχουν, καθώς και οι δαπάνες μετάφρασης για υποβολή διπλώματος ευρεσιτεχνίας. Ως υποστηρικτικές υπηρεσίες στον τομέα της καινοτομίας ορίζονται η παροχή βάσεων δεδομένων, βιβλιοθηκών, έρευνας αγοράς, χρήσης εργαστηρίου, σήμανσης ποιότητας, δοκιμών </w:t>
      </w:r>
      <w:r>
        <w:rPr>
          <w:spacing w:val="-3"/>
        </w:rPr>
        <w:t>και </w:t>
      </w:r>
      <w:r>
        <w:rPr/>
        <w:t>πιστοποίησης  με</w:t>
      </w:r>
      <w:r>
        <w:rPr>
          <w:spacing w:val="-4"/>
        </w:rPr>
        <w:t> </w:t>
      </w:r>
      <w:r>
        <w:rPr>
          <w:spacing w:val="-3"/>
        </w:rPr>
        <w:t>σκοπό</w:t>
      </w:r>
      <w:r>
        <w:rPr>
          <w:spacing w:val="-5"/>
        </w:rPr>
        <w:t> </w:t>
      </w:r>
      <w:r>
        <w:rPr/>
        <w:t>την</w:t>
      </w:r>
      <w:r>
        <w:rPr>
          <w:spacing w:val="-5"/>
        </w:rPr>
        <w:t> </w:t>
      </w:r>
      <w:r>
        <w:rPr/>
        <w:t>ανάπτυξη</w:t>
      </w:r>
      <w:r>
        <w:rPr>
          <w:spacing w:val="-5"/>
        </w:rPr>
        <w:t> </w:t>
      </w:r>
      <w:r>
        <w:rPr/>
        <w:t>αποτελεσματικότερων</w:t>
      </w:r>
      <w:r>
        <w:rPr>
          <w:spacing w:val="-5"/>
        </w:rPr>
        <w:t> </w:t>
      </w:r>
      <w:r>
        <w:rPr/>
        <w:t>προϊόντων,</w:t>
      </w:r>
      <w:r>
        <w:rPr>
          <w:spacing w:val="-7"/>
        </w:rPr>
        <w:t> </w:t>
      </w:r>
      <w:r>
        <w:rPr/>
        <w:t>διεργασιών</w:t>
      </w:r>
      <w:r>
        <w:rPr>
          <w:spacing w:val="-5"/>
        </w:rPr>
        <w:t> </w:t>
      </w:r>
      <w:r>
        <w:rPr/>
        <w:t>ή</w:t>
      </w:r>
      <w:r>
        <w:rPr>
          <w:spacing w:val="-7"/>
        </w:rPr>
        <w:t> </w:t>
      </w:r>
      <w:r>
        <w:rPr/>
        <w:t>υπηρεσιών.</w:t>
      </w:r>
    </w:p>
    <w:p>
      <w:pPr>
        <w:pStyle w:val="BodyText"/>
        <w:spacing w:before="118"/>
        <w:ind w:left="460"/>
        <w:jc w:val="both"/>
      </w:pPr>
      <w:r>
        <w:rPr/>
        <w:t>Για την πιστοποίηση των δαπανών για υπηρεσίες καινοτομίας απαιτούνται τα κάτωθι δικαιολογητικά:</w:t>
      </w:r>
    </w:p>
    <w:p>
      <w:pPr>
        <w:pStyle w:val="ListParagraph"/>
        <w:numPr>
          <w:ilvl w:val="0"/>
          <w:numId w:val="59"/>
        </w:numPr>
        <w:tabs>
          <w:tab w:pos="821" w:val="left" w:leader="none"/>
        </w:tabs>
        <w:spacing w:line="276" w:lineRule="auto" w:before="161" w:after="0"/>
        <w:ind w:left="820" w:right="119" w:hanging="360"/>
        <w:jc w:val="both"/>
        <w:rPr>
          <w:sz w:val="22"/>
        </w:rPr>
      </w:pPr>
      <w:r>
        <w:rPr>
          <w:sz w:val="22"/>
        </w:rPr>
        <w:t>Θεωρημένη από την αρμόδια </w:t>
      </w:r>
      <w:r>
        <w:rPr>
          <w:spacing w:val="-4"/>
          <w:sz w:val="22"/>
        </w:rPr>
        <w:t>ΔΟΥ </w:t>
      </w:r>
      <w:r>
        <w:rPr>
          <w:sz w:val="22"/>
        </w:rPr>
        <w:t>Σύμβαση παροχής υπηρεσιών (οι οποίες χρησιμοποιούνται αποκλειστικά</w:t>
      </w:r>
      <w:r>
        <w:rPr>
          <w:spacing w:val="23"/>
          <w:sz w:val="22"/>
        </w:rPr>
        <w:t> </w:t>
      </w:r>
      <w:r>
        <w:rPr>
          <w:sz w:val="22"/>
        </w:rPr>
        <w:t>για</w:t>
      </w:r>
      <w:r>
        <w:rPr>
          <w:spacing w:val="22"/>
          <w:sz w:val="22"/>
        </w:rPr>
        <w:t> </w:t>
      </w:r>
      <w:r>
        <w:rPr>
          <w:sz w:val="22"/>
        </w:rPr>
        <w:t>την</w:t>
      </w:r>
      <w:r>
        <w:rPr>
          <w:spacing w:val="22"/>
          <w:sz w:val="22"/>
        </w:rPr>
        <w:t> </w:t>
      </w:r>
      <w:r>
        <w:rPr>
          <w:sz w:val="22"/>
        </w:rPr>
        <w:t>υλοποίηση</w:t>
      </w:r>
      <w:r>
        <w:rPr>
          <w:spacing w:val="22"/>
          <w:sz w:val="22"/>
        </w:rPr>
        <w:t> </w:t>
      </w:r>
      <w:r>
        <w:rPr>
          <w:sz w:val="22"/>
        </w:rPr>
        <w:t>του</w:t>
      </w:r>
      <w:r>
        <w:rPr>
          <w:spacing w:val="23"/>
          <w:sz w:val="22"/>
        </w:rPr>
        <w:t> </w:t>
      </w:r>
      <w:r>
        <w:rPr>
          <w:sz w:val="22"/>
        </w:rPr>
        <w:t>επενδυτικού</w:t>
      </w:r>
      <w:r>
        <w:rPr>
          <w:spacing w:val="23"/>
          <w:sz w:val="22"/>
        </w:rPr>
        <w:t> </w:t>
      </w:r>
      <w:r>
        <w:rPr>
          <w:sz w:val="22"/>
        </w:rPr>
        <w:t>σχεδίου)</w:t>
      </w:r>
      <w:r>
        <w:rPr>
          <w:spacing w:val="21"/>
          <w:sz w:val="22"/>
        </w:rPr>
        <w:t> </w:t>
      </w:r>
      <w:r>
        <w:rPr>
          <w:sz w:val="22"/>
        </w:rPr>
        <w:t>στην</w:t>
      </w:r>
      <w:r>
        <w:rPr>
          <w:spacing w:val="22"/>
          <w:sz w:val="22"/>
        </w:rPr>
        <w:t> </w:t>
      </w:r>
      <w:r>
        <w:rPr>
          <w:sz w:val="22"/>
        </w:rPr>
        <w:t>οποία</w:t>
      </w:r>
      <w:r>
        <w:rPr>
          <w:spacing w:val="20"/>
          <w:sz w:val="22"/>
        </w:rPr>
        <w:t> </w:t>
      </w:r>
      <w:r>
        <w:rPr>
          <w:sz w:val="22"/>
        </w:rPr>
        <w:t>περιγράφονται</w:t>
      </w:r>
      <w:r>
        <w:rPr>
          <w:spacing w:val="22"/>
          <w:sz w:val="22"/>
        </w:rPr>
        <w:t> </w:t>
      </w:r>
      <w:r>
        <w:rPr>
          <w:sz w:val="22"/>
        </w:rPr>
        <w:t>το</w:t>
      </w:r>
      <w:r>
        <w:rPr>
          <w:spacing w:val="22"/>
          <w:sz w:val="22"/>
        </w:rPr>
        <w:t> </w:t>
      </w:r>
      <w:r>
        <w:rPr>
          <w:sz w:val="22"/>
        </w:rPr>
        <w:t>φυσικό</w:t>
      </w:r>
    </w:p>
    <w:p>
      <w:pPr>
        <w:spacing w:after="0" w:line="276" w:lineRule="auto"/>
        <w:jc w:val="both"/>
        <w:rPr>
          <w:sz w:val="22"/>
        </w:rPr>
        <w:sectPr>
          <w:pgSz w:w="11910" w:h="16840"/>
          <w:pgMar w:header="748" w:footer="734" w:top="1420" w:bottom="920" w:left="980" w:right="960"/>
        </w:sectPr>
      </w:pPr>
    </w:p>
    <w:p>
      <w:pPr>
        <w:pStyle w:val="BodyText"/>
        <w:spacing w:before="7"/>
        <w:rPr>
          <w:sz w:val="17"/>
        </w:rPr>
      </w:pPr>
    </w:p>
    <w:p>
      <w:pPr>
        <w:pStyle w:val="BodyText"/>
        <w:spacing w:line="276" w:lineRule="auto" w:before="57"/>
        <w:ind w:left="820"/>
      </w:pPr>
      <w:r>
        <w:rPr/>
        <w:t>αντικείμενο, το ποσό της αμοιβής τα τελικά παραδοτέα. Σε περίπτωση μη δυνατότητας υπογραφής σύμβασης δύναται να προσκομισθεί: αίτηση, συμφωνητικό ή αντίστοιχο έγγραφο.</w:t>
      </w:r>
    </w:p>
    <w:p>
      <w:pPr>
        <w:pStyle w:val="ListParagraph"/>
        <w:numPr>
          <w:ilvl w:val="0"/>
          <w:numId w:val="59"/>
        </w:numPr>
        <w:tabs>
          <w:tab w:pos="821" w:val="left" w:leader="none"/>
        </w:tabs>
        <w:spacing w:line="240" w:lineRule="auto" w:before="118" w:after="0"/>
        <w:ind w:left="820" w:right="0" w:hanging="360"/>
        <w:jc w:val="both"/>
        <w:rPr>
          <w:sz w:val="22"/>
        </w:rPr>
      </w:pPr>
      <w:r>
        <w:rPr>
          <w:sz w:val="22"/>
        </w:rPr>
        <w:t>Τεκμηρίωση συσχετισμού με το έργο </w:t>
      </w:r>
      <w:r>
        <w:rPr>
          <w:spacing w:val="-3"/>
          <w:sz w:val="22"/>
        </w:rPr>
        <w:t>και </w:t>
      </w:r>
      <w:r>
        <w:rPr>
          <w:sz w:val="22"/>
        </w:rPr>
        <w:t>συμβολή στην</w:t>
      </w:r>
      <w:r>
        <w:rPr>
          <w:spacing w:val="-31"/>
          <w:sz w:val="22"/>
        </w:rPr>
        <w:t> </w:t>
      </w:r>
      <w:r>
        <w:rPr>
          <w:sz w:val="22"/>
        </w:rPr>
        <w:t>καινοτομία.</w:t>
      </w:r>
    </w:p>
    <w:p>
      <w:pPr>
        <w:pStyle w:val="ListParagraph"/>
        <w:numPr>
          <w:ilvl w:val="0"/>
          <w:numId w:val="59"/>
        </w:numPr>
        <w:tabs>
          <w:tab w:pos="820" w:val="left" w:leader="none"/>
          <w:tab w:pos="821" w:val="left" w:leader="none"/>
        </w:tabs>
        <w:spacing w:line="276" w:lineRule="auto" w:before="161" w:after="0"/>
        <w:ind w:left="820" w:right="119" w:hanging="360"/>
        <w:jc w:val="left"/>
        <w:rPr>
          <w:sz w:val="22"/>
        </w:rPr>
      </w:pPr>
      <w:r>
        <w:rPr>
          <w:sz w:val="22"/>
        </w:rPr>
        <w:t>Τίτλος προστασίας </w:t>
      </w:r>
      <w:r>
        <w:rPr>
          <w:spacing w:val="-3"/>
          <w:sz w:val="22"/>
        </w:rPr>
        <w:t>και </w:t>
      </w:r>
      <w:r>
        <w:rPr>
          <w:sz w:val="22"/>
        </w:rPr>
        <w:t>βιβλίο παγίων στην περίπτωση ανανέωσης της κατοχύρωσης υπάρχουσας ευρεσιτεχνίας</w:t>
      </w:r>
    </w:p>
    <w:p>
      <w:pPr>
        <w:pStyle w:val="ListParagraph"/>
        <w:numPr>
          <w:ilvl w:val="0"/>
          <w:numId w:val="59"/>
        </w:numPr>
        <w:tabs>
          <w:tab w:pos="821" w:val="left" w:leader="none"/>
        </w:tabs>
        <w:spacing w:line="240" w:lineRule="auto" w:before="118" w:after="0"/>
        <w:ind w:left="820" w:right="0" w:hanging="360"/>
        <w:jc w:val="both"/>
        <w:rPr>
          <w:sz w:val="22"/>
        </w:rPr>
      </w:pPr>
      <w:r>
        <w:rPr>
          <w:sz w:val="22"/>
        </w:rPr>
        <w:t>Παραστατικών</w:t>
      </w:r>
      <w:r>
        <w:rPr>
          <w:spacing w:val="-11"/>
          <w:sz w:val="22"/>
        </w:rPr>
        <w:t> </w:t>
      </w:r>
      <w:r>
        <w:rPr>
          <w:sz w:val="22"/>
        </w:rPr>
        <w:t>των</w:t>
      </w:r>
      <w:r>
        <w:rPr>
          <w:spacing w:val="-8"/>
          <w:sz w:val="22"/>
        </w:rPr>
        <w:t> </w:t>
      </w:r>
      <w:r>
        <w:rPr>
          <w:sz w:val="22"/>
        </w:rPr>
        <w:t>δαπανών</w:t>
      </w:r>
      <w:r>
        <w:rPr>
          <w:spacing w:val="-10"/>
          <w:sz w:val="22"/>
        </w:rPr>
        <w:t> </w:t>
      </w:r>
      <w:r>
        <w:rPr>
          <w:sz w:val="22"/>
        </w:rPr>
        <w:t>των</w:t>
      </w:r>
      <w:r>
        <w:rPr>
          <w:spacing w:val="-8"/>
          <w:sz w:val="22"/>
        </w:rPr>
        <w:t> </w:t>
      </w:r>
      <w:r>
        <w:rPr>
          <w:sz w:val="22"/>
        </w:rPr>
        <w:t>συμβουλευτικών</w:t>
      </w:r>
      <w:r>
        <w:rPr>
          <w:spacing w:val="-8"/>
          <w:sz w:val="22"/>
        </w:rPr>
        <w:t> </w:t>
      </w:r>
      <w:r>
        <w:rPr>
          <w:sz w:val="22"/>
        </w:rPr>
        <w:t>υπηρεσιών</w:t>
      </w:r>
    </w:p>
    <w:p>
      <w:pPr>
        <w:pStyle w:val="ListParagraph"/>
        <w:numPr>
          <w:ilvl w:val="0"/>
          <w:numId w:val="59"/>
        </w:numPr>
        <w:tabs>
          <w:tab w:pos="821" w:val="left" w:leader="none"/>
        </w:tabs>
        <w:spacing w:line="240" w:lineRule="auto" w:before="161" w:after="0"/>
        <w:ind w:left="820" w:right="0" w:hanging="360"/>
        <w:jc w:val="both"/>
        <w:rPr>
          <w:sz w:val="22"/>
        </w:rPr>
      </w:pPr>
      <w:r>
        <w:rPr>
          <w:sz w:val="22"/>
        </w:rPr>
        <w:t>Παραστατικά</w:t>
      </w:r>
      <w:r>
        <w:rPr>
          <w:spacing w:val="-17"/>
          <w:sz w:val="22"/>
        </w:rPr>
        <w:t> </w:t>
      </w:r>
      <w:r>
        <w:rPr>
          <w:sz w:val="22"/>
        </w:rPr>
        <w:t>εξόφλησης</w:t>
      </w:r>
    </w:p>
    <w:p>
      <w:pPr>
        <w:pStyle w:val="ListParagraph"/>
        <w:numPr>
          <w:ilvl w:val="0"/>
          <w:numId w:val="59"/>
        </w:numPr>
        <w:tabs>
          <w:tab w:pos="821" w:val="left" w:leader="none"/>
        </w:tabs>
        <w:spacing w:line="240" w:lineRule="auto" w:before="161" w:after="0"/>
        <w:ind w:left="820" w:right="0" w:hanging="360"/>
        <w:jc w:val="both"/>
        <w:rPr>
          <w:sz w:val="22"/>
        </w:rPr>
      </w:pPr>
      <w:r>
        <w:rPr>
          <w:sz w:val="22"/>
        </w:rPr>
        <w:t>Αποδεικτικά παρακράτησης </w:t>
      </w:r>
      <w:r>
        <w:rPr>
          <w:spacing w:val="-3"/>
          <w:sz w:val="22"/>
        </w:rPr>
        <w:t>και </w:t>
      </w:r>
      <w:r>
        <w:rPr>
          <w:sz w:val="22"/>
        </w:rPr>
        <w:t>απόδοσης φόρου (όπου</w:t>
      </w:r>
      <w:r>
        <w:rPr>
          <w:spacing w:val="-30"/>
          <w:sz w:val="22"/>
        </w:rPr>
        <w:t> </w:t>
      </w:r>
      <w:r>
        <w:rPr>
          <w:sz w:val="22"/>
        </w:rPr>
        <w:t>απαιτείται)</w:t>
      </w:r>
    </w:p>
    <w:p>
      <w:pPr>
        <w:pStyle w:val="Heading4"/>
        <w:numPr>
          <w:ilvl w:val="1"/>
          <w:numId w:val="54"/>
        </w:numPr>
        <w:tabs>
          <w:tab w:pos="821" w:val="left" w:leader="none"/>
        </w:tabs>
        <w:spacing w:line="240" w:lineRule="auto" w:before="161" w:after="0"/>
        <w:ind w:left="820" w:right="0" w:hanging="360"/>
        <w:jc w:val="both"/>
      </w:pPr>
      <w:r>
        <w:rPr/>
        <w:t>Γνώσεις </w:t>
      </w:r>
      <w:r>
        <w:rPr>
          <w:spacing w:val="-3"/>
        </w:rPr>
        <w:t>και </w:t>
      </w:r>
      <w:r>
        <w:rPr/>
        <w:t>διπλώματα</w:t>
      </w:r>
      <w:r>
        <w:rPr>
          <w:spacing w:val="-15"/>
        </w:rPr>
        <w:t> </w:t>
      </w:r>
      <w:r>
        <w:rPr/>
        <w:t>ευρεσιτεχνίας</w:t>
      </w:r>
    </w:p>
    <w:p>
      <w:pPr>
        <w:pStyle w:val="BodyText"/>
        <w:spacing w:line="276" w:lineRule="auto" w:before="132"/>
        <w:ind w:left="460" w:right="115"/>
        <w:jc w:val="both"/>
      </w:pPr>
      <w:r>
        <w:rPr/>
        <w:t>Η υποκατηγορία περιλαμβάνει δαπάνες που αφορούν στην αγορά γνώσεων και διπλωμάτων ευρεσιτεχνίας (bought or licensed), οι οποίες είναι επιλέξιμες υπό την προϋπόθεση της τήρησης ίσων αποστάσεων. Δηλαδή θα πρέπει οι όροι της συναλλαγής μεταξύ των συμβαλλομένων μερών να μην διαφέρουν από εκείνους που θα είχαν οριστεί μεταξύ ανεξάρτητων επιχειρήσεων και να μην περιέχουν κανένα στοιχείο αθέμιτης σύμπραξης. Κάθε συναλλαγή που προκύπτει από ανοιχτή, διαφανή και χωρίς διακρίσεις διαδικασία θεωρείται ότι πληροί την αρχή της τήρησης ίσων αποστάσεων.</w:t>
      </w:r>
    </w:p>
    <w:p>
      <w:pPr>
        <w:pStyle w:val="BodyText"/>
        <w:spacing w:before="118"/>
        <w:ind w:left="460"/>
        <w:jc w:val="both"/>
      </w:pPr>
      <w:r>
        <w:rPr/>
        <w:t>Τα πρόσθετα δικαιολογητικά που απαιτούνται για την πιστοποίηση των δαπανών της υποκατηγορίας</w:t>
      </w:r>
    </w:p>
    <w:p>
      <w:pPr>
        <w:pStyle w:val="ListParagraph"/>
        <w:numPr>
          <w:ilvl w:val="1"/>
          <w:numId w:val="60"/>
        </w:numPr>
        <w:tabs>
          <w:tab w:pos="831" w:val="left" w:leader="none"/>
        </w:tabs>
        <w:spacing w:line="240" w:lineRule="auto" w:before="41" w:after="0"/>
        <w:ind w:left="830" w:right="0" w:hanging="370"/>
        <w:jc w:val="both"/>
        <w:rPr>
          <w:sz w:val="22"/>
        </w:rPr>
      </w:pPr>
      <w:r>
        <w:rPr>
          <w:sz w:val="22"/>
        </w:rPr>
        <w:t>είναι:</w:t>
      </w:r>
    </w:p>
    <w:p>
      <w:pPr>
        <w:pStyle w:val="ListParagraph"/>
        <w:numPr>
          <w:ilvl w:val="2"/>
          <w:numId w:val="60"/>
        </w:numPr>
        <w:tabs>
          <w:tab w:pos="1180" w:val="left" w:leader="none"/>
          <w:tab w:pos="1181" w:val="left" w:leader="none"/>
        </w:tabs>
        <w:spacing w:line="240" w:lineRule="auto" w:before="161" w:after="0"/>
        <w:ind w:left="1180" w:right="0" w:hanging="360"/>
        <w:jc w:val="left"/>
        <w:rPr>
          <w:sz w:val="22"/>
        </w:rPr>
      </w:pPr>
      <w:r>
        <w:rPr>
          <w:sz w:val="22"/>
        </w:rPr>
        <w:t>Αντίγραφο Τίτλου</w:t>
      </w:r>
      <w:r>
        <w:rPr>
          <w:spacing w:val="-20"/>
          <w:sz w:val="22"/>
        </w:rPr>
        <w:t> </w:t>
      </w:r>
      <w:r>
        <w:rPr>
          <w:sz w:val="22"/>
        </w:rPr>
        <w:t>προστασίας</w:t>
      </w:r>
    </w:p>
    <w:p>
      <w:pPr>
        <w:pStyle w:val="ListParagraph"/>
        <w:numPr>
          <w:ilvl w:val="2"/>
          <w:numId w:val="60"/>
        </w:numPr>
        <w:tabs>
          <w:tab w:pos="1180" w:val="left" w:leader="none"/>
          <w:tab w:pos="1181" w:val="left" w:leader="none"/>
        </w:tabs>
        <w:spacing w:line="240" w:lineRule="auto" w:before="159" w:after="0"/>
        <w:ind w:left="1180" w:right="0" w:hanging="360"/>
        <w:jc w:val="left"/>
        <w:rPr>
          <w:sz w:val="22"/>
        </w:rPr>
      </w:pPr>
      <w:r>
        <w:rPr>
          <w:sz w:val="22"/>
        </w:rPr>
        <w:t>Αντίγραφο</w:t>
      </w:r>
      <w:r>
        <w:rPr>
          <w:spacing w:val="-7"/>
          <w:sz w:val="22"/>
        </w:rPr>
        <w:t> </w:t>
      </w:r>
      <w:r>
        <w:rPr>
          <w:sz w:val="22"/>
        </w:rPr>
        <w:t>Αποσπάσματος</w:t>
      </w:r>
      <w:r>
        <w:rPr>
          <w:spacing w:val="-8"/>
          <w:sz w:val="22"/>
        </w:rPr>
        <w:t> </w:t>
      </w:r>
      <w:r>
        <w:rPr>
          <w:sz w:val="22"/>
        </w:rPr>
        <w:t>Βιβλίου</w:t>
      </w:r>
      <w:r>
        <w:rPr>
          <w:spacing w:val="-6"/>
          <w:sz w:val="22"/>
        </w:rPr>
        <w:t> </w:t>
      </w:r>
      <w:r>
        <w:rPr>
          <w:sz w:val="22"/>
        </w:rPr>
        <w:t>Παγίων,</w:t>
      </w:r>
      <w:r>
        <w:rPr>
          <w:spacing w:val="-6"/>
          <w:sz w:val="22"/>
        </w:rPr>
        <w:t> </w:t>
      </w:r>
      <w:r>
        <w:rPr>
          <w:sz w:val="22"/>
        </w:rPr>
        <w:t>εφόσον</w:t>
      </w:r>
      <w:r>
        <w:rPr>
          <w:spacing w:val="-7"/>
          <w:sz w:val="22"/>
        </w:rPr>
        <w:t> </w:t>
      </w:r>
      <w:r>
        <w:rPr>
          <w:sz w:val="22"/>
        </w:rPr>
        <w:t>έχει</w:t>
      </w:r>
      <w:r>
        <w:rPr>
          <w:spacing w:val="-6"/>
          <w:sz w:val="22"/>
        </w:rPr>
        <w:t> </w:t>
      </w:r>
      <w:r>
        <w:rPr>
          <w:sz w:val="22"/>
        </w:rPr>
        <w:t>καταγραφεί</w:t>
      </w:r>
      <w:r>
        <w:rPr>
          <w:spacing w:val="-6"/>
          <w:sz w:val="22"/>
        </w:rPr>
        <w:t> </w:t>
      </w:r>
      <w:r>
        <w:rPr>
          <w:sz w:val="22"/>
        </w:rPr>
        <w:t>στον</w:t>
      </w:r>
      <w:r>
        <w:rPr>
          <w:spacing w:val="-9"/>
          <w:sz w:val="22"/>
        </w:rPr>
        <w:t> </w:t>
      </w:r>
      <w:r>
        <w:rPr>
          <w:sz w:val="22"/>
        </w:rPr>
        <w:t>πάγιο</w:t>
      </w:r>
      <w:r>
        <w:rPr>
          <w:spacing w:val="-9"/>
          <w:sz w:val="22"/>
        </w:rPr>
        <w:t> </w:t>
      </w:r>
      <w:r>
        <w:rPr>
          <w:sz w:val="22"/>
        </w:rPr>
        <w:t>εξοπλισμό</w:t>
      </w:r>
    </w:p>
    <w:p>
      <w:pPr>
        <w:pStyle w:val="ListParagraph"/>
        <w:numPr>
          <w:ilvl w:val="2"/>
          <w:numId w:val="60"/>
        </w:numPr>
        <w:tabs>
          <w:tab w:pos="1181" w:val="left" w:leader="none"/>
        </w:tabs>
        <w:spacing w:line="276" w:lineRule="auto" w:before="161" w:after="0"/>
        <w:ind w:left="1180" w:right="115" w:hanging="360"/>
        <w:jc w:val="both"/>
        <w:rPr>
          <w:sz w:val="22"/>
        </w:rPr>
      </w:pPr>
      <w:r>
        <w:rPr>
          <w:sz w:val="22"/>
        </w:rPr>
        <w:t>Σϋμβαση συσχετιζόμενη με την αγορά </w:t>
      </w:r>
      <w:r>
        <w:rPr>
          <w:spacing w:val="-3"/>
          <w:sz w:val="22"/>
        </w:rPr>
        <w:t>άυλων </w:t>
      </w:r>
      <w:r>
        <w:rPr>
          <w:sz w:val="22"/>
        </w:rPr>
        <w:t>στοιχείων ενεργητικού (π.χ. διπλωμάτων ευρεσιτεχνίας </w:t>
      </w:r>
      <w:r>
        <w:rPr>
          <w:spacing w:val="-3"/>
          <w:sz w:val="22"/>
        </w:rPr>
        <w:t>και </w:t>
      </w:r>
      <w:r>
        <w:rPr>
          <w:sz w:val="22"/>
        </w:rPr>
        <w:t>σε σχέση με το συγχρηματοδοτούμενο έργο (π.χ. Συμβάσεις μεταφοράς τεχνολογίας-τεχνογνωσίας σύμφωνα με την οποία ο εκχωρητής εκχωρεί στον </w:t>
      </w:r>
      <w:r>
        <w:rPr>
          <w:spacing w:val="-3"/>
          <w:sz w:val="22"/>
        </w:rPr>
        <w:t>εκδοχέα </w:t>
      </w:r>
      <w:r>
        <w:rPr>
          <w:sz w:val="22"/>
        </w:rPr>
        <w:t>το δικαίωμα αποκλειστικής ή μη εκμετάλλευσης, για μία ορισμένη χρονική περίοδο ή απεριόριστα). Από τη σύμβαση θα πρέπει να διασφαλίζεται ότι το φυσικό αντικείμενο προσδιορίζεται με σαφήνεια, δεν αφορά σε γενικότερη παροχή υπηρεσιών </w:t>
      </w:r>
      <w:r>
        <w:rPr>
          <w:spacing w:val="-3"/>
          <w:sz w:val="22"/>
        </w:rPr>
        <w:t>και </w:t>
      </w:r>
      <w:r>
        <w:rPr>
          <w:sz w:val="22"/>
        </w:rPr>
        <w:t>σχετίζεται με το συγκεκριμένο</w:t>
      </w:r>
      <w:r>
        <w:rPr>
          <w:spacing w:val="-8"/>
          <w:sz w:val="22"/>
        </w:rPr>
        <w:t> </w:t>
      </w:r>
      <w:r>
        <w:rPr>
          <w:sz w:val="22"/>
        </w:rPr>
        <w:t>έργο.</w:t>
      </w:r>
    </w:p>
    <w:p>
      <w:pPr>
        <w:pStyle w:val="ListParagraph"/>
        <w:numPr>
          <w:ilvl w:val="2"/>
          <w:numId w:val="60"/>
        </w:numPr>
        <w:tabs>
          <w:tab w:pos="1180" w:val="left" w:leader="none"/>
          <w:tab w:pos="1181" w:val="left" w:leader="none"/>
        </w:tabs>
        <w:spacing w:line="240" w:lineRule="auto" w:before="121" w:after="0"/>
        <w:ind w:left="1180" w:right="0" w:hanging="360"/>
        <w:jc w:val="left"/>
        <w:rPr>
          <w:sz w:val="22"/>
        </w:rPr>
      </w:pPr>
      <w:r>
        <w:rPr>
          <w:sz w:val="22"/>
        </w:rPr>
        <w:t>Αποδεικτικά</w:t>
      </w:r>
      <w:r>
        <w:rPr>
          <w:spacing w:val="-12"/>
          <w:sz w:val="22"/>
        </w:rPr>
        <w:t> </w:t>
      </w:r>
      <w:r>
        <w:rPr>
          <w:sz w:val="22"/>
        </w:rPr>
        <w:t>καταβολής</w:t>
      </w:r>
      <w:r>
        <w:rPr>
          <w:spacing w:val="-10"/>
          <w:sz w:val="22"/>
        </w:rPr>
        <w:t> </w:t>
      </w:r>
      <w:r>
        <w:rPr>
          <w:sz w:val="22"/>
        </w:rPr>
        <w:t>φόρου</w:t>
      </w:r>
      <w:r>
        <w:rPr>
          <w:spacing w:val="-11"/>
          <w:sz w:val="22"/>
        </w:rPr>
        <w:t> </w:t>
      </w:r>
      <w:r>
        <w:rPr>
          <w:sz w:val="22"/>
        </w:rPr>
        <w:t>εισοδήματος</w:t>
      </w:r>
      <w:r>
        <w:rPr>
          <w:spacing w:val="-10"/>
          <w:sz w:val="22"/>
        </w:rPr>
        <w:t> </w:t>
      </w:r>
      <w:r>
        <w:rPr>
          <w:sz w:val="22"/>
        </w:rPr>
        <w:t>(όπου</w:t>
      </w:r>
      <w:r>
        <w:rPr>
          <w:spacing w:val="-10"/>
          <w:sz w:val="22"/>
        </w:rPr>
        <w:t> </w:t>
      </w:r>
      <w:r>
        <w:rPr>
          <w:sz w:val="22"/>
        </w:rPr>
        <w:t>απαιτείται)</w:t>
      </w:r>
    </w:p>
    <w:p>
      <w:pPr>
        <w:pStyle w:val="BodyText"/>
        <w:rPr>
          <w:sz w:val="28"/>
        </w:rPr>
      </w:pPr>
    </w:p>
    <w:p>
      <w:pPr>
        <w:pStyle w:val="Heading4"/>
        <w:numPr>
          <w:ilvl w:val="0"/>
          <w:numId w:val="54"/>
        </w:numPr>
        <w:tabs>
          <w:tab w:pos="461" w:val="left" w:leader="none"/>
        </w:tabs>
        <w:spacing w:line="240" w:lineRule="auto" w:before="247" w:after="0"/>
        <w:ind w:left="460" w:right="0" w:hanging="360"/>
        <w:jc w:val="left"/>
      </w:pPr>
      <w:r>
        <w:rPr/>
        <w:t>Κατηγορία</w:t>
      </w:r>
      <w:r>
        <w:rPr>
          <w:spacing w:val="-8"/>
        </w:rPr>
        <w:t> </w:t>
      </w:r>
      <w:r>
        <w:rPr/>
        <w:t>Δαπάνης</w:t>
      </w:r>
      <w:r>
        <w:rPr>
          <w:spacing w:val="-8"/>
        </w:rPr>
        <w:t> </w:t>
      </w:r>
      <w:r>
        <w:rPr/>
        <w:t>«Δαπάνες</w:t>
      </w:r>
      <w:r>
        <w:rPr>
          <w:spacing w:val="-9"/>
        </w:rPr>
        <w:t> </w:t>
      </w:r>
      <w:r>
        <w:rPr/>
        <w:t>προσωπικού</w:t>
      </w:r>
      <w:r>
        <w:rPr>
          <w:spacing w:val="-8"/>
        </w:rPr>
        <w:t> </w:t>
      </w:r>
      <w:r>
        <w:rPr/>
        <w:t>(Μισθολογικό</w:t>
      </w:r>
      <w:r>
        <w:rPr>
          <w:spacing w:val="-8"/>
        </w:rPr>
        <w:t> </w:t>
      </w:r>
      <w:r>
        <w:rPr/>
        <w:t>κόστος</w:t>
      </w:r>
      <w:r>
        <w:rPr>
          <w:spacing w:val="-8"/>
        </w:rPr>
        <w:t> </w:t>
      </w:r>
      <w:r>
        <w:rPr/>
        <w:t>νέου</w:t>
      </w:r>
      <w:r>
        <w:rPr>
          <w:spacing w:val="-8"/>
        </w:rPr>
        <w:t> </w:t>
      </w:r>
      <w:r>
        <w:rPr/>
        <w:t>προσωπικού»</w:t>
      </w:r>
    </w:p>
    <w:p>
      <w:pPr>
        <w:pStyle w:val="ListParagraph"/>
        <w:numPr>
          <w:ilvl w:val="0"/>
          <w:numId w:val="61"/>
        </w:numPr>
        <w:tabs>
          <w:tab w:pos="1181" w:val="left" w:leader="none"/>
        </w:tabs>
        <w:spacing w:line="276" w:lineRule="auto" w:before="135" w:after="0"/>
        <w:ind w:left="1180" w:right="120" w:hanging="360"/>
        <w:jc w:val="both"/>
        <w:rPr>
          <w:sz w:val="22"/>
        </w:rPr>
      </w:pPr>
      <w:r>
        <w:rPr>
          <w:sz w:val="22"/>
        </w:rPr>
        <w:t>Μισθοδοτικές καταστάσεις (ατομικές) σφραγισμένες και υπογεγραμμένες από τον λογιστή και τον νόμιμο εκπρόσωπο επιχείρησης, για το διάστημα κατά το οποίο επιδοτείται η θέση απασχόλησης.</w:t>
      </w:r>
    </w:p>
    <w:p>
      <w:pPr>
        <w:pStyle w:val="ListParagraph"/>
        <w:numPr>
          <w:ilvl w:val="0"/>
          <w:numId w:val="61"/>
        </w:numPr>
        <w:tabs>
          <w:tab w:pos="1180" w:val="left" w:leader="none"/>
          <w:tab w:pos="1181" w:val="left" w:leader="none"/>
        </w:tabs>
        <w:spacing w:line="240" w:lineRule="auto" w:before="121" w:after="0"/>
        <w:ind w:left="1180" w:right="0" w:hanging="360"/>
        <w:jc w:val="left"/>
        <w:rPr>
          <w:sz w:val="22"/>
        </w:rPr>
      </w:pPr>
      <w:r>
        <w:rPr>
          <w:sz w:val="22"/>
        </w:rPr>
        <w:t>Δικαιολογητικό  πληρωμής  μισθοδοσίας  σε  τραπεζικό  λογαριασμό  του  εργαζόμενου</w:t>
      </w:r>
      <w:r>
        <w:rPr>
          <w:spacing w:val="43"/>
          <w:sz w:val="22"/>
        </w:rPr>
        <w:t> </w:t>
      </w:r>
      <w:r>
        <w:rPr>
          <w:sz w:val="22"/>
        </w:rPr>
        <w:t>(κίνηση</w:t>
      </w:r>
    </w:p>
    <w:p>
      <w:pPr>
        <w:pStyle w:val="BodyText"/>
        <w:spacing w:before="38"/>
        <w:ind w:left="1180"/>
      </w:pPr>
      <w:r>
        <w:rPr/>
        <w:t>extrait ή καταθετήριο σε τραπεζικό λογαριασμό).</w:t>
      </w:r>
    </w:p>
    <w:p>
      <w:pPr>
        <w:pStyle w:val="ListParagraph"/>
        <w:numPr>
          <w:ilvl w:val="0"/>
          <w:numId w:val="61"/>
        </w:numPr>
        <w:tabs>
          <w:tab w:pos="1180" w:val="left" w:leader="none"/>
          <w:tab w:pos="1181" w:val="left" w:leader="none"/>
        </w:tabs>
        <w:spacing w:line="240" w:lineRule="auto" w:before="161" w:after="0"/>
        <w:ind w:left="1180" w:right="0" w:hanging="360"/>
        <w:jc w:val="left"/>
        <w:rPr>
          <w:sz w:val="22"/>
        </w:rPr>
      </w:pPr>
      <w:r>
        <w:rPr>
          <w:sz w:val="22"/>
        </w:rPr>
        <w:t>Αποδεικτικά καταβολής ασφαλιστικών εισφορών (εργαζόμενου και</w:t>
      </w:r>
      <w:r>
        <w:rPr>
          <w:spacing w:val="-14"/>
          <w:sz w:val="22"/>
        </w:rPr>
        <w:t> </w:t>
      </w:r>
      <w:r>
        <w:rPr>
          <w:sz w:val="22"/>
        </w:rPr>
        <w:t>εργοδότη).</w:t>
      </w:r>
    </w:p>
    <w:p>
      <w:pPr>
        <w:pStyle w:val="ListParagraph"/>
        <w:numPr>
          <w:ilvl w:val="0"/>
          <w:numId w:val="61"/>
        </w:numPr>
        <w:tabs>
          <w:tab w:pos="1180" w:val="left" w:leader="none"/>
          <w:tab w:pos="1181" w:val="left" w:leader="none"/>
        </w:tabs>
        <w:spacing w:line="240" w:lineRule="auto" w:before="159" w:after="0"/>
        <w:ind w:left="1180" w:right="0" w:hanging="360"/>
        <w:jc w:val="left"/>
        <w:rPr>
          <w:sz w:val="22"/>
        </w:rPr>
      </w:pPr>
      <w:r>
        <w:rPr>
          <w:sz w:val="22"/>
        </w:rPr>
        <w:t>Αποδεικτικά καταβολής</w:t>
      </w:r>
      <w:r>
        <w:rPr>
          <w:spacing w:val="-6"/>
          <w:sz w:val="22"/>
        </w:rPr>
        <w:t> </w:t>
      </w:r>
      <w:r>
        <w:rPr>
          <w:sz w:val="22"/>
        </w:rPr>
        <w:t>ΦΜΥ</w:t>
      </w:r>
    </w:p>
    <w:p>
      <w:pPr>
        <w:spacing w:after="0" w:line="240" w:lineRule="auto"/>
        <w:jc w:val="left"/>
        <w:rPr>
          <w:sz w:val="22"/>
        </w:rPr>
        <w:sectPr>
          <w:pgSz w:w="11910" w:h="16840"/>
          <w:pgMar w:header="748" w:footer="734" w:top="1420" w:bottom="920" w:left="980" w:right="960"/>
        </w:sectPr>
      </w:pPr>
    </w:p>
    <w:p>
      <w:pPr>
        <w:pStyle w:val="BodyText"/>
        <w:rPr>
          <w:sz w:val="14"/>
        </w:rPr>
      </w:pPr>
    </w:p>
    <w:p>
      <w:pPr>
        <w:pStyle w:val="ListParagraph"/>
        <w:numPr>
          <w:ilvl w:val="0"/>
          <w:numId w:val="61"/>
        </w:numPr>
        <w:tabs>
          <w:tab w:pos="1180" w:val="left" w:leader="none"/>
          <w:tab w:pos="1181" w:val="left" w:leader="none"/>
        </w:tabs>
        <w:spacing w:line="276" w:lineRule="auto" w:before="101" w:after="0"/>
        <w:ind w:left="1180" w:right="117" w:hanging="360"/>
        <w:jc w:val="left"/>
        <w:rPr>
          <w:sz w:val="22"/>
        </w:rPr>
      </w:pPr>
      <w:r>
        <w:rPr>
          <w:sz w:val="22"/>
        </w:rPr>
        <w:t>Υπεύθυνη Δήλωση ότι οι υποβαλλόμενες δαπάνες μισθοδοσίας δεν αφορούν εργαζόμενους  που είναι σύζυγοι ή συγγενείς α’ και β’ βαθμού με τους Εταίρους/Μετόχους της</w:t>
      </w:r>
      <w:r>
        <w:rPr>
          <w:spacing w:val="-17"/>
          <w:sz w:val="22"/>
        </w:rPr>
        <w:t> </w:t>
      </w:r>
      <w:r>
        <w:rPr>
          <w:sz w:val="22"/>
        </w:rPr>
        <w:t>επιχείρησης.</w:t>
      </w:r>
    </w:p>
    <w:p>
      <w:pPr>
        <w:pStyle w:val="BodyText"/>
      </w:pPr>
    </w:p>
    <w:p>
      <w:pPr>
        <w:pStyle w:val="BodyText"/>
        <w:spacing w:before="10"/>
      </w:pPr>
    </w:p>
    <w:p>
      <w:pPr>
        <w:pStyle w:val="Heading4"/>
        <w:spacing w:before="1"/>
        <w:ind w:left="460"/>
        <w:jc w:val="left"/>
      </w:pPr>
      <w:r>
        <w:rPr/>
        <w:t>Απώλεια παραστατικού</w:t>
      </w:r>
    </w:p>
    <w:p>
      <w:pPr>
        <w:pStyle w:val="BodyText"/>
        <w:spacing w:line="276" w:lineRule="auto" w:before="161"/>
        <w:ind w:left="460" w:right="113"/>
        <w:jc w:val="both"/>
      </w:pPr>
      <w:r>
        <w:rPr/>
        <w:t>Στις περιπτώσεις απώλειας παραστατικών δαπάνης, ο δικαιούχος είναι υποχρεωμένος να προσκομίσει: α) Αντίγραφο των απολεσθέντων παραστατικών με εμφανή τη σφραγίδα του προμηθευτή στο παραστατικό και την ένδειξη «ακριβές φωτοαντίγραφο εκ του πρωτοτύπου» και β) Υ.Δ. Ν1599/86 με θεώρηση του γνησίου της υπογραφής του Νόμιμου Εκπροσώπου του δικαιούχου, στην οποία να αναφέρεται:</w:t>
      </w:r>
    </w:p>
    <w:p>
      <w:pPr>
        <w:pStyle w:val="BodyText"/>
        <w:spacing w:line="276" w:lineRule="auto" w:before="121"/>
        <w:ind w:left="460" w:right="117"/>
        <w:jc w:val="both"/>
      </w:pPr>
      <w:r>
        <w:rPr/>
        <w:t>«Το παραστατικό (περιγραφή στοιχείων παραστατικού αριθμός / ημερομηνία έκδοσης/ προμηθευτής/ περιγραφή δαπάνης) έχει απολεσθεί και προσκομίζεται ακριβές φωτοαντίγραφο εκ του πρωτοτύπου από τον προμηθευτή. Το εν λόγω παραστατικό δεν έχει ενισχυθεί (επιδοτηθεί) ούτε θα χρησιμοποιηθεί στο μέλλον για επιδότηση από Εθνικό ή Κοινοτικό Πρόγραμμα.»</w:t>
      </w:r>
    </w:p>
    <w:p>
      <w:pPr>
        <w:pStyle w:val="Heading4"/>
        <w:spacing w:before="120"/>
        <w:ind w:left="460"/>
        <w:jc w:val="left"/>
      </w:pPr>
      <w:r>
        <w:rPr/>
        <w:t>Λογιστική απεικόνιση δαπανών και εξοφλήσεων</w:t>
      </w:r>
    </w:p>
    <w:p>
      <w:pPr>
        <w:pStyle w:val="BodyText"/>
        <w:spacing w:line="273" w:lineRule="auto" w:before="161"/>
        <w:ind w:left="460" w:right="120"/>
        <w:jc w:val="both"/>
      </w:pPr>
      <w:r>
        <w:rPr/>
        <w:t>Σχετικά με τις λογιστικές εγγραφές των παραστατικών τα απαιτούμενα δικαιολογητικά ανάλογα με την κατηγορία των λογιστικών βιβλίων είναι:</w:t>
      </w:r>
    </w:p>
    <w:p>
      <w:pPr>
        <w:pStyle w:val="BodyText"/>
        <w:spacing w:before="123"/>
        <w:ind w:left="460"/>
      </w:pPr>
      <w:r>
        <w:rPr/>
        <w:t>Σε περίπτωση τήρησης διπλογραφικών βιβλίων</w:t>
      </w:r>
    </w:p>
    <w:p>
      <w:pPr>
        <w:pStyle w:val="ListParagraph"/>
        <w:numPr>
          <w:ilvl w:val="0"/>
          <w:numId w:val="62"/>
        </w:numPr>
        <w:tabs>
          <w:tab w:pos="820" w:val="left" w:leader="none"/>
          <w:tab w:pos="821" w:val="left" w:leader="none"/>
        </w:tabs>
        <w:spacing w:line="273" w:lineRule="auto" w:before="161" w:after="0"/>
        <w:ind w:left="820" w:right="113" w:hanging="360"/>
        <w:jc w:val="left"/>
        <w:rPr>
          <w:rFonts w:ascii="Symbol" w:hAnsi="Symbol"/>
          <w:sz w:val="22"/>
        </w:rPr>
      </w:pPr>
      <w:r>
        <w:rPr>
          <w:sz w:val="22"/>
        </w:rPr>
        <w:t>Αντίγραφα των Αναλυτικών Καθολικών (καρτέλες) των λογαριασμών λογιστικής απεικόνισης των δαπανών του έργου</w:t>
      </w:r>
    </w:p>
    <w:p>
      <w:pPr>
        <w:pStyle w:val="ListParagraph"/>
        <w:numPr>
          <w:ilvl w:val="0"/>
          <w:numId w:val="62"/>
        </w:numPr>
        <w:tabs>
          <w:tab w:pos="820" w:val="left" w:leader="none"/>
          <w:tab w:pos="821" w:val="left" w:leader="none"/>
        </w:tabs>
        <w:spacing w:line="273" w:lineRule="auto" w:before="123" w:after="0"/>
        <w:ind w:left="820" w:right="119" w:hanging="360"/>
        <w:jc w:val="left"/>
        <w:rPr>
          <w:rFonts w:ascii="Symbol" w:hAnsi="Symbol"/>
          <w:sz w:val="20"/>
        </w:rPr>
      </w:pPr>
      <w:r>
        <w:rPr>
          <w:sz w:val="22"/>
        </w:rPr>
        <w:t>Αντίγραφα των λογιστικών άρθρων της καταχώρησης των δαπανών του έργου και των εξοφλήσεων τους</w:t>
      </w:r>
    </w:p>
    <w:p>
      <w:pPr>
        <w:pStyle w:val="ListParagraph"/>
        <w:numPr>
          <w:ilvl w:val="0"/>
          <w:numId w:val="62"/>
        </w:numPr>
        <w:tabs>
          <w:tab w:pos="820" w:val="left" w:leader="none"/>
          <w:tab w:pos="821" w:val="left" w:leader="none"/>
        </w:tabs>
        <w:spacing w:line="276" w:lineRule="auto" w:before="123" w:after="0"/>
        <w:ind w:left="820" w:right="120" w:hanging="360"/>
        <w:jc w:val="left"/>
        <w:rPr>
          <w:rFonts w:ascii="Symbol" w:hAnsi="Symbol"/>
          <w:sz w:val="22"/>
        </w:rPr>
      </w:pPr>
      <w:r>
        <w:rPr>
          <w:sz w:val="22"/>
        </w:rPr>
        <w:t>Αντίγραφα των λογιστικών άρθρων καταχώρησης της τυχόν λήψης προκαταβολής ή ενδιάμεσης πληρωμής (το αργότερο κατά την τελική πιστοποίηση του</w:t>
      </w:r>
      <w:r>
        <w:rPr>
          <w:spacing w:val="-13"/>
          <w:sz w:val="22"/>
        </w:rPr>
        <w:t> </w:t>
      </w:r>
      <w:r>
        <w:rPr>
          <w:sz w:val="22"/>
        </w:rPr>
        <w:t>έργου).</w:t>
      </w:r>
    </w:p>
    <w:p>
      <w:pPr>
        <w:pStyle w:val="BodyText"/>
        <w:spacing w:before="118"/>
        <w:ind w:left="460"/>
      </w:pPr>
      <w:r>
        <w:rPr/>
        <w:t>Σε περίπτωση τήρησης απλογραφικών βιβλίων</w:t>
      </w:r>
    </w:p>
    <w:p>
      <w:pPr>
        <w:pStyle w:val="ListParagraph"/>
        <w:numPr>
          <w:ilvl w:val="0"/>
          <w:numId w:val="62"/>
        </w:numPr>
        <w:tabs>
          <w:tab w:pos="821" w:val="left" w:leader="none"/>
        </w:tabs>
        <w:spacing w:line="276" w:lineRule="auto" w:before="161" w:after="0"/>
        <w:ind w:left="820" w:right="119" w:hanging="360"/>
        <w:jc w:val="both"/>
        <w:rPr>
          <w:rFonts w:ascii="Symbol" w:hAnsi="Symbol"/>
          <w:sz w:val="20"/>
        </w:rPr>
      </w:pPr>
      <w:r>
        <w:rPr>
          <w:sz w:val="22"/>
        </w:rPr>
        <w:t>Αντίγραφα των σελίδων του βιβλίου εσόδων-εξόδων (και των αναλυτικών καταστάσεων των  εξόδων όπου αυτό απαιτείται κατά περίπτωση), στα οποία έχουν καταχωρηθεί τα παραστατικά των δαπανών του έργου</w:t>
      </w:r>
    </w:p>
    <w:p>
      <w:pPr>
        <w:pStyle w:val="ListParagraph"/>
        <w:numPr>
          <w:ilvl w:val="0"/>
          <w:numId w:val="62"/>
        </w:numPr>
        <w:tabs>
          <w:tab w:pos="820" w:val="left" w:leader="none"/>
          <w:tab w:pos="821" w:val="left" w:leader="none"/>
        </w:tabs>
        <w:spacing w:line="276" w:lineRule="auto" w:before="121" w:after="0"/>
        <w:ind w:left="820" w:right="118" w:hanging="360"/>
        <w:jc w:val="left"/>
        <w:rPr>
          <w:rFonts w:ascii="Symbol" w:hAnsi="Symbol"/>
          <w:sz w:val="20"/>
        </w:rPr>
      </w:pPr>
      <w:r>
        <w:rPr>
          <w:sz w:val="22"/>
        </w:rPr>
        <w:t>Αντίγραφα των λογιστικών καταχωρήσεων στο Βιβλίο εσόδων – εξόδων της τυχόν λήψης προκαταβολής ή ενδιάμεσης πληρωμής (το αργότερο κατά την τελική πιστοποίηση του</w:t>
      </w:r>
      <w:r>
        <w:rPr>
          <w:spacing w:val="-22"/>
          <w:sz w:val="22"/>
        </w:rPr>
        <w:t> </w:t>
      </w:r>
      <w:r>
        <w:rPr>
          <w:sz w:val="22"/>
        </w:rPr>
        <w:t>έργου)</w:t>
      </w:r>
    </w:p>
    <w:p>
      <w:pPr>
        <w:spacing w:after="0" w:line="276" w:lineRule="auto"/>
        <w:jc w:val="left"/>
        <w:rPr>
          <w:rFonts w:ascii="Symbol" w:hAnsi="Symbol"/>
          <w:sz w:val="20"/>
        </w:rPr>
        <w:sectPr>
          <w:pgSz w:w="11910" w:h="16840"/>
          <w:pgMar w:header="748" w:footer="734" w:top="1420" w:bottom="920" w:left="980" w:right="960"/>
        </w:sectPr>
      </w:pPr>
    </w:p>
    <w:p>
      <w:pPr>
        <w:pStyle w:val="BodyText"/>
        <w:rPr>
          <w:sz w:val="20"/>
        </w:rPr>
      </w:pPr>
    </w:p>
    <w:p>
      <w:pPr>
        <w:pStyle w:val="BodyText"/>
        <w:spacing w:before="3"/>
        <w:rPr>
          <w:sz w:val="17"/>
        </w:rPr>
      </w:pPr>
    </w:p>
    <w:p>
      <w:pPr>
        <w:pStyle w:val="Heading4"/>
        <w:spacing w:before="57"/>
        <w:jc w:val="left"/>
      </w:pPr>
      <w:r>
        <w:rPr/>
        <w:t>ΠΑΡΑΡΤΗΜΑ ΙV: ΟΡΙΣΜΟΣ ΜΜΕ</w:t>
      </w:r>
    </w:p>
    <w:p>
      <w:pPr>
        <w:pStyle w:val="BodyText"/>
        <w:spacing w:before="3"/>
        <w:rPr>
          <w:b/>
          <w:sz w:val="27"/>
        </w:rPr>
      </w:pPr>
    </w:p>
    <w:p>
      <w:pPr>
        <w:spacing w:before="56"/>
        <w:ind w:left="108" w:right="125" w:firstLine="0"/>
        <w:jc w:val="center"/>
        <w:rPr>
          <w:i/>
          <w:sz w:val="22"/>
        </w:rPr>
      </w:pPr>
      <w:r>
        <w:rPr>
          <w:i/>
          <w:sz w:val="22"/>
        </w:rPr>
        <w:t>Άρθρο 1</w:t>
      </w:r>
    </w:p>
    <w:p>
      <w:pPr>
        <w:pStyle w:val="Heading4"/>
        <w:ind w:left="107" w:right="125"/>
        <w:jc w:val="center"/>
      </w:pPr>
      <w:r>
        <w:rPr/>
        <w:t>Επιχείρηση</w:t>
      </w:r>
    </w:p>
    <w:p>
      <w:pPr>
        <w:pStyle w:val="BodyText"/>
        <w:rPr>
          <w:b/>
        </w:rPr>
      </w:pPr>
    </w:p>
    <w:p>
      <w:pPr>
        <w:pStyle w:val="BodyText"/>
        <w:spacing w:line="276" w:lineRule="auto" w:before="159"/>
        <w:ind w:left="100" w:right="114"/>
        <w:jc w:val="both"/>
      </w:pPr>
      <w:r>
        <w:rPr/>
        <w:t>Επιχείρηση θεωρείται κάθε οντότητα, ανεξάρτητα από τη νομική της μορφή, που ασκεί οικονομική δραστηριότητα. Σε αυτές περιλαμβάνονται ειδικότερα αυταπασχολούμενα άτομα και οικογενειακές επιχειρήσεις που ασκούν βιοτεχνική ή άλλη δραστηριότητα, καθώς και προσωπικές εταιρείες ή ενώσεις προσώπων που ασκούν τακτικά μια οικονομική δραστηριότητα.</w:t>
      </w:r>
    </w:p>
    <w:p>
      <w:pPr>
        <w:pStyle w:val="BodyText"/>
      </w:pPr>
    </w:p>
    <w:p>
      <w:pPr>
        <w:pStyle w:val="BodyText"/>
        <w:spacing w:before="1"/>
        <w:rPr>
          <w:sz w:val="23"/>
        </w:rPr>
      </w:pPr>
    </w:p>
    <w:p>
      <w:pPr>
        <w:spacing w:before="0"/>
        <w:ind w:left="108" w:right="125" w:firstLine="0"/>
        <w:jc w:val="center"/>
        <w:rPr>
          <w:i/>
          <w:sz w:val="22"/>
        </w:rPr>
      </w:pPr>
      <w:r>
        <w:rPr>
          <w:i/>
          <w:sz w:val="22"/>
        </w:rPr>
        <w:t>Άρθρο 2</w:t>
      </w:r>
    </w:p>
    <w:p>
      <w:pPr>
        <w:pStyle w:val="Heading4"/>
        <w:ind w:left="106" w:right="125"/>
        <w:jc w:val="center"/>
      </w:pPr>
      <w:r>
        <w:rPr/>
        <w:t>Αριθμός απασχολουμένων και οικονομικά όρια προσδιορίζοντα τις κατηγορίες επιχειρήσεων</w:t>
      </w:r>
    </w:p>
    <w:p>
      <w:pPr>
        <w:pStyle w:val="BodyText"/>
        <w:rPr>
          <w:b/>
        </w:rPr>
      </w:pPr>
    </w:p>
    <w:p>
      <w:pPr>
        <w:pStyle w:val="ListParagraph"/>
        <w:numPr>
          <w:ilvl w:val="0"/>
          <w:numId w:val="63"/>
        </w:numPr>
        <w:tabs>
          <w:tab w:pos="459" w:val="left" w:leader="none"/>
        </w:tabs>
        <w:spacing w:line="360" w:lineRule="auto" w:before="159" w:after="0"/>
        <w:ind w:left="458" w:right="115" w:hanging="358"/>
        <w:jc w:val="both"/>
        <w:rPr>
          <w:sz w:val="22"/>
        </w:rPr>
      </w:pPr>
      <w:r>
        <w:rPr>
          <w:sz w:val="22"/>
        </w:rPr>
        <w:t>Η κατηγορία των πολύ μικρών, μικρών και μεσαίων επιχειρήσεων («ΜΜΕ») αποτελείται από επιχειρήσεις που απασχολούν λιγότερους από 250 εργαζομένους και των οποίων ο ετήσιος κύκλος εργασιών δεν υπερβαίνει τα 50 εκατ. ευρώ και/ή το σύνολο του ετήσιου ισολογισμού δεν υπερβαίνει  τα 43 εκατ.</w:t>
      </w:r>
      <w:r>
        <w:rPr>
          <w:spacing w:val="-2"/>
          <w:sz w:val="22"/>
        </w:rPr>
        <w:t> </w:t>
      </w:r>
      <w:r>
        <w:rPr>
          <w:sz w:val="22"/>
        </w:rPr>
        <w:t>ευρώ.</w:t>
      </w:r>
    </w:p>
    <w:p>
      <w:pPr>
        <w:pStyle w:val="ListParagraph"/>
        <w:numPr>
          <w:ilvl w:val="0"/>
          <w:numId w:val="63"/>
        </w:numPr>
        <w:tabs>
          <w:tab w:pos="459" w:val="left" w:leader="none"/>
        </w:tabs>
        <w:spacing w:line="360" w:lineRule="auto" w:before="0" w:after="0"/>
        <w:ind w:left="458" w:right="117" w:hanging="358"/>
        <w:jc w:val="both"/>
        <w:rPr>
          <w:sz w:val="22"/>
        </w:rPr>
      </w:pPr>
      <w:r>
        <w:rPr>
          <w:sz w:val="22"/>
        </w:rPr>
        <w:t>Στην κατηγορία των ΜΜΕ, ως μικρή επιχείρηση ορίζεται η επιχείρηση η οποία απασχολεί λιγότερους από 50 εργαζομένους και της οποίας ο ετήσιος κύκλος εργασιών και/ή το σύνολο του ετήσιου ισολογισμού δεν υπερβαίνει τα 10 εκατ.</w:t>
      </w:r>
      <w:r>
        <w:rPr>
          <w:spacing w:val="-12"/>
          <w:sz w:val="22"/>
        </w:rPr>
        <w:t> </w:t>
      </w:r>
      <w:r>
        <w:rPr>
          <w:sz w:val="22"/>
        </w:rPr>
        <w:t>ευρώ.</w:t>
      </w:r>
    </w:p>
    <w:p>
      <w:pPr>
        <w:pStyle w:val="ListParagraph"/>
        <w:numPr>
          <w:ilvl w:val="0"/>
          <w:numId w:val="63"/>
        </w:numPr>
        <w:tabs>
          <w:tab w:pos="459" w:val="left" w:leader="none"/>
        </w:tabs>
        <w:spacing w:line="360" w:lineRule="auto" w:before="0" w:after="0"/>
        <w:ind w:left="458" w:right="114" w:hanging="358"/>
        <w:jc w:val="both"/>
        <w:rPr>
          <w:sz w:val="22"/>
        </w:rPr>
      </w:pPr>
      <w:r>
        <w:rPr>
          <w:sz w:val="22"/>
        </w:rPr>
        <w:t>Στην κατηγορία των ΜΜΕ, ως πολύ μικρή επιχείρηση ορίζεται η επιχείρηση η οποία απασχολεί λιγότερους από 10 εργαζομένους και της οποίας ο ετήσιος κύκλος εργασιών και/ή το σύνολο του ετήσιου ισολογισμού δεν υπερβαίνει τα 2 εκατ.</w:t>
      </w:r>
      <w:r>
        <w:rPr>
          <w:spacing w:val="-14"/>
          <w:sz w:val="22"/>
        </w:rPr>
        <w:t> </w:t>
      </w:r>
      <w:r>
        <w:rPr>
          <w:sz w:val="22"/>
        </w:rPr>
        <w:t>ευρώ.</w:t>
      </w:r>
    </w:p>
    <w:p>
      <w:pPr>
        <w:pStyle w:val="BodyText"/>
      </w:pPr>
    </w:p>
    <w:p>
      <w:pPr>
        <w:spacing w:before="159"/>
        <w:ind w:left="108" w:right="125" w:firstLine="0"/>
        <w:jc w:val="center"/>
        <w:rPr>
          <w:i/>
          <w:sz w:val="22"/>
        </w:rPr>
      </w:pPr>
      <w:r>
        <w:rPr>
          <w:i/>
          <w:sz w:val="22"/>
        </w:rPr>
        <w:t>Άρθρο 3</w:t>
      </w:r>
    </w:p>
    <w:p>
      <w:pPr>
        <w:pStyle w:val="Heading4"/>
        <w:ind w:left="280" w:right="295"/>
        <w:jc w:val="center"/>
      </w:pPr>
      <w:r>
        <w:rPr/>
        <w:t>Τύποι επιχειρήσεων που λαμβάνονται υπόψη για τον υπολογισμό του αριθμού απασχολουμένων και των χρηματικών Ποσών</w:t>
      </w:r>
    </w:p>
    <w:p>
      <w:pPr>
        <w:pStyle w:val="BodyText"/>
        <w:rPr>
          <w:b/>
        </w:rPr>
      </w:pPr>
    </w:p>
    <w:p>
      <w:pPr>
        <w:pStyle w:val="ListParagraph"/>
        <w:numPr>
          <w:ilvl w:val="0"/>
          <w:numId w:val="64"/>
        </w:numPr>
        <w:tabs>
          <w:tab w:pos="461" w:val="left" w:leader="none"/>
        </w:tabs>
        <w:spacing w:line="360" w:lineRule="auto" w:before="161" w:after="0"/>
        <w:ind w:left="460" w:right="117" w:hanging="360"/>
        <w:jc w:val="both"/>
        <w:rPr>
          <w:sz w:val="22"/>
        </w:rPr>
      </w:pPr>
      <w:r>
        <w:rPr>
          <w:sz w:val="22"/>
        </w:rPr>
        <w:t>«Ανεξάρτητη επιχείρηση» είναι κάθε επιχείρηση που δεν χαρακτηρίζεται ως συνεργαζόμενη επιχείρηση κατά την έννοια της παραγράφου 2 ή ως συνδεδεμένη επιχείρηση κατά την έννοια της παραγράφου</w:t>
      </w:r>
      <w:r>
        <w:rPr>
          <w:spacing w:val="-20"/>
          <w:sz w:val="22"/>
        </w:rPr>
        <w:t> </w:t>
      </w:r>
      <w:r>
        <w:rPr>
          <w:sz w:val="22"/>
        </w:rPr>
        <w:t>3.</w:t>
      </w:r>
    </w:p>
    <w:p>
      <w:pPr>
        <w:pStyle w:val="BodyText"/>
      </w:pPr>
    </w:p>
    <w:p>
      <w:pPr>
        <w:pStyle w:val="ListParagraph"/>
        <w:numPr>
          <w:ilvl w:val="0"/>
          <w:numId w:val="64"/>
        </w:numPr>
        <w:tabs>
          <w:tab w:pos="461" w:val="left" w:leader="none"/>
        </w:tabs>
        <w:spacing w:line="360" w:lineRule="auto" w:before="159" w:after="0"/>
        <w:ind w:left="460" w:right="114" w:hanging="360"/>
        <w:jc w:val="both"/>
        <w:rPr>
          <w:sz w:val="22"/>
        </w:rPr>
      </w:pPr>
      <w:r>
        <w:rPr>
          <w:sz w:val="22"/>
        </w:rPr>
        <w:t>«Συνεργαζόμενες επιχειρήσεις» είναι όλες οι επιχειρήσεις που δεν χαρακτηρίζονται ως συνδεδεμένες κατά την έννοια της παραγράφου 3 και μεταξύ των οποίων υπάρχει η ακόλουθη σχέση: μια επιχείρηση (ανάντη επιχείρηση) κατέχει, μόνη ή από κοινού με μία ή περισσότερες συνδεδεμένες επιχειρήσεις κατά την έννοια της παραγράφου 3, το 25 % ή περισσότερο του κεφαλαίου ή των δικαιωμάτων ψήφου μιας άλλης επιχείρησης (κατάντη</w:t>
      </w:r>
      <w:r>
        <w:rPr>
          <w:spacing w:val="-6"/>
          <w:sz w:val="22"/>
        </w:rPr>
        <w:t> </w:t>
      </w:r>
      <w:r>
        <w:rPr>
          <w:sz w:val="22"/>
        </w:rPr>
        <w:t>επιχείρησης).</w:t>
      </w:r>
    </w:p>
    <w:p>
      <w:pPr>
        <w:spacing w:after="0" w:line="360" w:lineRule="auto"/>
        <w:jc w:val="both"/>
        <w:rPr>
          <w:sz w:val="22"/>
        </w:rPr>
        <w:sectPr>
          <w:footerReference w:type="default" r:id="rId81"/>
          <w:pgSz w:w="11910" w:h="16840"/>
          <w:pgMar w:footer="734" w:header="748" w:top="1420" w:bottom="920" w:left="980" w:right="960"/>
          <w:pgNumType w:start="1"/>
        </w:sectPr>
      </w:pPr>
    </w:p>
    <w:p>
      <w:pPr>
        <w:pStyle w:val="BodyText"/>
        <w:spacing w:before="7"/>
        <w:rPr>
          <w:sz w:val="17"/>
        </w:rPr>
      </w:pPr>
    </w:p>
    <w:p>
      <w:pPr>
        <w:pStyle w:val="BodyText"/>
        <w:spacing w:line="276" w:lineRule="auto" w:before="57"/>
        <w:ind w:left="460" w:right="114"/>
        <w:jc w:val="both"/>
      </w:pPr>
      <w:r>
        <w:rPr/>
        <w:t>Ωστόσο, μια επιχείρηση μπορεί να χαρακτηριστεί ως ανεξάρτητη, μη έχουσα δηλαδή συνεργαζόμενες επιχειρήσεις, ακόμη και εάν το όριο του 25 % καλύπτεται ή υπερκαλύπτεται, εφόσον το ποσοστό αυτό ελέγχεται από τις ακόλουθες κατηγορίες επενδυτών και υπό την προϋπόθεση ότι αυτοί δεν είναι, μεμονωμένα ή από κοινού, συνδεδεμένοι κατά την έννοια της παραγράφου 3 με την εν λόγω επιχείρηση:</w:t>
      </w:r>
    </w:p>
    <w:p>
      <w:pPr>
        <w:pStyle w:val="BodyText"/>
        <w:spacing w:line="360" w:lineRule="auto" w:before="118"/>
        <w:ind w:left="808" w:right="115" w:hanging="356"/>
        <w:jc w:val="both"/>
      </w:pPr>
      <w:r>
        <w:rPr/>
        <w:t>α) δημόσιες εταιρείες συμμετοχών, εταιρείες επιχειρηματικού κεφαλαίου, φυσικά πρόσωπα ή ομάδες φυσικών προσώπων που ασκούν συστηματικά δραστηριότητες σε επενδύσεις επιχειρηματικού κεφαλαίου και επενδύουν ίδια κεφάλαια σε μη εισηγμένες στο χρηματιστήριο επιχειρήσεις (business angels), εφόσον το σύνολο της επένδυσης αυτής σε μία επιχείρηση δεν υπερβαίνει τα 1 250 000 ευρώ·</w:t>
      </w:r>
    </w:p>
    <w:p>
      <w:pPr>
        <w:pStyle w:val="BodyText"/>
        <w:ind w:left="453"/>
        <w:jc w:val="both"/>
      </w:pPr>
      <w:r>
        <w:rPr/>
        <w:t>β)   πανεπιστήμια ή ερευνητικά κέντρα μη κερδοσκοπικού σκοπού·</w:t>
      </w:r>
    </w:p>
    <w:p>
      <w:pPr>
        <w:pStyle w:val="BodyText"/>
        <w:spacing w:before="134"/>
        <w:ind w:left="453"/>
        <w:jc w:val="both"/>
      </w:pPr>
      <w:r>
        <w:rPr/>
        <w:t>γ)    θεσμικοί επενδυτές, συμπεριλαμβανομένων των ταμείων περιφερειακής ανάπτυξης·</w:t>
      </w:r>
    </w:p>
    <w:p>
      <w:pPr>
        <w:pStyle w:val="BodyText"/>
        <w:spacing w:line="360" w:lineRule="auto" w:before="132"/>
        <w:ind w:left="808" w:right="120" w:hanging="356"/>
        <w:jc w:val="both"/>
      </w:pPr>
      <w:r>
        <w:rPr/>
        <w:t>δ) αυτόνομες τοπικές αρχές με ετήσιο προϋπολογισμό μικρότερο από 10 εκατ. ευρώ και με λιγότερους από 5 000 κατοίκους.</w:t>
      </w:r>
    </w:p>
    <w:p>
      <w:pPr>
        <w:pStyle w:val="BodyText"/>
      </w:pPr>
    </w:p>
    <w:p>
      <w:pPr>
        <w:pStyle w:val="ListParagraph"/>
        <w:numPr>
          <w:ilvl w:val="0"/>
          <w:numId w:val="64"/>
        </w:numPr>
        <w:tabs>
          <w:tab w:pos="461" w:val="left" w:leader="none"/>
        </w:tabs>
        <w:spacing w:line="360" w:lineRule="auto" w:before="161" w:after="0"/>
        <w:ind w:left="460" w:right="120" w:hanging="360"/>
        <w:jc w:val="left"/>
        <w:rPr>
          <w:sz w:val="22"/>
        </w:rPr>
      </w:pPr>
      <w:r>
        <w:rPr>
          <w:sz w:val="22"/>
        </w:rPr>
        <w:t>«Συνδεδεμένες επιχειρήσεις» είναι οι επιχειρήσεις που διατηρούν μεταξύ τους μία από τις ακόλουθες σχέσεις:</w:t>
      </w:r>
    </w:p>
    <w:p>
      <w:pPr>
        <w:pStyle w:val="BodyText"/>
        <w:spacing w:line="360" w:lineRule="auto"/>
        <w:ind w:left="813" w:right="120" w:hanging="356"/>
        <w:jc w:val="both"/>
      </w:pPr>
      <w:r>
        <w:rPr/>
        <w:t>α) μια επιχείρηση κατέχει την πλειοψηφία των δικαιωμάτων ψήφου των μετόχων ή  των  εταίρων  άλλης</w:t>
      </w:r>
      <w:r>
        <w:rPr>
          <w:spacing w:val="1"/>
        </w:rPr>
        <w:t> </w:t>
      </w:r>
      <w:r>
        <w:rPr/>
        <w:t>επιχείρησης·</w:t>
      </w:r>
    </w:p>
    <w:p>
      <w:pPr>
        <w:pStyle w:val="BodyText"/>
        <w:spacing w:line="360" w:lineRule="auto"/>
        <w:ind w:left="813" w:right="121" w:hanging="356"/>
        <w:jc w:val="both"/>
      </w:pPr>
      <w:r>
        <w:rPr/>
        <w:t>β) μια επιχείρηση έχει το δικαίωμα να διορίζει ή να παύει την πλειοψηφία των μελών του διοικητικού, διαχειριστικού ή εποπτικού οργάνου άλλης επιχείρησης·</w:t>
      </w:r>
    </w:p>
    <w:p>
      <w:pPr>
        <w:pStyle w:val="BodyText"/>
        <w:spacing w:line="360" w:lineRule="auto"/>
        <w:ind w:left="813" w:right="121" w:hanging="356"/>
        <w:jc w:val="both"/>
      </w:pPr>
      <w:r>
        <w:rPr/>
        <w:t>γ) μια επιχείρηση έχει το δικαίωμα να ασκεί κυριαρχική επιρροή σε άλλη επιχείρηση βάσει σύμβασης που έχει συνάψει με αυτήν ή δυνάμει ρήτρας του καταστατικού της τελευταίας</w:t>
      </w:r>
    </w:p>
    <w:p>
      <w:pPr>
        <w:pStyle w:val="BodyText"/>
        <w:spacing w:line="360" w:lineRule="auto"/>
        <w:ind w:left="813" w:right="116" w:hanging="356"/>
        <w:jc w:val="both"/>
      </w:pPr>
      <w:r>
        <w:rPr/>
        <w:t>δ) μια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 επιχείρησης.</w:t>
      </w:r>
    </w:p>
    <w:p>
      <w:pPr>
        <w:pStyle w:val="BodyText"/>
        <w:spacing w:line="276" w:lineRule="auto"/>
        <w:ind w:left="458" w:right="119"/>
        <w:jc w:val="both"/>
      </w:pPr>
      <w:r>
        <w:rPr/>
        <w:t>Τεκμαίρεται ότι δεν υπάρχει κυριαρχική επιρροή, εφόσον οι επενδυτές που αναφέρονται στην παράγραφο 2 δεύτερο εδάφιο δεν υπεισέρχονται άμεσα ή έμμεσα στη διαχείριση της εξεταζόμενης επιχείρησης, με την επιφύλαξη των δικαιωμάτων που έχουν με την ιδιότητά τους ως μετόχων ή εταίρων.</w:t>
      </w:r>
    </w:p>
    <w:p>
      <w:pPr>
        <w:pStyle w:val="BodyText"/>
        <w:spacing w:line="276" w:lineRule="auto" w:before="120"/>
        <w:ind w:left="458" w:right="115"/>
        <w:jc w:val="both"/>
      </w:pPr>
      <w:r>
        <w:rPr/>
        <w:t>Συνδεδεμένες θεωρούνται επίσης οι επιχειρήσεις που διατηρούν μια από τις σχέσεις που αναφέρονται στο πρώτο εδάφιο μέσω μιας ή περισσότερων άλλων επιχειρήσεων ή μέσω οποιουδήποτε από τους επενδυτές που αναφέρονται στην παράγραφο 2.</w:t>
      </w:r>
    </w:p>
    <w:p>
      <w:pPr>
        <w:pStyle w:val="BodyText"/>
        <w:spacing w:line="276" w:lineRule="auto" w:before="120"/>
        <w:ind w:left="458" w:right="117"/>
        <w:jc w:val="both"/>
      </w:pPr>
      <w:r>
        <w:rPr/>
        <w:t>Οι επιχειρήσεις που διατηρούν μια από τις εν λόγω σχέσεις μέσω φυσικού προσώπου ή ομάδας φυσικών προσώπων που ενεργούν από κοινού θεωρούνται επίσης συνδεδεμένες επιχειρήσεις, εφόσον ασκούν το σύνολο ή τμήμα των δραστηριοτήτων τους στην ίδια αγορά ή σε όμορες αγορές.</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458" w:right="162"/>
      </w:pPr>
      <w:r>
        <w:rPr/>
        <w:t>Ως «όμορη αγορά» νοείται η αγορά προϊόντος ή υπηρεσίας που βρίσκεται αμέσως ανάντη ή κατάντη της σχετικής</w:t>
      </w:r>
      <w:r>
        <w:rPr>
          <w:spacing w:val="-5"/>
        </w:rPr>
        <w:t> </w:t>
      </w:r>
      <w:r>
        <w:rPr/>
        <w:t>αγοράς.</w:t>
      </w:r>
    </w:p>
    <w:p>
      <w:pPr>
        <w:pStyle w:val="BodyText"/>
      </w:pPr>
    </w:p>
    <w:p>
      <w:pPr>
        <w:pStyle w:val="BodyText"/>
        <w:spacing w:before="10"/>
      </w:pPr>
    </w:p>
    <w:p>
      <w:pPr>
        <w:pStyle w:val="ListParagraph"/>
        <w:numPr>
          <w:ilvl w:val="0"/>
          <w:numId w:val="64"/>
        </w:numPr>
        <w:tabs>
          <w:tab w:pos="461" w:val="left" w:leader="none"/>
        </w:tabs>
        <w:spacing w:line="360" w:lineRule="auto" w:before="1" w:after="0"/>
        <w:ind w:left="460" w:right="118" w:hanging="360"/>
        <w:jc w:val="both"/>
        <w:rPr>
          <w:sz w:val="22"/>
        </w:rPr>
      </w:pPr>
      <w:r>
        <w:rPr>
          <w:sz w:val="22"/>
        </w:rPr>
        <w:t>Εκτός από τις περιπτώσεις που ορίζονται στην παράγραφο 2 δεύτερο εδάφιο, μια επιχείρηση δεν μπορεί να θεωρηθεί ΜΜΕ εάν το 25 % ή περισσότερο του κεφαλαίου της ή των δικαιωμάτων ψήφου της ελέγχεται, άμεσα ή έμμεσα, από έναν ή περισσότερους δημόσιους φορείς, μεμονωμένα ή από κοινού.</w:t>
      </w:r>
    </w:p>
    <w:p>
      <w:pPr>
        <w:pStyle w:val="BodyText"/>
      </w:pPr>
    </w:p>
    <w:p>
      <w:pPr>
        <w:pStyle w:val="ListParagraph"/>
        <w:numPr>
          <w:ilvl w:val="0"/>
          <w:numId w:val="64"/>
        </w:numPr>
        <w:tabs>
          <w:tab w:pos="461" w:val="left" w:leader="none"/>
        </w:tabs>
        <w:spacing w:line="360" w:lineRule="auto" w:before="159" w:after="0"/>
        <w:ind w:left="460" w:right="113" w:hanging="360"/>
        <w:jc w:val="both"/>
        <w:rPr>
          <w:sz w:val="22"/>
        </w:rPr>
      </w:pPr>
      <w:r>
        <w:rPr>
          <w:sz w:val="22"/>
        </w:rPr>
        <w:t>Μια επιχείρηση μπορεί να υποβάλει δήλωση σχετικά με την ιδιότητά της ως ανεξάρτητης, συνεργαζόμενης ή συνδεδεμένης επιχείρησης, καθώς και σχετικά με τα στοιχεία που αφορούν τα αριθμητικά όρια που αναφέρονται στο άρθρο 2. Η δήλωση αυτή μπορεί να υποβληθεί ακόμη και εάν η διασπορά κεφαλαίου δεν επιτρέπει να καθοριστεί επακριβώς ποιος το κατέχει, οπότε η επιχείρηση δηλώνει υπεύθυνα ότι μπορεί εύλογα να υποθέσει ότι δεν ανήκει, κατά ποσοστό 25 % ή περισσότερο, σε μια επιχείρηση ή, από κοινού, σε περισσότερες επιχειρήσεις που είναι συνδεδεμένες μεταξύ τους.  Οι δηλώσεις αυτές πραγματοποιούνται με την επιφύλαξη των ελέγχων και εξακριβώσεων που προβλέπονται από τις εθνικές ή ενωσιακές</w:t>
      </w:r>
      <w:r>
        <w:rPr>
          <w:spacing w:val="-10"/>
          <w:sz w:val="22"/>
        </w:rPr>
        <w:t> </w:t>
      </w:r>
      <w:r>
        <w:rPr>
          <w:sz w:val="22"/>
        </w:rPr>
        <w:t>διατάξεις.</w:t>
      </w:r>
    </w:p>
    <w:p>
      <w:pPr>
        <w:pStyle w:val="BodyText"/>
      </w:pPr>
    </w:p>
    <w:p>
      <w:pPr>
        <w:spacing w:before="162"/>
        <w:ind w:left="108" w:right="125" w:firstLine="0"/>
        <w:jc w:val="center"/>
        <w:rPr>
          <w:i/>
          <w:sz w:val="22"/>
        </w:rPr>
      </w:pPr>
      <w:r>
        <w:rPr>
          <w:i/>
          <w:sz w:val="22"/>
        </w:rPr>
        <w:t>Άρθρο 4</w:t>
      </w:r>
    </w:p>
    <w:p>
      <w:pPr>
        <w:pStyle w:val="Heading4"/>
        <w:spacing w:line="237" w:lineRule="auto" w:before="2"/>
        <w:ind w:left="107" w:right="125"/>
        <w:jc w:val="center"/>
      </w:pPr>
      <w:r>
        <w:rPr/>
        <w:t>Στοιχεία για τον υπολογισμό του αριθμού απασχολουμένων και των χρηματικών ποσών και περίοδος αναφοράς</w:t>
      </w:r>
    </w:p>
    <w:p>
      <w:pPr>
        <w:pStyle w:val="BodyText"/>
        <w:spacing w:before="1"/>
        <w:rPr>
          <w:b/>
        </w:rPr>
      </w:pPr>
    </w:p>
    <w:p>
      <w:pPr>
        <w:pStyle w:val="BodyText"/>
        <w:spacing w:line="276" w:lineRule="auto"/>
        <w:ind w:left="100" w:right="117"/>
        <w:jc w:val="both"/>
      </w:pPr>
      <w:r>
        <w:rPr/>
        <w:t>Τα στοιχεία που χρησιμοποιούνται για τον υπολογισμό του αριθμού απασχολουμένων και των χρηματικών ποσών είναι εκείνα που αφορούν την τελευταία κλεισμένη διαχειριστική χρήση και υπολογίζονται  σε ετήσια βάση. Λαμβάνονται υπόψη κατά την ημερομηνία κλεισίματος των λογαριασμών. Το ύψος του κύκλου εργασιών υπολογίζεται χωρίς τον φόρο προστιθέμενης αξίας (ΦΠΑ) και χωρίς άλλους έμμεσους φόρους.</w:t>
      </w:r>
    </w:p>
    <w:p>
      <w:pPr>
        <w:pStyle w:val="ListParagraph"/>
        <w:numPr>
          <w:ilvl w:val="0"/>
          <w:numId w:val="65"/>
        </w:numPr>
        <w:tabs>
          <w:tab w:pos="459" w:val="left" w:leader="none"/>
        </w:tabs>
        <w:spacing w:line="360" w:lineRule="auto" w:before="121" w:after="0"/>
        <w:ind w:left="458" w:right="114" w:hanging="358"/>
        <w:jc w:val="both"/>
        <w:rPr>
          <w:sz w:val="22"/>
        </w:rPr>
      </w:pPr>
      <w:r>
        <w:rPr>
          <w:sz w:val="22"/>
        </w:rPr>
        <w:t>Όταν, κατά την ημερομηνία κλεισίματος των λογαριασμών και σε ετήσια βάση, μια επιχείρηση βρίσκεται πάνω ή κάτω από τα όρια τα σχετικά με τον αριθμό απασχολουμένων ή τα χρηματικά όρια που αναφέρονται στο άρθρο 2, η κατάσταση αυτή έχει ως αποτέλεσμα την απόκτηση ή την απώλεια της ιδιότητας της μεσαίας, μικρής ή πολύ μικρής επιχείρησης μόνον εάν η υπέρβαση των εν λόγω ορίων επαναληφθεί επί δύο διαδοχικά οικονομικά</w:t>
      </w:r>
      <w:r>
        <w:rPr>
          <w:spacing w:val="-7"/>
          <w:sz w:val="22"/>
        </w:rPr>
        <w:t> </w:t>
      </w:r>
      <w:r>
        <w:rPr>
          <w:sz w:val="22"/>
        </w:rPr>
        <w:t>έτη.</w:t>
      </w:r>
    </w:p>
    <w:p>
      <w:pPr>
        <w:pStyle w:val="ListParagraph"/>
        <w:numPr>
          <w:ilvl w:val="0"/>
          <w:numId w:val="65"/>
        </w:numPr>
        <w:tabs>
          <w:tab w:pos="459" w:val="left" w:leader="none"/>
        </w:tabs>
        <w:spacing w:line="360" w:lineRule="auto" w:before="0" w:after="0"/>
        <w:ind w:left="458" w:right="120" w:hanging="358"/>
        <w:jc w:val="both"/>
        <w:rPr>
          <w:sz w:val="22"/>
        </w:rPr>
      </w:pPr>
      <w:r>
        <w:rPr>
          <w:sz w:val="22"/>
        </w:rPr>
        <w:t>Στην περίπτωση νεοσύστατων επιχειρήσεων, οι λογαριασμοί των οποίων δεν έχουν κλείσει ακόμη, τα στοιχεία που λαμβάνονται υπόψη πρέπει να προκύπτουν από καλόπιστες εκτιμήσεις που πραγματοποιούνται κατά τη διάρκεια του οικονομικού</w:t>
      </w:r>
      <w:r>
        <w:rPr>
          <w:spacing w:val="-13"/>
          <w:sz w:val="22"/>
        </w:rPr>
        <w:t> </w:t>
      </w:r>
      <w:r>
        <w:rPr>
          <w:sz w:val="22"/>
        </w:rPr>
        <w:t>έτους.</w:t>
      </w:r>
    </w:p>
    <w:p>
      <w:pPr>
        <w:spacing w:after="0" w:line="360" w:lineRule="auto"/>
        <w:jc w:val="both"/>
        <w:rPr>
          <w:sz w:val="22"/>
        </w:rPr>
        <w:sectPr>
          <w:pgSz w:w="11910" w:h="16840"/>
          <w:pgMar w:header="748" w:footer="734" w:top="1420" w:bottom="920" w:left="980" w:right="960"/>
        </w:sectPr>
      </w:pPr>
    </w:p>
    <w:p>
      <w:pPr>
        <w:pStyle w:val="BodyText"/>
        <w:spacing w:before="7"/>
        <w:rPr>
          <w:sz w:val="17"/>
        </w:rPr>
      </w:pPr>
    </w:p>
    <w:p>
      <w:pPr>
        <w:spacing w:before="57"/>
        <w:ind w:left="108" w:right="125" w:firstLine="0"/>
        <w:jc w:val="center"/>
        <w:rPr>
          <w:i/>
          <w:sz w:val="22"/>
        </w:rPr>
      </w:pPr>
      <w:r>
        <w:rPr>
          <w:i/>
          <w:sz w:val="22"/>
        </w:rPr>
        <w:t>Άρθρο 5</w:t>
      </w:r>
    </w:p>
    <w:p>
      <w:pPr>
        <w:pStyle w:val="Heading4"/>
        <w:ind w:left="108" w:right="125"/>
        <w:jc w:val="center"/>
      </w:pPr>
      <w:r>
        <w:rPr/>
        <w:t>Ο αριθμός απασχολουμένων</w:t>
      </w:r>
    </w:p>
    <w:p>
      <w:pPr>
        <w:pStyle w:val="BodyText"/>
        <w:rPr>
          <w:b/>
        </w:rPr>
      </w:pPr>
    </w:p>
    <w:p>
      <w:pPr>
        <w:pStyle w:val="BodyText"/>
        <w:spacing w:line="276" w:lineRule="auto"/>
        <w:ind w:left="100" w:right="116"/>
        <w:jc w:val="both"/>
      </w:pPr>
      <w:r>
        <w:rPr/>
        <w:t>Ο αριθμός απασχολούμενων ατόμων αντιστοιχεί στον αριθμό ετήσιων μονάδων εργασίας (ΕΜΕ), δηλαδή στον αριθμό εργαζομένων πλήρους απασχόλησης που εργάστηκαν στην εξεταζόμενη επιχείρηση ή για λογαριασμό αυτής επί ολόκληρο το υπόψη έτος. Τα άτομα που δεν εργάστηκαν ολόκληρο το έτος, οι εργαζόμενοι μερικής απασχόλησης, ανεξάρτητα από τη διάρκεια, και οι εργαζόμενοι σε εποχική βάση αντιστοιχούν σε κλάσματα των ΕΜΕ. Στον αριθμό απασχολουμένων περιλαμβάνονται:</w:t>
      </w:r>
    </w:p>
    <w:p>
      <w:pPr>
        <w:pStyle w:val="BodyText"/>
        <w:spacing w:before="120"/>
        <w:ind w:left="100"/>
        <w:jc w:val="both"/>
      </w:pPr>
      <w:r>
        <w:rPr/>
        <w:t>α)   οι μισθωτοί·</w:t>
      </w:r>
    </w:p>
    <w:p>
      <w:pPr>
        <w:pStyle w:val="BodyText"/>
        <w:spacing w:line="360" w:lineRule="auto" w:before="134"/>
        <w:ind w:left="458" w:right="121" w:hanging="359"/>
        <w:jc w:val="both"/>
      </w:pPr>
      <w:r>
        <w:rPr/>
        <w:t>β) τα άτομα που εργάζονται για την επιχείρηση, έχουν σχέση εξάρτησης προς αυτήν και εξομοιώνονται με μισθωτούς με βάση το εθνικό δίκαιο·</w:t>
      </w:r>
    </w:p>
    <w:p>
      <w:pPr>
        <w:pStyle w:val="BodyText"/>
        <w:ind w:left="100"/>
        <w:jc w:val="both"/>
      </w:pPr>
      <w:r>
        <w:rPr/>
        <w:t>γ)    οι ιδιοκτήτες επιχειρηματίες·</w:t>
      </w:r>
    </w:p>
    <w:p>
      <w:pPr>
        <w:pStyle w:val="BodyText"/>
        <w:spacing w:line="357" w:lineRule="auto" w:before="134"/>
        <w:ind w:left="458" w:right="122" w:hanging="359"/>
        <w:jc w:val="both"/>
      </w:pPr>
      <w:r>
        <w:rPr/>
        <w:t>δ) οι εταίροι που ασκούν τακτική δραστηριότητα εντός της επιχείρησης και προσπορίζονται οικονομικά οφέλη από την επιχείρηση.</w:t>
      </w:r>
    </w:p>
    <w:p>
      <w:pPr>
        <w:pStyle w:val="BodyText"/>
        <w:spacing w:line="276" w:lineRule="auto" w:before="3"/>
        <w:ind w:left="100" w:right="121"/>
        <w:jc w:val="both"/>
      </w:pPr>
      <w:r>
        <w:rPr/>
        <w:t>Οι μαθητευόμενοι ή οι σπουδαστές που βρίσκονται σε επαγγελματική κατάρτιση στο πλαίσιο σύμβασης μαθητείας ή επαγγελματικής κατάρτισης δεν συνυπολογίζονται στον αριθμό απασχολουμένων. Η διάρκεια των αδειών μητρότητας ή των γονικών αδειών δεν συνυπολογίζεται.</w:t>
      </w:r>
    </w:p>
    <w:p>
      <w:pPr>
        <w:pStyle w:val="BodyText"/>
      </w:pPr>
    </w:p>
    <w:p>
      <w:pPr>
        <w:pStyle w:val="BodyText"/>
        <w:spacing w:before="11"/>
      </w:pPr>
    </w:p>
    <w:p>
      <w:pPr>
        <w:spacing w:before="0"/>
        <w:ind w:left="108" w:right="125" w:firstLine="0"/>
        <w:jc w:val="center"/>
        <w:rPr>
          <w:i/>
          <w:sz w:val="22"/>
        </w:rPr>
      </w:pPr>
      <w:r>
        <w:rPr>
          <w:i/>
          <w:sz w:val="22"/>
        </w:rPr>
        <w:t>Άρθρο 6</w:t>
      </w:r>
    </w:p>
    <w:p>
      <w:pPr>
        <w:pStyle w:val="Heading4"/>
        <w:ind w:left="108" w:right="125"/>
        <w:jc w:val="center"/>
      </w:pPr>
      <w:r>
        <w:rPr/>
        <w:t>Καθορισμός των στοιχείων της επιχείρησης</w:t>
      </w:r>
    </w:p>
    <w:p>
      <w:pPr>
        <w:pStyle w:val="BodyText"/>
        <w:rPr>
          <w:b/>
        </w:rPr>
      </w:pPr>
    </w:p>
    <w:p>
      <w:pPr>
        <w:pStyle w:val="ListParagraph"/>
        <w:numPr>
          <w:ilvl w:val="0"/>
          <w:numId w:val="66"/>
        </w:numPr>
        <w:tabs>
          <w:tab w:pos="461" w:val="left" w:leader="none"/>
        </w:tabs>
        <w:spacing w:line="276" w:lineRule="auto" w:before="0" w:after="0"/>
        <w:ind w:left="460" w:right="119" w:hanging="360"/>
        <w:jc w:val="both"/>
        <w:rPr>
          <w:sz w:val="22"/>
        </w:rPr>
      </w:pPr>
      <w:r>
        <w:rPr>
          <w:sz w:val="22"/>
        </w:rPr>
        <w:t>Στην περίπτωση ανεξάρτητης επιχείρησης, ο καθορισμός των στοιχείων, συμπεριλαμβανομένου του αριθμού απασχολουμένων, πραγματοποιείται αποκλειστικά με βάση τους λογαριασμούς αυτής της επιχείρησης.</w:t>
      </w:r>
    </w:p>
    <w:p>
      <w:pPr>
        <w:pStyle w:val="ListParagraph"/>
        <w:numPr>
          <w:ilvl w:val="0"/>
          <w:numId w:val="66"/>
        </w:numPr>
        <w:tabs>
          <w:tab w:pos="461" w:val="left" w:leader="none"/>
        </w:tabs>
        <w:spacing w:line="276" w:lineRule="auto" w:before="120" w:after="0"/>
        <w:ind w:left="460" w:right="114" w:hanging="360"/>
        <w:jc w:val="both"/>
        <w:rPr>
          <w:sz w:val="22"/>
        </w:rPr>
      </w:pPr>
      <w:r>
        <w:rPr>
          <w:sz w:val="22"/>
        </w:rPr>
        <w:t>Στην περίπτωση επιχείρησης που συνεργάζεται ή συνδέεται με άλλες επιχειρήσεις, ο καθορισμός των στοιχείων, συμπεριλαμβανομένου του αριθμού απασχολουμένων, γίνεται με βάση τους λογαριασμούς και τα λοιπά στοιχεία της επιχείρησης, ή — εφόσον υπάρχουν— τους ενοποιημένους λογαριασμούς της επιχείρησης ή τους ενοποιημένους λογαριασμούς στους οποίους περιλαμβάνεται και η εξεταζόμενη επιχείρηση βάσει</w:t>
      </w:r>
      <w:r>
        <w:rPr>
          <w:spacing w:val="-3"/>
          <w:sz w:val="22"/>
        </w:rPr>
        <w:t> </w:t>
      </w:r>
      <w:r>
        <w:rPr>
          <w:sz w:val="22"/>
        </w:rPr>
        <w:t>ενοποίησης.</w:t>
      </w:r>
    </w:p>
    <w:p>
      <w:pPr>
        <w:pStyle w:val="BodyText"/>
        <w:spacing w:line="276" w:lineRule="auto" w:before="121"/>
        <w:ind w:left="460" w:right="118"/>
        <w:jc w:val="both"/>
      </w:pPr>
      <w:r>
        <w:rPr/>
        <w:t>Στα στοιχεία που αναφέρονται στο πρώτο εδάφιο προστίθενται τα στοιχεία των επιχειρήσεων που ενδεχομένως συνεργάζονται με την εξεταζόμενη επιχείρηση, οι οποίες βρίσκονται αμέσως ανάντη ή κατάντη της εν λόγω επιχείρησης. Τα στοιχεία συγκεντρώνονται κατ' αναλογία προς το ποσοστό συμμετοχής στο κεφάλαιο ή στα δικαιώματα ψήφου (το υψηλότερο από τα δύο αυτά ποσοστά). Σε περίπτωση διασταυρωμένης συμμετοχής, λαμβάνεται υπόψη το υψηλότερο των ποσοστών αυτών.</w:t>
      </w:r>
    </w:p>
    <w:p>
      <w:pPr>
        <w:pStyle w:val="BodyText"/>
        <w:spacing w:line="276" w:lineRule="auto" w:before="120"/>
        <w:ind w:left="460" w:right="119"/>
        <w:jc w:val="both"/>
      </w:pPr>
      <w:r>
        <w:rPr/>
        <w:t>Στα στοιχεία που αναφέρονται στο πρώτο και το δεύτερο εδάφιο προστίθεται το 100 % των στοιχείων των επιχειρήσεων που ενδεχομένως συνδέονται άμεσα ή έμμεσα με την εξεταζόμενη επιχείρηση και τα οποία δεν περιλαμβάνονται ήδη στους λογαριασμούς βάσει ενοποίησης.</w:t>
      </w:r>
    </w:p>
    <w:p>
      <w:pPr>
        <w:pStyle w:val="ListParagraph"/>
        <w:numPr>
          <w:ilvl w:val="0"/>
          <w:numId w:val="66"/>
        </w:numPr>
        <w:tabs>
          <w:tab w:pos="461" w:val="left" w:leader="none"/>
        </w:tabs>
        <w:spacing w:line="276" w:lineRule="auto" w:before="120" w:after="0"/>
        <w:ind w:left="460" w:right="115" w:hanging="360"/>
        <w:jc w:val="both"/>
        <w:rPr>
          <w:sz w:val="22"/>
        </w:rPr>
      </w:pPr>
      <w:r>
        <w:rPr>
          <w:sz w:val="22"/>
        </w:rPr>
        <w:t>Για την εφαρμογή της παραγράφου 2, τα στοιχεία των επιχειρήσεων που συνεργάζονται με την εξεταζόμενη επιχείρηση προκύπτουν από τους λογαριασμούς και τα λοιπά στοιχεία τους, ενοποιημένα εφόσον</w:t>
      </w:r>
      <w:r>
        <w:rPr>
          <w:spacing w:val="11"/>
          <w:sz w:val="22"/>
        </w:rPr>
        <w:t> </w:t>
      </w:r>
      <w:r>
        <w:rPr>
          <w:sz w:val="22"/>
        </w:rPr>
        <w:t>υπάρχουν.</w:t>
      </w:r>
      <w:r>
        <w:rPr>
          <w:spacing w:val="11"/>
          <w:sz w:val="22"/>
        </w:rPr>
        <w:t> </w:t>
      </w:r>
      <w:r>
        <w:rPr>
          <w:sz w:val="22"/>
        </w:rPr>
        <w:t>Σε</w:t>
      </w:r>
      <w:r>
        <w:rPr>
          <w:spacing w:val="12"/>
          <w:sz w:val="22"/>
        </w:rPr>
        <w:t> </w:t>
      </w:r>
      <w:r>
        <w:rPr>
          <w:sz w:val="22"/>
        </w:rPr>
        <w:t>αυτά</w:t>
      </w:r>
      <w:r>
        <w:rPr>
          <w:spacing w:val="12"/>
          <w:sz w:val="22"/>
        </w:rPr>
        <w:t> </w:t>
      </w:r>
      <w:r>
        <w:rPr>
          <w:sz w:val="22"/>
        </w:rPr>
        <w:t>προστίθεται</w:t>
      </w:r>
      <w:r>
        <w:rPr>
          <w:spacing w:val="11"/>
          <w:sz w:val="22"/>
        </w:rPr>
        <w:t> </w:t>
      </w:r>
      <w:r>
        <w:rPr>
          <w:sz w:val="22"/>
        </w:rPr>
        <w:t>το</w:t>
      </w:r>
      <w:r>
        <w:rPr>
          <w:spacing w:val="13"/>
          <w:sz w:val="22"/>
        </w:rPr>
        <w:t> </w:t>
      </w:r>
      <w:r>
        <w:rPr>
          <w:sz w:val="22"/>
        </w:rPr>
        <w:t>100</w:t>
      </w:r>
      <w:r>
        <w:rPr>
          <w:spacing w:val="13"/>
          <w:sz w:val="22"/>
        </w:rPr>
        <w:t> </w:t>
      </w:r>
      <w:r>
        <w:rPr>
          <w:sz w:val="22"/>
        </w:rPr>
        <w:t>%</w:t>
      </w:r>
      <w:r>
        <w:rPr>
          <w:spacing w:val="10"/>
          <w:sz w:val="22"/>
        </w:rPr>
        <w:t> </w:t>
      </w:r>
      <w:r>
        <w:rPr>
          <w:sz w:val="22"/>
        </w:rPr>
        <w:t>των</w:t>
      </w:r>
      <w:r>
        <w:rPr>
          <w:spacing w:val="11"/>
          <w:sz w:val="22"/>
        </w:rPr>
        <w:t> </w:t>
      </w:r>
      <w:r>
        <w:rPr>
          <w:sz w:val="22"/>
        </w:rPr>
        <w:t>στοιχείων</w:t>
      </w:r>
      <w:r>
        <w:rPr>
          <w:spacing w:val="9"/>
          <w:sz w:val="22"/>
        </w:rPr>
        <w:t> </w:t>
      </w:r>
      <w:r>
        <w:rPr>
          <w:sz w:val="22"/>
        </w:rPr>
        <w:t>των</w:t>
      </w:r>
      <w:r>
        <w:rPr>
          <w:spacing w:val="11"/>
          <w:sz w:val="22"/>
        </w:rPr>
        <w:t> </w:t>
      </w:r>
      <w:r>
        <w:rPr>
          <w:sz w:val="22"/>
        </w:rPr>
        <w:t>επιχειρήσεων</w:t>
      </w:r>
      <w:r>
        <w:rPr>
          <w:spacing w:val="11"/>
          <w:sz w:val="22"/>
        </w:rPr>
        <w:t> </w:t>
      </w:r>
      <w:r>
        <w:rPr>
          <w:sz w:val="22"/>
        </w:rPr>
        <w:t>που</w:t>
      </w:r>
      <w:r>
        <w:rPr>
          <w:spacing w:val="12"/>
          <w:sz w:val="22"/>
        </w:rPr>
        <w:t> </w:t>
      </w:r>
      <w:r>
        <w:rPr>
          <w:sz w:val="22"/>
        </w:rPr>
        <w:t>συνδέονται</w:t>
      </w:r>
      <w:r>
        <w:rPr>
          <w:spacing w:val="9"/>
          <w:sz w:val="22"/>
        </w:rPr>
        <w:t> </w:t>
      </w:r>
      <w:r>
        <w:rPr>
          <w:sz w:val="22"/>
        </w:rPr>
        <w:t>με</w:t>
      </w:r>
    </w:p>
    <w:p>
      <w:pPr>
        <w:spacing w:after="0" w:line="276" w:lineRule="auto"/>
        <w:jc w:val="both"/>
        <w:rPr>
          <w:sz w:val="22"/>
        </w:rPr>
        <w:sectPr>
          <w:pgSz w:w="11910" w:h="16840"/>
          <w:pgMar w:header="748" w:footer="734" w:top="1420" w:bottom="920" w:left="980" w:right="960"/>
        </w:sectPr>
      </w:pPr>
    </w:p>
    <w:p>
      <w:pPr>
        <w:pStyle w:val="BodyText"/>
        <w:spacing w:before="7"/>
        <w:rPr>
          <w:sz w:val="17"/>
        </w:rPr>
      </w:pPr>
    </w:p>
    <w:p>
      <w:pPr>
        <w:pStyle w:val="BodyText"/>
        <w:spacing w:line="276" w:lineRule="auto" w:before="57"/>
        <w:ind w:left="460" w:right="120"/>
        <w:jc w:val="both"/>
      </w:pPr>
      <w:r>
        <w:rPr/>
        <w:t>αυτές τις συνεργαζόμενες επιχειρήσεις, εκτός εάν τα στοιχεία τους περιλαμβάνονται ήδη βάσει ενοποίησης.</w:t>
      </w:r>
    </w:p>
    <w:p>
      <w:pPr>
        <w:pStyle w:val="BodyText"/>
        <w:spacing w:line="276" w:lineRule="auto" w:before="118"/>
        <w:ind w:left="460" w:right="117"/>
        <w:jc w:val="both"/>
      </w:pPr>
      <w:r>
        <w:rPr/>
        <w:t>Για την εφαρμογή επίσης της παραγράφου 2, τα στοιχεία των επιχειρήσεων που συνδέονται με την εξεταζόμενη επιχείρηση προκύπτουν από τους λογαριασμούς και τα λοιπά στοιχεία τους, ενοποιημένα εφόσον υπάρχουν. Στα στοιχεία αυτά προστίθενται κατ' αναλογία τα στοιχεία των επιχειρήσεων που ενδεχομένως συνεργάζονται με τις συνδεδεμένες αυτές επιχειρήσεις, οι οποίες βρίσκονται αμέσως ανάντη ή κατάντη αυτών, εάν δεν περιλαμβάνονται ήδη στους ενοποιημένους λογαριασμούς σε αναλογία τουλάχιστον ισοδύναμη με το ποσοστό που ορίζεται στην παράγραφο 2 δεύτερο εδάφιο.</w:t>
      </w:r>
    </w:p>
    <w:p>
      <w:pPr>
        <w:pStyle w:val="ListParagraph"/>
        <w:numPr>
          <w:ilvl w:val="0"/>
          <w:numId w:val="66"/>
        </w:numPr>
        <w:tabs>
          <w:tab w:pos="461" w:val="left" w:leader="none"/>
        </w:tabs>
        <w:spacing w:line="276" w:lineRule="auto" w:before="120" w:after="0"/>
        <w:ind w:left="460" w:right="114" w:hanging="360"/>
        <w:jc w:val="both"/>
        <w:rPr>
          <w:sz w:val="22"/>
        </w:rPr>
      </w:pPr>
      <w:r>
        <w:rPr>
          <w:sz w:val="22"/>
        </w:rPr>
        <w:t>Όταν ο αριθμός απασχολούμενων δεδομένης επιχείρησης δεν προκύπτει από τους ενοποιημένους λογαριασμούς, υπολογίζεται συγκεντρώνοντας κατ' αναλογία τα στοιχεία από τις επιχειρήσεις που συνεργάζονται με την εν λόγω επιχείρηση, και προσθέτοντας τα στοιχεία από τις επιχειρήσεις που συνδέονται</w:t>
      </w:r>
    </w:p>
    <w:p>
      <w:pPr>
        <w:spacing w:after="0" w:line="276" w:lineRule="auto"/>
        <w:jc w:val="both"/>
        <w:rPr>
          <w:sz w:val="22"/>
        </w:rPr>
        <w:sectPr>
          <w:pgSz w:w="11910" w:h="16840"/>
          <w:pgMar w:header="748" w:footer="734" w:top="1420" w:bottom="920" w:left="980" w:right="960"/>
        </w:sectPr>
      </w:pPr>
    </w:p>
    <w:p>
      <w:pPr>
        <w:pStyle w:val="BodyText"/>
        <w:spacing w:before="5"/>
        <w:rPr>
          <w:sz w:val="27"/>
        </w:rPr>
      </w:pPr>
    </w:p>
    <w:p>
      <w:pPr>
        <w:pStyle w:val="Heading4"/>
        <w:spacing w:before="57"/>
        <w:ind w:left="4109" w:right="291" w:hanging="3781"/>
        <w:jc w:val="left"/>
      </w:pPr>
      <w:r>
        <w:rPr/>
        <w:t>ΠΑΡΑΡΤΗΜΑ V: ΥΠΟΔΕΙΓΜΑ ΔΗΛΩΣΗΣ ΣΧΕΤΙΚΑ ΜΕ ΤΑ ΣΤΟΙΧΕΙΑ ΠΟΥ ΑΦΟΡΟΥΝ ΤΗΝ ΙΔΙΟΤΗΤΑ ΜΜΕ ΜΙΑΣ ΕΠΙΧΕΙΡΗΣΗΣ</w:t>
      </w:r>
    </w:p>
    <w:p>
      <w:pPr>
        <w:pStyle w:val="BodyText"/>
        <w:spacing w:before="11"/>
        <w:rPr>
          <w:b/>
          <w:sz w:val="29"/>
        </w:rPr>
      </w:pPr>
    </w:p>
    <w:p>
      <w:pPr>
        <w:spacing w:before="0"/>
        <w:ind w:left="100" w:right="0" w:firstLine="0"/>
        <w:jc w:val="left"/>
        <w:rPr>
          <w:b/>
          <w:sz w:val="22"/>
        </w:rPr>
      </w:pPr>
      <w:r>
        <w:rPr>
          <w:b/>
          <w:sz w:val="22"/>
        </w:rPr>
        <w:t>Ακριβή στοιχεία της επιχείρησης</w:t>
      </w:r>
    </w:p>
    <w:p>
      <w:pPr>
        <w:pStyle w:val="BodyText"/>
        <w:spacing w:before="10"/>
        <w:rPr>
          <w:b/>
          <w:sz w:val="20"/>
        </w:rPr>
      </w:pPr>
    </w:p>
    <w:p>
      <w:pPr>
        <w:pStyle w:val="BodyText"/>
        <w:spacing w:line="360" w:lineRule="auto"/>
        <w:ind w:left="100" w:right="2912"/>
      </w:pPr>
      <w:r>
        <w:rPr/>
        <w:t>Επωνυμία ή εταιρική επωνυμία:………………………………………………………………….… Διεύθυνση της εταιρικής έδρας: ………………………………….………………………………..</w:t>
      </w:r>
    </w:p>
    <w:p>
      <w:pPr>
        <w:pStyle w:val="BodyText"/>
        <w:spacing w:before="96"/>
        <w:ind w:left="100"/>
      </w:pPr>
      <w:r>
        <w:rPr/>
        <w:t>Αριθ. μητρώου ή ΦΠΑ (</w:t>
      </w:r>
      <w:r>
        <w:rPr>
          <w:position w:val="10"/>
          <w:sz w:val="14"/>
        </w:rPr>
        <w:t>1</w:t>
      </w:r>
      <w:r>
        <w:rPr/>
        <w:t>): ………………………………………………………….………………….</w:t>
      </w:r>
    </w:p>
    <w:p>
      <w:pPr>
        <w:pStyle w:val="BodyText"/>
        <w:spacing w:before="231"/>
        <w:ind w:left="100"/>
      </w:pPr>
      <w:r>
        <w:rPr/>
        <w:t>Ονοματεπώνυμο και τίτλος του ή των κύριων διευθυντικών στελεχών (</w:t>
      </w:r>
      <w:r>
        <w:rPr>
          <w:position w:val="10"/>
          <w:sz w:val="14"/>
        </w:rPr>
        <w:t>2</w:t>
      </w:r>
      <w:r>
        <w:rPr/>
        <w:t>)</w:t>
      </w:r>
    </w:p>
    <w:p>
      <w:pPr>
        <w:pStyle w:val="BodyText"/>
        <w:spacing w:before="134"/>
        <w:ind w:left="100"/>
      </w:pPr>
      <w:r>
        <w:rPr/>
        <w:t>………………………………………...…………..………………………………………………………………..</w:t>
      </w:r>
    </w:p>
    <w:p>
      <w:pPr>
        <w:pStyle w:val="BodyText"/>
        <w:spacing w:before="10"/>
        <w:rPr>
          <w:sz w:val="20"/>
        </w:rPr>
      </w:pPr>
    </w:p>
    <w:p>
      <w:pPr>
        <w:spacing w:before="0"/>
        <w:ind w:left="100" w:right="0" w:firstLine="0"/>
        <w:jc w:val="left"/>
        <w:rPr>
          <w:i/>
          <w:sz w:val="22"/>
        </w:rPr>
      </w:pPr>
      <w:r>
        <w:rPr>
          <w:b/>
          <w:sz w:val="22"/>
        </w:rPr>
        <w:t>Τύπος της επιχείρησης </w:t>
      </w:r>
      <w:r>
        <w:rPr>
          <w:i/>
          <w:sz w:val="22"/>
        </w:rPr>
        <w:t>(βλέπε επεξηγητικό σημείωμα)</w:t>
      </w:r>
    </w:p>
    <w:p>
      <w:pPr>
        <w:pStyle w:val="BodyText"/>
        <w:spacing w:before="8"/>
        <w:rPr>
          <w:i/>
          <w:sz w:val="20"/>
        </w:rPr>
      </w:pPr>
    </w:p>
    <w:p>
      <w:pPr>
        <w:pStyle w:val="BodyText"/>
        <w:ind w:left="100"/>
      </w:pPr>
      <w:r>
        <w:rPr/>
        <w:t>Σημειώστε με ένα σταυρό την περίπτωση ή τις περιπτώσεις στις οποίες υπάγεται η αιτούσα επιχείρηση:</w:t>
      </w:r>
    </w:p>
    <w:p>
      <w:pPr>
        <w:pStyle w:val="BodyText"/>
        <w:rPr>
          <w:sz w:val="20"/>
        </w:rPr>
      </w:pPr>
    </w:p>
    <w:p>
      <w:pPr>
        <w:pStyle w:val="BodyText"/>
        <w:spacing w:before="1"/>
        <w:rPr>
          <w:sz w:val="26"/>
        </w:rPr>
      </w:pPr>
    </w:p>
    <w:p>
      <w:pPr>
        <w:spacing w:after="0"/>
        <w:rPr>
          <w:sz w:val="26"/>
        </w:rPr>
        <w:sectPr>
          <w:footerReference w:type="default" r:id="rId82"/>
          <w:pgSz w:w="11910" w:h="16840"/>
          <w:pgMar w:footer="734" w:header="748" w:top="1420" w:bottom="920" w:left="980" w:right="1000"/>
          <w:pgNumType w:start="1"/>
        </w:sectPr>
      </w:pPr>
    </w:p>
    <w:p>
      <w:pPr>
        <w:pStyle w:val="BodyText"/>
      </w:pPr>
    </w:p>
    <w:p>
      <w:pPr>
        <w:pStyle w:val="BodyText"/>
      </w:pPr>
    </w:p>
    <w:p>
      <w:pPr>
        <w:pStyle w:val="BodyText"/>
        <w:spacing w:before="1"/>
        <w:rPr>
          <w:sz w:val="25"/>
        </w:rPr>
      </w:pPr>
    </w:p>
    <w:p>
      <w:pPr>
        <w:pStyle w:val="BodyText"/>
        <w:spacing w:before="1"/>
        <w:ind w:left="1341"/>
      </w:pPr>
      <w:r>
        <w:rPr/>
        <w:pict>
          <v:rect style="position:absolute;margin-left:72.75pt;margin-top:1.263644pt;width:9pt;height:9pt;mso-position-horizontal-relative:page;mso-position-vertical-relative:paragraph;z-index:1384" filled="false" stroked="true" strokeweight=".75pt" strokecolor="#000000">
            <v:stroke dashstyle="solid"/>
            <w10:wrap type="none"/>
          </v:rect>
        </w:pict>
      </w:r>
      <w:r>
        <w:rPr/>
        <w:t>Ανεξάρτητη επιχείρηση</w:t>
      </w:r>
    </w:p>
    <w:p>
      <w:pPr>
        <w:pStyle w:val="BodyText"/>
        <w:spacing w:line="360" w:lineRule="auto" w:before="57"/>
        <w:ind w:left="526" w:right="149"/>
        <w:jc w:val="both"/>
      </w:pPr>
      <w:r>
        <w:rPr/>
        <w:br w:type="column"/>
      </w:r>
      <w:r>
        <w:rPr/>
        <w:t>Στην περίπτωση αυτή, τα στοιχεία που αναγράφονται παρακάτω προκύπτουν από τους λογαριασμούς της επιχείρησης και μόνον. Να συμπληρωθεί μόνο η δήλωση χωρίς παραρτήματα.</w:t>
      </w:r>
    </w:p>
    <w:p>
      <w:pPr>
        <w:spacing w:after="0" w:line="360" w:lineRule="auto"/>
        <w:jc w:val="both"/>
        <w:sectPr>
          <w:type w:val="continuous"/>
          <w:pgSz w:w="11910" w:h="16840"/>
          <w:pgMar w:top="800" w:bottom="1580" w:left="980" w:right="1000"/>
          <w:cols w:num="2" w:equalWidth="0">
            <w:col w:w="3447" w:space="40"/>
            <w:col w:w="6443"/>
          </w:cols>
        </w:sectPr>
      </w:pPr>
    </w:p>
    <w:p>
      <w:pPr>
        <w:pStyle w:val="BodyText"/>
        <w:spacing w:before="1"/>
        <w:rPr>
          <w:sz w:val="25"/>
        </w:rPr>
      </w:pPr>
    </w:p>
    <w:p>
      <w:pPr>
        <w:spacing w:after="0"/>
        <w:rPr>
          <w:sz w:val="25"/>
        </w:rPr>
        <w:sectPr>
          <w:type w:val="continuous"/>
          <w:pgSz w:w="11910" w:h="16840"/>
          <w:pgMar w:top="800" w:bottom="1580" w:left="980" w:right="1000"/>
        </w:sectPr>
      </w:pPr>
    </w:p>
    <w:p>
      <w:pPr>
        <w:pStyle w:val="BodyText"/>
      </w:pPr>
    </w:p>
    <w:p>
      <w:pPr>
        <w:pStyle w:val="BodyText"/>
      </w:pPr>
    </w:p>
    <w:p>
      <w:pPr>
        <w:pStyle w:val="BodyText"/>
      </w:pPr>
    </w:p>
    <w:p>
      <w:pPr>
        <w:pStyle w:val="BodyText"/>
        <w:spacing w:before="7"/>
        <w:rPr>
          <w:sz w:val="19"/>
        </w:rPr>
      </w:pPr>
    </w:p>
    <w:p>
      <w:pPr>
        <w:pStyle w:val="BodyText"/>
        <w:ind w:left="1341"/>
      </w:pPr>
      <w:r>
        <w:rPr/>
        <w:pict>
          <v:rect style="position:absolute;margin-left:74.25pt;margin-top:1.693628pt;width:9pt;height:9pt;mso-position-horizontal-relative:page;mso-position-vertical-relative:paragraph;z-index:1432" filled="false" stroked="true" strokeweight=".75pt" strokecolor="#000000">
            <v:stroke dashstyle="solid"/>
            <w10:wrap type="none"/>
          </v:rect>
        </w:pict>
      </w:r>
      <w:r>
        <w:rPr/>
        <w:t>Συνεργαζόμενη επιχείρηση</w:t>
      </w:r>
    </w:p>
    <w:p>
      <w:pPr>
        <w:pStyle w:val="BodyText"/>
        <w:tabs>
          <w:tab w:pos="1103" w:val="left" w:leader="none"/>
          <w:tab w:pos="2988" w:val="left" w:leader="none"/>
          <w:tab w:pos="3919" w:val="left" w:leader="none"/>
          <w:tab w:pos="4788" w:val="left" w:leader="none"/>
        </w:tabs>
        <w:spacing w:line="360" w:lineRule="auto" w:before="56"/>
        <w:ind w:left="191" w:right="148"/>
        <w:jc w:val="both"/>
      </w:pPr>
      <w:r>
        <w:rPr/>
        <w:br w:type="column"/>
      </w:r>
      <w:r>
        <w:rPr/>
        <w:t>Να</w:t>
        <w:tab/>
        <w:t>συμπληρωθεί</w:t>
        <w:tab/>
        <w:t>και</w:t>
        <w:tab/>
        <w:t>να</w:t>
        <w:tab/>
        <w:t>επισυναφθεί το παράρτημα (και τα τυχόν συμπληρωματικά δελτία). Στη συνέχεια να συμπληρωθεί η δήλωση και το αποτέλεσμα των υπολογισμών να μεταφερθεί στον πίνακα που παρατίθεται παρακάτω.</w:t>
      </w:r>
    </w:p>
    <w:p>
      <w:pPr>
        <w:spacing w:after="0" w:line="360" w:lineRule="auto"/>
        <w:jc w:val="both"/>
        <w:sectPr>
          <w:type w:val="continuous"/>
          <w:pgSz w:w="11910" w:h="16840"/>
          <w:pgMar w:top="800" w:bottom="1580" w:left="980" w:right="1000"/>
          <w:cols w:num="2" w:equalWidth="0">
            <w:col w:w="3782" w:space="40"/>
            <w:col w:w="6108"/>
          </w:cols>
        </w:sectPr>
      </w:pPr>
    </w:p>
    <w:p>
      <w:pPr>
        <w:pStyle w:val="BodyText"/>
        <w:spacing w:before="4"/>
        <w:rPr>
          <w:sz w:val="25"/>
        </w:rPr>
      </w:pPr>
    </w:p>
    <w:p>
      <w:pPr>
        <w:spacing w:after="0"/>
        <w:rPr>
          <w:sz w:val="25"/>
        </w:rPr>
        <w:sectPr>
          <w:type w:val="continuous"/>
          <w:pgSz w:w="11910" w:h="16840"/>
          <w:pgMar w:top="800" w:bottom="1580" w:left="980" w:right="1000"/>
        </w:sectPr>
      </w:pPr>
    </w:p>
    <w:p>
      <w:pPr>
        <w:pStyle w:val="BodyText"/>
        <w:spacing w:before="1"/>
        <w:rPr>
          <w:sz w:val="21"/>
        </w:rPr>
      </w:pPr>
    </w:p>
    <w:p>
      <w:pPr>
        <w:pStyle w:val="BodyText"/>
        <w:spacing w:before="1"/>
        <w:ind w:left="1341"/>
      </w:pPr>
      <w:r>
        <w:rPr/>
        <w:pict>
          <v:rect style="position:absolute;margin-left:75.75pt;margin-top:2.773637pt;width:9pt;height:9.0pt;mso-position-horizontal-relative:page;mso-position-vertical-relative:paragraph;z-index:1408" filled="false" stroked="true" strokeweight=".75pt" strokecolor="#000000">
            <v:stroke dashstyle="solid"/>
            <w10:wrap type="none"/>
          </v:rect>
        </w:pict>
      </w:r>
      <w:r>
        <w:rPr/>
        <w:t>Συνδεδεμένη επιχείρηση</w:t>
      </w:r>
    </w:p>
    <w:p>
      <w:pPr>
        <w:pStyle w:val="BodyText"/>
        <w:spacing w:line="357" w:lineRule="auto" w:before="56"/>
        <w:ind w:left="389" w:right="1"/>
      </w:pPr>
      <w:r>
        <w:rPr/>
        <w:br w:type="column"/>
      </w:r>
      <w:r>
        <w:rPr/>
        <w:t>Το αποτέλεσμα των υπολογισμών να μεταφερθεί στον πίνακα που παρατίθεται παρακάτω</w:t>
      </w:r>
    </w:p>
    <w:p>
      <w:pPr>
        <w:spacing w:after="0" w:line="357" w:lineRule="auto"/>
        <w:sectPr>
          <w:type w:val="continuous"/>
          <w:pgSz w:w="11910" w:h="16840"/>
          <w:pgMar w:top="800" w:bottom="1580" w:left="980" w:right="1000"/>
          <w:cols w:num="2" w:equalWidth="0">
            <w:col w:w="3584" w:space="40"/>
            <w:col w:w="6306"/>
          </w:cols>
        </w:sectPr>
      </w:pPr>
    </w:p>
    <w:p>
      <w:pPr>
        <w:pStyle w:val="BodyText"/>
        <w:spacing w:before="2"/>
        <w:rPr>
          <w:sz w:val="18"/>
        </w:rPr>
      </w:pPr>
    </w:p>
    <w:p>
      <w:pPr>
        <w:spacing w:before="52"/>
        <w:ind w:left="2131" w:right="0" w:firstLine="0"/>
        <w:jc w:val="left"/>
        <w:rPr>
          <w:b/>
          <w:sz w:val="24"/>
        </w:rPr>
      </w:pPr>
      <w:r>
        <w:rPr>
          <w:b/>
          <w:sz w:val="24"/>
        </w:rPr>
        <w:t>Στοιχεία για τον προσδιορισμό της κατηγορίας επιχείρησης</w:t>
      </w:r>
    </w:p>
    <w:p>
      <w:pPr>
        <w:pStyle w:val="BodyText"/>
        <w:spacing w:before="143"/>
        <w:ind w:left="240"/>
      </w:pPr>
      <w:r>
        <w:rPr/>
        <w:t>Τα στοιχεία υπολογίζονται σύμφωνα με Παράρτημα Ι του ΕΚ 800/2008 σχετικά με τον ορισμό των ΜΜΕ.</w:t>
      </w:r>
    </w:p>
    <w:p>
      <w:pPr>
        <w:pStyle w:val="BodyText"/>
        <w:rPr>
          <w:sz w:val="20"/>
        </w:rPr>
      </w:pPr>
    </w:p>
    <w:p>
      <w:pPr>
        <w:pStyle w:val="BodyText"/>
        <w:spacing w:before="1"/>
        <w:rPr>
          <w:sz w:val="21"/>
        </w:rPr>
      </w:pPr>
      <w:r>
        <w:rPr/>
        <w:pict>
          <v:line style="position:absolute;mso-position-horizontal-relative:page;mso-position-vertical-relative:paragraph;z-index:1456;mso-wrap-distance-left:0;mso-wrap-distance-right:0" from="48.599998pt,15.07886pt" to="491.499998pt,15.07886pt" stroked="true" strokeweight=".48pt" strokecolor="#000000">
            <v:stroke dashstyle="solid"/>
            <w10:wrap type="topAndBottom"/>
          </v:line>
        </w:pict>
      </w:r>
    </w:p>
    <w:p>
      <w:pPr>
        <w:pStyle w:val="BodyText"/>
        <w:ind w:left="240"/>
      </w:pPr>
      <w:r>
        <w:rPr/>
        <w:t>Περίοδος αναφοράς (*):</w:t>
      </w:r>
    </w:p>
    <w:p>
      <w:pPr>
        <w:pStyle w:val="BodyText"/>
        <w:rPr>
          <w:sz w:val="20"/>
        </w:rPr>
      </w:pPr>
    </w:p>
    <w:p>
      <w:pPr>
        <w:pStyle w:val="BodyText"/>
        <w:spacing w:before="3" w:after="1"/>
        <w:rPr>
          <w:sz w:val="24"/>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3"/>
        <w:gridCol w:w="2556"/>
        <w:gridCol w:w="2952"/>
      </w:tblGrid>
      <w:tr>
        <w:trPr>
          <w:trHeight w:val="816" w:hRule="exact"/>
        </w:trPr>
        <w:tc>
          <w:tcPr>
            <w:tcW w:w="3363" w:type="dxa"/>
            <w:tcBorders>
              <w:left w:val="nil"/>
            </w:tcBorders>
          </w:tcPr>
          <w:p>
            <w:pPr>
              <w:pStyle w:val="TableParagraph"/>
              <w:spacing w:line="265" w:lineRule="exact"/>
              <w:ind w:left="122"/>
              <w:rPr>
                <w:sz w:val="22"/>
              </w:rPr>
            </w:pPr>
            <w:r>
              <w:rPr>
                <w:sz w:val="22"/>
              </w:rPr>
              <w:t>Αριθμός απασχολουμένων (ΕΜΕ)</w:t>
            </w:r>
          </w:p>
        </w:tc>
        <w:tc>
          <w:tcPr>
            <w:tcW w:w="2556" w:type="dxa"/>
          </w:tcPr>
          <w:p>
            <w:pPr>
              <w:pStyle w:val="TableParagraph"/>
              <w:spacing w:line="265" w:lineRule="exact"/>
              <w:ind w:left="103"/>
              <w:rPr>
                <w:sz w:val="22"/>
              </w:rPr>
            </w:pPr>
            <w:r>
              <w:rPr>
                <w:sz w:val="22"/>
              </w:rPr>
              <w:t>Κύκλος εργασιών (**)</w:t>
            </w:r>
          </w:p>
        </w:tc>
        <w:tc>
          <w:tcPr>
            <w:tcW w:w="2952" w:type="dxa"/>
            <w:tcBorders>
              <w:right w:val="nil"/>
            </w:tcBorders>
          </w:tcPr>
          <w:p>
            <w:pPr>
              <w:pStyle w:val="TableParagraph"/>
              <w:spacing w:line="265" w:lineRule="exact"/>
              <w:ind w:left="103"/>
              <w:rPr>
                <w:sz w:val="22"/>
              </w:rPr>
            </w:pPr>
            <w:r>
              <w:rPr>
                <w:sz w:val="22"/>
              </w:rPr>
              <w:t>Σύνολο ισολογισμού (**)</w:t>
            </w:r>
          </w:p>
        </w:tc>
      </w:tr>
      <w:tr>
        <w:trPr>
          <w:trHeight w:val="817" w:hRule="exact"/>
        </w:trPr>
        <w:tc>
          <w:tcPr>
            <w:tcW w:w="3363" w:type="dxa"/>
            <w:tcBorders>
              <w:left w:val="nil"/>
            </w:tcBorders>
          </w:tcPr>
          <w:p>
            <w:pPr/>
          </w:p>
        </w:tc>
        <w:tc>
          <w:tcPr>
            <w:tcW w:w="2556" w:type="dxa"/>
          </w:tcPr>
          <w:p>
            <w:pPr/>
          </w:p>
        </w:tc>
        <w:tc>
          <w:tcPr>
            <w:tcW w:w="2952" w:type="dxa"/>
            <w:tcBorders>
              <w:right w:val="nil"/>
            </w:tcBorders>
          </w:tcPr>
          <w:p>
            <w:pPr/>
          </w:p>
        </w:tc>
      </w:tr>
    </w:tbl>
    <w:p>
      <w:pPr>
        <w:pStyle w:val="BodyText"/>
        <w:spacing w:line="357" w:lineRule="auto"/>
        <w:ind w:left="665" w:right="180" w:hanging="426"/>
      </w:pPr>
      <w:r>
        <w:rPr/>
        <w:t>(*) Όλα τα στοιχεία πρέπει να αφορούν την τελευταία κλεισμένη διαχειριστική χρήση  και  να  υπολογίζονται σε ετήσια</w:t>
      </w:r>
      <w:r>
        <w:rPr>
          <w:spacing w:val="-5"/>
        </w:rPr>
        <w:t> </w:t>
      </w:r>
      <w:r>
        <w:rPr/>
        <w:t>βάση.</w:t>
      </w:r>
    </w:p>
    <w:p>
      <w:pPr>
        <w:pStyle w:val="BodyText"/>
        <w:spacing w:line="360" w:lineRule="auto" w:before="3"/>
        <w:ind w:left="665" w:right="118"/>
        <w:jc w:val="both"/>
      </w:pPr>
      <w:r>
        <w:rPr/>
        <w:t>Στην περίπτωση νεοσύστατων επιχειρήσεων, τα στοιχεία που λαμβάνονται υπόψη πρέπει να προκύπτουν από αξιόπιστες εκτιμήσεις που πραγματοποιούνται κατά τη διάρκεια του οικονομικού έτους.</w:t>
      </w:r>
    </w:p>
    <w:p>
      <w:pPr>
        <w:pStyle w:val="BodyText"/>
        <w:ind w:left="240"/>
      </w:pPr>
      <w:r>
        <w:rPr/>
        <w:t>(**) σε χιλιάδες ευρώ.</w:t>
      </w:r>
    </w:p>
    <w:p>
      <w:pPr>
        <w:pStyle w:val="BodyText"/>
        <w:spacing w:before="10"/>
        <w:rPr>
          <w:sz w:val="25"/>
        </w:rPr>
      </w:pPr>
      <w:r>
        <w:rPr/>
        <w:pict>
          <v:line style="position:absolute;mso-position-horizontal-relative:page;mso-position-vertical-relative:paragraph;z-index:1480;mso-wrap-distance-left:0;mso-wrap-distance-right:0" from="54pt,18.016186pt" to="416.589643pt,18.016186pt" stroked="true" strokeweight=".587640pt" strokecolor="#000000">
            <v:stroke dashstyle="solid"/>
            <w10:wrap type="topAndBottom"/>
          </v:line>
        </w:pict>
      </w:r>
    </w:p>
    <w:p>
      <w:pPr>
        <w:pStyle w:val="BodyText"/>
        <w:spacing w:line="360" w:lineRule="auto" w:before="104"/>
        <w:ind w:left="240" w:right="122"/>
        <w:jc w:val="both"/>
      </w:pPr>
      <w:r>
        <w:rPr>
          <w:b/>
        </w:rPr>
        <w:t>Προσοχή</w:t>
      </w:r>
      <w:r>
        <w:rPr/>
        <w:t>: Σε σχέση με την προηγούμενη διαχειριστική χρήση, υπάρχει μεταβολή των στοιχείων η οποία ενδέχεται να επιφέρει αλλαγή της κατηγορίας της αιτούσας επιχείρησης (πολύ μικρή, μικρή, μεσαία ή μεγάλη επιχείρηση);</w:t>
      </w:r>
    </w:p>
    <w:p>
      <w:pPr>
        <w:pStyle w:val="Heading4"/>
        <w:numPr>
          <w:ilvl w:val="0"/>
          <w:numId w:val="67"/>
        </w:numPr>
        <w:tabs>
          <w:tab w:pos="601" w:val="left" w:leader="none"/>
        </w:tabs>
        <w:spacing w:line="240" w:lineRule="auto" w:before="0" w:after="0"/>
        <w:ind w:left="600" w:right="0" w:hanging="360"/>
        <w:jc w:val="both"/>
      </w:pPr>
      <w:r>
        <w:rPr/>
        <w:t>Όχι</w:t>
      </w:r>
    </w:p>
    <w:p>
      <w:pPr>
        <w:pStyle w:val="ListParagraph"/>
        <w:numPr>
          <w:ilvl w:val="0"/>
          <w:numId w:val="67"/>
        </w:numPr>
        <w:tabs>
          <w:tab w:pos="600" w:val="left" w:leader="none"/>
          <w:tab w:pos="601" w:val="left" w:leader="none"/>
        </w:tabs>
        <w:spacing w:line="336" w:lineRule="auto" w:before="135" w:after="0"/>
        <w:ind w:left="600" w:right="117" w:hanging="360"/>
        <w:jc w:val="left"/>
        <w:rPr>
          <w:sz w:val="22"/>
        </w:rPr>
      </w:pPr>
      <w:r>
        <w:rPr>
          <w:b/>
          <w:sz w:val="22"/>
        </w:rPr>
        <w:t>Ναι </w:t>
      </w:r>
      <w:r>
        <w:rPr>
          <w:sz w:val="22"/>
        </w:rPr>
        <w:t>[σ’ αυτή την περίπτωση, να συμπληρωθεί και να επισυναφθεί δήλωση σχετικά με την προηγούμενη διαχειριστική χρήση</w:t>
      </w:r>
      <w:r>
        <w:rPr>
          <w:spacing w:val="-2"/>
          <w:sz w:val="22"/>
        </w:rPr>
        <w:t> </w:t>
      </w:r>
      <w:r>
        <w:rPr>
          <w:sz w:val="22"/>
        </w:rPr>
        <w:t>(</w:t>
      </w:r>
      <w:r>
        <w:rPr>
          <w:position w:val="10"/>
          <w:sz w:val="14"/>
        </w:rPr>
        <w:t>3</w:t>
      </w:r>
      <w:r>
        <w:rPr>
          <w:sz w:val="22"/>
        </w:rPr>
        <w:t>)]</w:t>
      </w:r>
    </w:p>
    <w:p>
      <w:pPr>
        <w:pStyle w:val="Heading4"/>
        <w:spacing w:before="15"/>
        <w:ind w:left="1722" w:right="1603"/>
        <w:jc w:val="center"/>
      </w:pPr>
      <w:r>
        <w:rPr/>
        <w:t>Υπογραφή</w:t>
      </w:r>
    </w:p>
    <w:p>
      <w:pPr>
        <w:pStyle w:val="BodyText"/>
        <w:spacing w:before="134"/>
        <w:ind w:left="240"/>
      </w:pPr>
      <w:r>
        <w:rPr/>
        <w:t>Όνομα και ιδιότητα του προσυπογράφοντος, που είναι εξουσιοδοτημένος να εκπροσωπεί την επιχείρηση:</w:t>
      </w:r>
    </w:p>
    <w:p>
      <w:pPr>
        <w:pStyle w:val="BodyText"/>
        <w:spacing w:before="135"/>
        <w:ind w:left="240"/>
      </w:pPr>
      <w:r>
        <w:rPr/>
        <w:t>.......................................................................................................................................................</w:t>
      </w:r>
    </w:p>
    <w:p>
      <w:pPr>
        <w:pStyle w:val="BodyText"/>
        <w:spacing w:line="360" w:lineRule="auto" w:before="134"/>
        <w:ind w:left="240" w:right="180"/>
      </w:pPr>
      <w:r>
        <w:rPr/>
        <w:t>Δηλώνω υπεύθυνα ότι τα στοιχεία της παρούσης δήλωσης καθώς και των ενδεχόμενων παρατημάτων της είναι ακριβή.</w:t>
      </w:r>
    </w:p>
    <w:p>
      <w:pPr>
        <w:pStyle w:val="BodyText"/>
        <w:ind w:left="240"/>
      </w:pPr>
      <w:r>
        <w:rPr/>
        <w:t>......................................(τόπος), .................................. (ημερομηνία)</w:t>
      </w:r>
    </w:p>
    <w:p>
      <w:pPr>
        <w:pStyle w:val="BodyText"/>
        <w:spacing w:before="134"/>
        <w:ind w:left="240"/>
      </w:pPr>
      <w:r>
        <w:rPr/>
        <w:t>Υπογραφή:</w:t>
      </w:r>
    </w:p>
    <w:p>
      <w:pPr>
        <w:pStyle w:val="BodyText"/>
        <w:rPr>
          <w:sz w:val="20"/>
        </w:rPr>
      </w:pPr>
    </w:p>
    <w:p>
      <w:pPr>
        <w:pStyle w:val="BodyText"/>
        <w:rPr>
          <w:sz w:val="20"/>
        </w:rPr>
      </w:pPr>
    </w:p>
    <w:p>
      <w:pPr>
        <w:pStyle w:val="BodyText"/>
        <w:spacing w:before="6"/>
        <w:rPr>
          <w:sz w:val="15"/>
        </w:rPr>
      </w:pPr>
      <w:r>
        <w:rPr/>
        <w:pict>
          <v:line style="position:absolute;mso-position-horizontal-relative:page;mso-position-vertical-relative:paragraph;z-index:1504;mso-wrap-distance-left:0;mso-wrap-distance-right:0" from="54pt,11.722135pt" to="123.959563pt,11.722135pt" stroked="true" strokeweight=".587640pt" strokecolor="#000000">
            <v:stroke dashstyle="solid"/>
            <w10:wrap type="topAndBottom"/>
          </v:line>
        </w:pict>
      </w:r>
    </w:p>
    <w:p>
      <w:pPr>
        <w:pStyle w:val="ListParagraph"/>
        <w:numPr>
          <w:ilvl w:val="1"/>
          <w:numId w:val="66"/>
        </w:numPr>
        <w:tabs>
          <w:tab w:pos="451" w:val="left" w:leader="none"/>
        </w:tabs>
        <w:spacing w:line="237" w:lineRule="exact" w:before="73" w:after="0"/>
        <w:ind w:left="450" w:right="0" w:hanging="210"/>
        <w:jc w:val="left"/>
        <w:rPr>
          <w:sz w:val="18"/>
        </w:rPr>
      </w:pPr>
      <w:r>
        <w:rPr>
          <w:sz w:val="18"/>
        </w:rPr>
        <w:t>Να προσδιοριστεί από τα κράτη μέλη σύμφωνα με τις ανάγκες</w:t>
      </w:r>
      <w:r>
        <w:rPr>
          <w:spacing w:val="-20"/>
          <w:sz w:val="18"/>
        </w:rPr>
        <w:t> </w:t>
      </w:r>
      <w:r>
        <w:rPr>
          <w:sz w:val="18"/>
        </w:rPr>
        <w:t>τους.</w:t>
      </w:r>
    </w:p>
    <w:p>
      <w:pPr>
        <w:pStyle w:val="ListParagraph"/>
        <w:numPr>
          <w:ilvl w:val="1"/>
          <w:numId w:val="66"/>
        </w:numPr>
        <w:tabs>
          <w:tab w:pos="451" w:val="left" w:leader="none"/>
        </w:tabs>
        <w:spacing w:line="220" w:lineRule="exact" w:before="0" w:after="0"/>
        <w:ind w:left="450" w:right="0" w:hanging="210"/>
        <w:jc w:val="left"/>
        <w:rPr>
          <w:sz w:val="18"/>
        </w:rPr>
      </w:pPr>
      <w:r>
        <w:rPr>
          <w:sz w:val="18"/>
        </w:rPr>
        <w:t>Πρόεδρος («Chief executive»), Γενικός Διευθυντής ή αντίστοιχη</w:t>
      </w:r>
      <w:r>
        <w:rPr>
          <w:spacing w:val="-20"/>
          <w:sz w:val="18"/>
        </w:rPr>
        <w:t> </w:t>
      </w:r>
      <w:r>
        <w:rPr>
          <w:sz w:val="18"/>
        </w:rPr>
        <w:t>θέση.</w:t>
      </w:r>
    </w:p>
    <w:p>
      <w:pPr>
        <w:pStyle w:val="ListParagraph"/>
        <w:numPr>
          <w:ilvl w:val="1"/>
          <w:numId w:val="66"/>
        </w:numPr>
        <w:tabs>
          <w:tab w:pos="451" w:val="left" w:leader="none"/>
        </w:tabs>
        <w:spacing w:line="236" w:lineRule="exact" w:before="0" w:after="0"/>
        <w:ind w:left="450" w:right="0" w:hanging="210"/>
        <w:jc w:val="left"/>
        <w:rPr>
          <w:sz w:val="18"/>
        </w:rPr>
      </w:pPr>
      <w:r>
        <w:rPr>
          <w:sz w:val="18"/>
        </w:rPr>
        <w:t>Άρθρο 4, παράγραφος 2 του Παραρτήματος Ι του ΕΚ</w:t>
      </w:r>
      <w:r>
        <w:rPr>
          <w:spacing w:val="-19"/>
          <w:sz w:val="18"/>
        </w:rPr>
        <w:t> </w:t>
      </w:r>
      <w:r>
        <w:rPr>
          <w:sz w:val="18"/>
        </w:rPr>
        <w:t>800/2008.</w:t>
      </w:r>
    </w:p>
    <w:p>
      <w:pPr>
        <w:spacing w:after="0" w:line="236" w:lineRule="exact"/>
        <w:jc w:val="left"/>
        <w:rPr>
          <w:sz w:val="18"/>
        </w:rPr>
        <w:sectPr>
          <w:pgSz w:w="11910" w:h="16840"/>
          <w:pgMar w:header="748" w:footer="734" w:top="1420" w:bottom="920" w:left="840" w:right="960"/>
        </w:sectPr>
      </w:pPr>
    </w:p>
    <w:p>
      <w:pPr>
        <w:pStyle w:val="BodyText"/>
        <w:spacing w:before="2"/>
        <w:rPr>
          <w:sz w:val="18"/>
        </w:rPr>
      </w:pPr>
    </w:p>
    <w:p>
      <w:pPr>
        <w:pStyle w:val="Heading2"/>
        <w:ind w:left="1723" w:right="1602" w:firstLine="0"/>
        <w:jc w:val="center"/>
      </w:pPr>
      <w:r>
        <w:rPr/>
        <w:t>ΠΑΡΑΡΤΗΜΑ ΤΗΣ ΔΗΛΩΣΗΣ</w:t>
      </w:r>
    </w:p>
    <w:p>
      <w:pPr>
        <w:spacing w:before="146"/>
        <w:ind w:left="1723" w:right="1603" w:firstLine="0"/>
        <w:jc w:val="center"/>
        <w:rPr>
          <w:b/>
          <w:sz w:val="24"/>
        </w:rPr>
      </w:pPr>
      <w:r>
        <w:rPr>
          <w:b/>
          <w:sz w:val="24"/>
        </w:rPr>
        <w:t>ΥΠΟΛΟΓΙΣΜΟΣ ΓΙΑ ΣΥΝΕΡΓΑΖΟΜΕΝΗ ή ΣΥΝΔΕΔΕΜΕΝΗ ΕΠΙΧΕΙΡΗΣΗ</w:t>
      </w:r>
    </w:p>
    <w:p>
      <w:pPr>
        <w:pStyle w:val="Heading4"/>
        <w:spacing w:before="143"/>
        <w:ind w:left="240"/>
        <w:jc w:val="left"/>
      </w:pPr>
      <w:r>
        <w:rPr/>
        <w:t>Επισυναπτόμενα παραρτήματα</w:t>
      </w:r>
    </w:p>
    <w:p>
      <w:pPr>
        <w:pStyle w:val="ListParagraph"/>
        <w:numPr>
          <w:ilvl w:val="2"/>
          <w:numId w:val="66"/>
        </w:numPr>
        <w:tabs>
          <w:tab w:pos="960" w:val="left" w:leader="none"/>
          <w:tab w:pos="961" w:val="left" w:leader="none"/>
        </w:tabs>
        <w:spacing w:line="355" w:lineRule="auto" w:before="135" w:after="0"/>
        <w:ind w:left="960" w:right="112" w:hanging="360"/>
        <w:jc w:val="left"/>
        <w:rPr>
          <w:sz w:val="22"/>
        </w:rPr>
      </w:pPr>
      <w:r>
        <w:rPr>
          <w:sz w:val="22"/>
        </w:rPr>
        <w:t>Παράρτημα Α εάν η επιχείρηση έχει τουλάχιστον μία συνεργαζόμενη επιχείρηση (και ενδεχόμενα συμπληρωματικά</w:t>
      </w:r>
      <w:r>
        <w:rPr>
          <w:spacing w:val="-2"/>
          <w:sz w:val="22"/>
        </w:rPr>
        <w:t> </w:t>
      </w:r>
      <w:r>
        <w:rPr>
          <w:sz w:val="22"/>
        </w:rPr>
        <w:t>δελτία)</w:t>
      </w:r>
    </w:p>
    <w:p>
      <w:pPr>
        <w:pStyle w:val="ListParagraph"/>
        <w:numPr>
          <w:ilvl w:val="2"/>
          <w:numId w:val="66"/>
        </w:numPr>
        <w:tabs>
          <w:tab w:pos="960" w:val="left" w:leader="none"/>
          <w:tab w:pos="961" w:val="left" w:leader="none"/>
        </w:tabs>
        <w:spacing w:line="352" w:lineRule="auto" w:before="6" w:after="0"/>
        <w:ind w:left="960" w:right="118" w:hanging="360"/>
        <w:jc w:val="left"/>
        <w:rPr>
          <w:sz w:val="22"/>
        </w:rPr>
      </w:pPr>
      <w:r>
        <w:rPr>
          <w:sz w:val="22"/>
        </w:rPr>
        <w:t>Παράρτημα Β εάν η επιχείρηση έχει τουλάχιστον μία συνδεδεμένη επιχείρηση (και ενδεχόμενα συμπληρωματικά</w:t>
      </w:r>
      <w:r>
        <w:rPr>
          <w:spacing w:val="-2"/>
          <w:sz w:val="22"/>
        </w:rPr>
        <w:t> </w:t>
      </w:r>
      <w:r>
        <w:rPr>
          <w:sz w:val="22"/>
        </w:rPr>
        <w:t>δελτία)</w:t>
      </w:r>
    </w:p>
    <w:p>
      <w:pPr>
        <w:pStyle w:val="BodyText"/>
        <w:spacing w:before="9"/>
        <w:rPr>
          <w:sz w:val="31"/>
        </w:rPr>
      </w:pPr>
    </w:p>
    <w:p>
      <w:pPr>
        <w:spacing w:line="360" w:lineRule="auto" w:before="1"/>
        <w:ind w:left="240" w:right="180" w:firstLine="0"/>
        <w:jc w:val="left"/>
        <w:rPr>
          <w:sz w:val="22"/>
        </w:rPr>
      </w:pPr>
      <w:r>
        <w:rPr>
          <w:b/>
          <w:sz w:val="22"/>
        </w:rPr>
        <w:t>Υπολογισμός των στοιχείων για συνεργαζόμενη ή συνδεδεμένη επιχείρηση </w:t>
      </w:r>
      <w:r>
        <w:rPr>
          <w:sz w:val="22"/>
        </w:rPr>
        <w:t>(</w:t>
      </w:r>
      <w:r>
        <w:rPr>
          <w:position w:val="10"/>
          <w:sz w:val="14"/>
        </w:rPr>
        <w:t>1</w:t>
      </w:r>
      <w:r>
        <w:rPr>
          <w:sz w:val="22"/>
        </w:rPr>
        <w:t>) (βλέπε επεξηγηματικό σημείωμα)</w:t>
      </w:r>
    </w:p>
    <w:p>
      <w:pPr>
        <w:pStyle w:val="BodyText"/>
        <w:spacing w:before="10"/>
        <w:rPr>
          <w:sz w:val="31"/>
        </w:rPr>
      </w:pPr>
    </w:p>
    <w:p>
      <w:pPr>
        <w:pStyle w:val="BodyText"/>
        <w:spacing w:before="1"/>
        <w:ind w:left="240"/>
      </w:pPr>
      <w:r>
        <w:rPr/>
        <w:pict>
          <v:line style="position:absolute;mso-position-horizontal-relative:page;mso-position-vertical-relative:paragraph;z-index:1528;mso-wrap-distance-left:0;mso-wrap-distance-right:0" from="47.880001pt,21.795036pt" to="491.500001pt,21.795036pt" stroked="true" strokeweight=".48001pt" strokecolor="#000000">
            <v:stroke dashstyle="solid"/>
            <w10:wrap type="topAndBottom"/>
          </v:line>
        </w:pict>
      </w:r>
      <w:r>
        <w:rPr/>
        <w:pict>
          <v:line style="position:absolute;mso-position-horizontal-relative:page;mso-position-vertical-relative:paragraph;z-index:-268192" from="48.599998pt,1.155051pt" to="491.499998pt,1.155051pt" stroked="true" strokeweight=".47998pt" strokecolor="#000000">
            <v:stroke dashstyle="solid"/>
            <w10:wrap type="none"/>
          </v:line>
        </w:pict>
      </w:r>
      <w:r>
        <w:rPr/>
        <w:t>Περίοδος αναφοράς (</w:t>
      </w:r>
      <w:r>
        <w:rPr>
          <w:position w:val="10"/>
          <w:sz w:val="14"/>
        </w:rPr>
        <w:t>2</w:t>
      </w:r>
      <w:r>
        <w:rPr/>
        <w:t>):</w:t>
      </w:r>
    </w:p>
    <w:p>
      <w:pPr>
        <w:pStyle w:val="BodyText"/>
        <w:spacing w:before="6"/>
        <w:rPr>
          <w:sz w:val="27"/>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9"/>
        <w:gridCol w:w="2160"/>
        <w:gridCol w:w="1620"/>
        <w:gridCol w:w="1909"/>
      </w:tblGrid>
      <w:tr>
        <w:trPr>
          <w:trHeight w:val="1109" w:hRule="exact"/>
        </w:trPr>
        <w:tc>
          <w:tcPr>
            <w:tcW w:w="3169" w:type="dxa"/>
          </w:tcPr>
          <w:p>
            <w:pPr/>
          </w:p>
        </w:tc>
        <w:tc>
          <w:tcPr>
            <w:tcW w:w="2160" w:type="dxa"/>
          </w:tcPr>
          <w:p>
            <w:pPr>
              <w:pStyle w:val="TableParagraph"/>
              <w:spacing w:line="360" w:lineRule="auto" w:before="1"/>
              <w:ind w:left="103" w:right="192"/>
              <w:rPr>
                <w:sz w:val="20"/>
              </w:rPr>
            </w:pPr>
            <w:r>
              <w:rPr>
                <w:sz w:val="20"/>
              </w:rPr>
              <w:t>Αριθμός </w:t>
            </w:r>
            <w:r>
              <w:rPr>
                <w:w w:val="95"/>
                <w:sz w:val="20"/>
              </w:rPr>
              <w:t>απασχολουμένων </w:t>
            </w:r>
            <w:r>
              <w:rPr>
                <w:sz w:val="20"/>
              </w:rPr>
              <w:t>(ΕΜΕ)</w:t>
            </w:r>
          </w:p>
        </w:tc>
        <w:tc>
          <w:tcPr>
            <w:tcW w:w="1620" w:type="dxa"/>
          </w:tcPr>
          <w:p>
            <w:pPr>
              <w:pStyle w:val="TableParagraph"/>
              <w:spacing w:line="357" w:lineRule="auto" w:before="1"/>
              <w:ind w:left="103" w:right="211"/>
              <w:rPr>
                <w:sz w:val="20"/>
              </w:rPr>
            </w:pPr>
            <w:r>
              <w:rPr>
                <w:sz w:val="20"/>
              </w:rPr>
              <w:t>Κύκλος εργασιών (*)</w:t>
            </w:r>
          </w:p>
        </w:tc>
        <w:tc>
          <w:tcPr>
            <w:tcW w:w="1909" w:type="dxa"/>
          </w:tcPr>
          <w:p>
            <w:pPr>
              <w:pStyle w:val="TableParagraph"/>
              <w:spacing w:before="1"/>
              <w:ind w:left="103"/>
              <w:rPr>
                <w:sz w:val="20"/>
              </w:rPr>
            </w:pPr>
            <w:r>
              <w:rPr>
                <w:sz w:val="20"/>
              </w:rPr>
              <w:t>Σύνολο ισολογισμού</w:t>
            </w:r>
          </w:p>
          <w:p>
            <w:pPr>
              <w:pStyle w:val="TableParagraph"/>
              <w:spacing w:before="120"/>
              <w:ind w:left="103"/>
              <w:rPr>
                <w:sz w:val="20"/>
              </w:rPr>
            </w:pPr>
            <w:r>
              <w:rPr>
                <w:sz w:val="20"/>
              </w:rPr>
              <w:t>(*)</w:t>
            </w:r>
          </w:p>
        </w:tc>
      </w:tr>
      <w:tr>
        <w:trPr>
          <w:trHeight w:val="1476" w:hRule="exact"/>
        </w:trPr>
        <w:tc>
          <w:tcPr>
            <w:tcW w:w="3169" w:type="dxa"/>
          </w:tcPr>
          <w:p>
            <w:pPr>
              <w:pStyle w:val="TableParagraph"/>
              <w:spacing w:line="246" w:lineRule="exact"/>
              <w:ind w:left="103"/>
              <w:rPr>
                <w:sz w:val="20"/>
              </w:rPr>
            </w:pPr>
            <w:r>
              <w:rPr>
                <w:sz w:val="20"/>
              </w:rPr>
              <w:t>1. Στοιχεία (</w:t>
            </w:r>
            <w:r>
              <w:rPr>
                <w:position w:val="10"/>
                <w:sz w:val="13"/>
              </w:rPr>
              <w:t>2</w:t>
            </w:r>
            <w:r>
              <w:rPr>
                <w:sz w:val="20"/>
              </w:rPr>
              <w:t>) της αιτούσας</w:t>
            </w:r>
          </w:p>
          <w:p>
            <w:pPr>
              <w:pStyle w:val="TableParagraph"/>
              <w:spacing w:line="343" w:lineRule="auto" w:before="120"/>
              <w:ind w:left="103" w:right="104"/>
              <w:rPr>
                <w:sz w:val="20"/>
              </w:rPr>
            </w:pPr>
            <w:r>
              <w:rPr>
                <w:sz w:val="20"/>
              </w:rPr>
              <w:t>επιχείρησης ή των ενοποιημένων λογαριασμών (μεταφορά από τον πίνακα Β(1) του παραρτήματος Β (</w:t>
            </w:r>
            <w:r>
              <w:rPr>
                <w:position w:val="10"/>
                <w:sz w:val="13"/>
              </w:rPr>
              <w:t>3</w:t>
            </w:r>
            <w:r>
              <w:rPr>
                <w:sz w:val="20"/>
              </w:rPr>
              <w:t>)</w:t>
            </w:r>
          </w:p>
        </w:tc>
        <w:tc>
          <w:tcPr>
            <w:tcW w:w="2160" w:type="dxa"/>
          </w:tcPr>
          <w:p>
            <w:pPr/>
          </w:p>
        </w:tc>
        <w:tc>
          <w:tcPr>
            <w:tcW w:w="1620" w:type="dxa"/>
          </w:tcPr>
          <w:p>
            <w:pPr/>
          </w:p>
        </w:tc>
        <w:tc>
          <w:tcPr>
            <w:tcW w:w="1909" w:type="dxa"/>
          </w:tcPr>
          <w:p>
            <w:pPr/>
          </w:p>
        </w:tc>
      </w:tr>
      <w:tr>
        <w:trPr>
          <w:trHeight w:val="1841" w:hRule="exact"/>
        </w:trPr>
        <w:tc>
          <w:tcPr>
            <w:tcW w:w="3169" w:type="dxa"/>
          </w:tcPr>
          <w:p>
            <w:pPr>
              <w:pStyle w:val="TableParagraph"/>
              <w:spacing w:line="350" w:lineRule="auto"/>
              <w:ind w:left="103" w:right="271"/>
              <w:rPr>
                <w:sz w:val="20"/>
              </w:rPr>
            </w:pPr>
            <w:r>
              <w:rPr>
                <w:sz w:val="20"/>
              </w:rPr>
              <w:t>2. Κατ’ αναλογία συγκεντρωτικά στοιχεία (</w:t>
            </w:r>
            <w:r>
              <w:rPr>
                <w:position w:val="10"/>
                <w:sz w:val="13"/>
              </w:rPr>
              <w:t>2</w:t>
            </w:r>
            <w:r>
              <w:rPr>
                <w:sz w:val="20"/>
              </w:rPr>
              <w:t>) όλων των (ενδεχομένων) συνεργαζόμενων επιχειρήσεων (μεταφορά από τον πίνακα Α του παραρτήματος Α)</w:t>
            </w:r>
          </w:p>
        </w:tc>
        <w:tc>
          <w:tcPr>
            <w:tcW w:w="2160" w:type="dxa"/>
          </w:tcPr>
          <w:p>
            <w:pPr/>
          </w:p>
        </w:tc>
        <w:tc>
          <w:tcPr>
            <w:tcW w:w="1620" w:type="dxa"/>
          </w:tcPr>
          <w:p>
            <w:pPr/>
          </w:p>
        </w:tc>
        <w:tc>
          <w:tcPr>
            <w:tcW w:w="1909" w:type="dxa"/>
          </w:tcPr>
          <w:p>
            <w:pPr/>
          </w:p>
        </w:tc>
      </w:tr>
      <w:tr>
        <w:trPr>
          <w:trHeight w:val="2208" w:hRule="exact"/>
        </w:trPr>
        <w:tc>
          <w:tcPr>
            <w:tcW w:w="3169" w:type="dxa"/>
          </w:tcPr>
          <w:p>
            <w:pPr>
              <w:pStyle w:val="TableParagraph"/>
              <w:spacing w:line="243" w:lineRule="exact"/>
              <w:ind w:left="103"/>
              <w:rPr>
                <w:sz w:val="20"/>
              </w:rPr>
            </w:pPr>
            <w:r>
              <w:rPr>
                <w:sz w:val="20"/>
              </w:rPr>
              <w:t>3. Άθροισμα στοιχείων (</w:t>
            </w:r>
            <w:r>
              <w:rPr>
                <w:position w:val="10"/>
                <w:sz w:val="13"/>
              </w:rPr>
              <w:t>2</w:t>
            </w:r>
            <w:r>
              <w:rPr>
                <w:sz w:val="20"/>
              </w:rPr>
              <w:t>) όλων των</w:t>
            </w:r>
          </w:p>
          <w:p>
            <w:pPr>
              <w:pStyle w:val="TableParagraph"/>
              <w:spacing w:line="360" w:lineRule="auto" w:before="123"/>
              <w:ind w:left="103"/>
              <w:rPr>
                <w:sz w:val="20"/>
              </w:rPr>
            </w:pPr>
            <w:r>
              <w:rPr>
                <w:sz w:val="20"/>
              </w:rPr>
              <w:t>(ενδεχομένων) συνδεδεμένων επιχειρήσεων που δεν περιλαμβάνονται βάσει ενοποίησης στη γραμμή [μεταφορά από τον πίνακα Β(2) του παραρτήματος Β]</w:t>
            </w:r>
          </w:p>
        </w:tc>
        <w:tc>
          <w:tcPr>
            <w:tcW w:w="2160" w:type="dxa"/>
          </w:tcPr>
          <w:p>
            <w:pPr/>
          </w:p>
        </w:tc>
        <w:tc>
          <w:tcPr>
            <w:tcW w:w="1620" w:type="dxa"/>
          </w:tcPr>
          <w:p>
            <w:pPr/>
          </w:p>
        </w:tc>
        <w:tc>
          <w:tcPr>
            <w:tcW w:w="1909" w:type="dxa"/>
          </w:tcPr>
          <w:p>
            <w:pPr/>
          </w:p>
        </w:tc>
      </w:tr>
      <w:tr>
        <w:trPr>
          <w:trHeight w:val="413" w:hRule="exact"/>
        </w:trPr>
        <w:tc>
          <w:tcPr>
            <w:tcW w:w="3169" w:type="dxa"/>
          </w:tcPr>
          <w:p>
            <w:pPr>
              <w:pStyle w:val="TableParagraph"/>
              <w:spacing w:line="265" w:lineRule="exact"/>
              <w:ind w:left="103"/>
              <w:rPr>
                <w:sz w:val="22"/>
              </w:rPr>
            </w:pPr>
            <w:r>
              <w:rPr>
                <w:sz w:val="22"/>
              </w:rPr>
              <w:t>Σύνολο (</w:t>
            </w:r>
            <w:r>
              <w:rPr>
                <w:position w:val="10"/>
                <w:sz w:val="14"/>
              </w:rPr>
              <w:t>4</w:t>
            </w:r>
            <w:r>
              <w:rPr>
                <w:sz w:val="22"/>
              </w:rPr>
              <w:t>)</w:t>
            </w:r>
          </w:p>
        </w:tc>
        <w:tc>
          <w:tcPr>
            <w:tcW w:w="2160" w:type="dxa"/>
          </w:tcPr>
          <w:p>
            <w:pPr/>
          </w:p>
        </w:tc>
        <w:tc>
          <w:tcPr>
            <w:tcW w:w="1620" w:type="dxa"/>
          </w:tcPr>
          <w:p>
            <w:pPr/>
          </w:p>
        </w:tc>
        <w:tc>
          <w:tcPr>
            <w:tcW w:w="1909" w:type="dxa"/>
          </w:tcPr>
          <w:p>
            <w:pPr/>
          </w:p>
        </w:tc>
      </w:tr>
    </w:tbl>
    <w:p>
      <w:pPr>
        <w:spacing w:line="243" w:lineRule="exact" w:before="0"/>
        <w:ind w:left="240" w:right="0" w:firstLine="0"/>
        <w:jc w:val="left"/>
        <w:rPr>
          <w:sz w:val="20"/>
        </w:rPr>
      </w:pPr>
      <w:r>
        <w:rPr>
          <w:sz w:val="20"/>
        </w:rPr>
        <w:t>(*) σε χιλιάδες ευρώ.</w:t>
      </w:r>
    </w:p>
    <w:p>
      <w:pPr>
        <w:pStyle w:val="ListParagraph"/>
        <w:numPr>
          <w:ilvl w:val="0"/>
          <w:numId w:val="68"/>
        </w:numPr>
        <w:tabs>
          <w:tab w:pos="471" w:val="left" w:leader="none"/>
        </w:tabs>
        <w:spacing w:line="240" w:lineRule="auto" w:before="87" w:after="0"/>
        <w:ind w:left="383" w:right="0" w:hanging="143"/>
        <w:jc w:val="left"/>
        <w:rPr>
          <w:sz w:val="20"/>
        </w:rPr>
      </w:pPr>
      <w:r>
        <w:rPr>
          <w:sz w:val="20"/>
        </w:rPr>
        <w:t>Αρθρο 6, παράγραφοι 2 και 3 του Παραρτήματος Ι του ΕΚ</w:t>
      </w:r>
      <w:r>
        <w:rPr>
          <w:spacing w:val="-17"/>
          <w:sz w:val="20"/>
        </w:rPr>
        <w:t> </w:t>
      </w:r>
      <w:r>
        <w:rPr>
          <w:sz w:val="20"/>
        </w:rPr>
        <w:t>800/2008.</w:t>
      </w:r>
    </w:p>
    <w:p>
      <w:pPr>
        <w:spacing w:after="0" w:line="240" w:lineRule="auto"/>
        <w:jc w:val="left"/>
        <w:rPr>
          <w:sz w:val="20"/>
        </w:rPr>
        <w:sectPr>
          <w:pgSz w:w="11910" w:h="16840"/>
          <w:pgMar w:header="748" w:footer="734" w:top="1420" w:bottom="920" w:left="840" w:right="960"/>
        </w:sectPr>
      </w:pPr>
    </w:p>
    <w:p>
      <w:pPr>
        <w:pStyle w:val="BodyText"/>
        <w:spacing w:before="7"/>
        <w:rPr>
          <w:sz w:val="13"/>
        </w:rPr>
      </w:pPr>
    </w:p>
    <w:p>
      <w:pPr>
        <w:pStyle w:val="ListParagraph"/>
        <w:numPr>
          <w:ilvl w:val="0"/>
          <w:numId w:val="68"/>
        </w:numPr>
        <w:tabs>
          <w:tab w:pos="343" w:val="left" w:leader="none"/>
        </w:tabs>
        <w:spacing w:line="360" w:lineRule="auto" w:before="74" w:after="0"/>
        <w:ind w:left="383" w:right="117" w:hanging="283"/>
        <w:jc w:val="both"/>
        <w:rPr>
          <w:sz w:val="20"/>
        </w:rPr>
      </w:pPr>
      <w:r>
        <w:rPr>
          <w:sz w:val="20"/>
        </w:rPr>
        <w:t>Όλα τα στοιχεία πρέπει να αφορούν την τελευταία κλεισμένη διαχειριστική χρήση και να υπολογίζονται σε ετήσια βάση. Στην περίπτωση νεοσύστατων επιχειρήσεων, τα στοιχεία που λαμβάνονται υπόψη πρέπει να προκύπτουν από αξιόπιστες εκτιμήσεις που πραγματοποιούνται κατά τη διάρκεια του οικονομικού έτους (άρθρο</w:t>
      </w:r>
      <w:r>
        <w:rPr>
          <w:spacing w:val="-27"/>
          <w:sz w:val="20"/>
        </w:rPr>
        <w:t> </w:t>
      </w:r>
      <w:r>
        <w:rPr>
          <w:sz w:val="20"/>
        </w:rPr>
        <w:t>4).</w:t>
      </w:r>
    </w:p>
    <w:p>
      <w:pPr>
        <w:pStyle w:val="ListParagraph"/>
        <w:numPr>
          <w:ilvl w:val="0"/>
          <w:numId w:val="68"/>
        </w:numPr>
        <w:tabs>
          <w:tab w:pos="347" w:val="left" w:leader="none"/>
        </w:tabs>
        <w:spacing w:line="245" w:lineRule="exact" w:before="0" w:after="0"/>
        <w:ind w:left="346" w:right="0" w:hanging="246"/>
        <w:jc w:val="both"/>
        <w:rPr>
          <w:sz w:val="20"/>
        </w:rPr>
      </w:pPr>
      <w:r>
        <w:rPr>
          <w:sz w:val="20"/>
        </w:rPr>
        <w:t>Τα</w:t>
      </w:r>
      <w:r>
        <w:rPr>
          <w:spacing w:val="13"/>
          <w:sz w:val="20"/>
        </w:rPr>
        <w:t> </w:t>
      </w:r>
      <w:r>
        <w:rPr>
          <w:sz w:val="20"/>
        </w:rPr>
        <w:t>στοιχεία</w:t>
      </w:r>
      <w:r>
        <w:rPr>
          <w:spacing w:val="13"/>
          <w:sz w:val="20"/>
        </w:rPr>
        <w:t> </w:t>
      </w:r>
      <w:r>
        <w:rPr>
          <w:sz w:val="20"/>
        </w:rPr>
        <w:t>της</w:t>
      </w:r>
      <w:r>
        <w:rPr>
          <w:spacing w:val="13"/>
          <w:sz w:val="20"/>
        </w:rPr>
        <w:t> </w:t>
      </w:r>
      <w:r>
        <w:rPr>
          <w:sz w:val="20"/>
        </w:rPr>
        <w:t>επιχείρησης,</w:t>
      </w:r>
      <w:r>
        <w:rPr>
          <w:spacing w:val="17"/>
          <w:sz w:val="20"/>
        </w:rPr>
        <w:t> </w:t>
      </w:r>
      <w:r>
        <w:rPr>
          <w:sz w:val="20"/>
        </w:rPr>
        <w:t>συμπεριλαμβανομένου</w:t>
      </w:r>
      <w:r>
        <w:rPr>
          <w:spacing w:val="14"/>
          <w:sz w:val="20"/>
        </w:rPr>
        <w:t> </w:t>
      </w:r>
      <w:r>
        <w:rPr>
          <w:sz w:val="20"/>
        </w:rPr>
        <w:t>του</w:t>
      </w:r>
      <w:r>
        <w:rPr>
          <w:spacing w:val="13"/>
          <w:sz w:val="20"/>
        </w:rPr>
        <w:t> </w:t>
      </w:r>
      <w:r>
        <w:rPr>
          <w:sz w:val="20"/>
        </w:rPr>
        <w:t>αριθμού</w:t>
      </w:r>
      <w:r>
        <w:rPr>
          <w:spacing w:val="13"/>
          <w:sz w:val="20"/>
        </w:rPr>
        <w:t> </w:t>
      </w:r>
      <w:r>
        <w:rPr>
          <w:sz w:val="20"/>
        </w:rPr>
        <w:t>των</w:t>
      </w:r>
      <w:r>
        <w:rPr>
          <w:spacing w:val="13"/>
          <w:sz w:val="20"/>
        </w:rPr>
        <w:t> </w:t>
      </w:r>
      <w:r>
        <w:rPr>
          <w:sz w:val="20"/>
        </w:rPr>
        <w:t>εργαζομένων,</w:t>
      </w:r>
      <w:r>
        <w:rPr>
          <w:spacing w:val="14"/>
          <w:sz w:val="20"/>
        </w:rPr>
        <w:t> </w:t>
      </w:r>
      <w:r>
        <w:rPr>
          <w:sz w:val="20"/>
        </w:rPr>
        <w:t>υπολογίζονται</w:t>
      </w:r>
      <w:r>
        <w:rPr>
          <w:spacing w:val="14"/>
          <w:sz w:val="20"/>
        </w:rPr>
        <w:t> </w:t>
      </w:r>
      <w:r>
        <w:rPr>
          <w:sz w:val="20"/>
        </w:rPr>
        <w:t>με</w:t>
      </w:r>
      <w:r>
        <w:rPr>
          <w:spacing w:val="14"/>
          <w:sz w:val="20"/>
        </w:rPr>
        <w:t> </w:t>
      </w:r>
      <w:r>
        <w:rPr>
          <w:sz w:val="20"/>
        </w:rPr>
        <w:t>βάση</w:t>
      </w:r>
      <w:r>
        <w:rPr>
          <w:spacing w:val="14"/>
          <w:sz w:val="20"/>
        </w:rPr>
        <w:t> </w:t>
      </w:r>
      <w:r>
        <w:rPr>
          <w:sz w:val="20"/>
        </w:rPr>
        <w:t>τους</w:t>
      </w:r>
    </w:p>
    <w:p>
      <w:pPr>
        <w:spacing w:line="360" w:lineRule="auto" w:before="120"/>
        <w:ind w:left="383" w:right="0" w:firstLine="0"/>
        <w:jc w:val="left"/>
        <w:rPr>
          <w:sz w:val="20"/>
        </w:rPr>
      </w:pPr>
      <w:r>
        <w:rPr>
          <w:sz w:val="20"/>
        </w:rPr>
        <w:t>λογαριασμούς και άλλα στοιχεία της επιχείρησης, ή – εφόσον υπάρχουν – τους ενοποιημένους λογαριασμούς της επιχείρησης ή τους ενοποιημένους λογαριασμούς στους οποίους περιλαμβάνεται η επιχείρηση βάσει ενοποίησης.</w:t>
      </w:r>
    </w:p>
    <w:p>
      <w:pPr>
        <w:pStyle w:val="ListParagraph"/>
        <w:numPr>
          <w:ilvl w:val="0"/>
          <w:numId w:val="68"/>
        </w:numPr>
        <w:tabs>
          <w:tab w:pos="386" w:val="left" w:leader="none"/>
        </w:tabs>
        <w:spacing w:line="245" w:lineRule="exact" w:before="0" w:after="0"/>
        <w:ind w:left="385" w:right="0" w:hanging="285"/>
        <w:jc w:val="left"/>
        <w:rPr>
          <w:sz w:val="20"/>
        </w:rPr>
      </w:pPr>
      <w:r>
        <w:rPr>
          <w:sz w:val="20"/>
        </w:rPr>
        <w:t>Τα  αποτελέσματα  της  γραμμής  «Σύνολο»  πρέπει  να  μεταφέρονται  στον  πίνακα  της  δήλωσης  σχετικά  με  </w:t>
      </w:r>
      <w:r>
        <w:rPr>
          <w:spacing w:val="38"/>
          <w:sz w:val="20"/>
        </w:rPr>
        <w:t> </w:t>
      </w:r>
      <w:r>
        <w:rPr>
          <w:sz w:val="20"/>
        </w:rPr>
        <w:t>τα</w:t>
      </w:r>
    </w:p>
    <w:p>
      <w:pPr>
        <w:spacing w:before="120"/>
        <w:ind w:left="383" w:right="0" w:firstLine="0"/>
        <w:jc w:val="left"/>
        <w:rPr>
          <w:sz w:val="20"/>
        </w:rPr>
      </w:pPr>
      <w:r>
        <w:rPr>
          <w:sz w:val="20"/>
        </w:rPr>
        <w:t>«</w:t>
      </w:r>
      <w:r>
        <w:rPr>
          <w:b/>
          <w:sz w:val="20"/>
        </w:rPr>
        <w:t>Στοιχεία για τον προσδιορισμό της κατηγορίας της επιχείρησης</w:t>
      </w:r>
      <w:r>
        <w:rPr>
          <w:sz w:val="20"/>
        </w:rPr>
        <w:t>».</w:t>
      </w:r>
    </w:p>
    <w:p>
      <w:pPr>
        <w:spacing w:after="0"/>
        <w:jc w:val="left"/>
        <w:rPr>
          <w:sz w:val="20"/>
        </w:rPr>
        <w:sectPr>
          <w:pgSz w:w="11910" w:h="16840"/>
          <w:pgMar w:header="748" w:footer="734" w:top="1420" w:bottom="920" w:left="980" w:right="960"/>
        </w:sectPr>
      </w:pPr>
    </w:p>
    <w:p>
      <w:pPr>
        <w:pStyle w:val="BodyText"/>
        <w:spacing w:before="2"/>
        <w:rPr>
          <w:sz w:val="18"/>
        </w:rPr>
      </w:pPr>
    </w:p>
    <w:p>
      <w:pPr>
        <w:pStyle w:val="Heading2"/>
        <w:ind w:left="109" w:right="124" w:firstLine="0"/>
        <w:jc w:val="center"/>
      </w:pPr>
      <w:r>
        <w:rPr/>
        <w:t>ΠΑΡΑΡΤΗΜΑ Α</w:t>
      </w:r>
    </w:p>
    <w:p>
      <w:pPr>
        <w:spacing w:before="146"/>
        <w:ind w:left="104" w:right="125" w:firstLine="0"/>
        <w:jc w:val="center"/>
        <w:rPr>
          <w:b/>
          <w:sz w:val="24"/>
        </w:rPr>
      </w:pPr>
      <w:r>
        <w:rPr>
          <w:b/>
          <w:sz w:val="24"/>
        </w:rPr>
        <w:t>Συνεργαζόμενη επιχείρηση</w:t>
      </w:r>
    </w:p>
    <w:p>
      <w:pPr>
        <w:pStyle w:val="BodyText"/>
        <w:spacing w:line="355" w:lineRule="auto" w:before="143"/>
        <w:ind w:left="100" w:right="114"/>
        <w:jc w:val="both"/>
      </w:pPr>
      <w:r>
        <w:rPr/>
        <w:t>Για κάθε επιχείρηση για την οποία συμπληρώνεται «δελτίο εταιρικής σχέσης» [ένα δελτίο για κάθε επιχείρηση συνεργαζόμενη με την αιτούσα επιχείρηση και για τις συνεργαζόμενες επιχειρήσεις των ενδεχόμενων συνδεδεμένων επιχειρήσεων, των οποίων τα στοιχεία δεν περιλαμβάνονται ακόμη στους ενοποιημένους λογαριασμούς (</w:t>
      </w:r>
      <w:r>
        <w:rPr>
          <w:position w:val="10"/>
          <w:sz w:val="14"/>
        </w:rPr>
        <w:t>1</w:t>
      </w:r>
      <w:r>
        <w:rPr/>
        <w:t>)], τα στοιχεία του σχετικού «πίνακα εταιρικής σχέσης» πρέπει να μεταφέρονται στον ακόλουθο συγκεφαλαιωτικό πίνακα:</w:t>
      </w:r>
    </w:p>
    <w:p>
      <w:pPr>
        <w:pStyle w:val="BodyText"/>
        <w:spacing w:before="2"/>
        <w:rPr>
          <w:sz w:val="30"/>
        </w:rPr>
      </w:pPr>
    </w:p>
    <w:p>
      <w:pPr>
        <w:pStyle w:val="Heading4"/>
        <w:ind w:left="108" w:right="125"/>
        <w:jc w:val="center"/>
      </w:pPr>
      <w:r>
        <w:rPr/>
        <w:t>Πίνακας Α</w:t>
      </w:r>
    </w:p>
    <w:p>
      <w:pPr>
        <w:pStyle w:val="BodyText"/>
        <w:spacing w:before="3"/>
        <w:rPr>
          <w:b/>
          <w:sz w:val="11"/>
        </w:rPr>
      </w:pPr>
    </w:p>
    <w:tbl>
      <w:tblPr>
        <w:tblW w:w="0" w:type="auto"/>
        <w:jc w:val="left"/>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9"/>
        <w:gridCol w:w="2160"/>
        <w:gridCol w:w="1620"/>
        <w:gridCol w:w="1801"/>
      </w:tblGrid>
      <w:tr>
        <w:trPr>
          <w:trHeight w:val="936" w:hRule="exact"/>
        </w:trPr>
        <w:tc>
          <w:tcPr>
            <w:tcW w:w="2809" w:type="dxa"/>
          </w:tcPr>
          <w:p>
            <w:pPr>
              <w:pStyle w:val="TableParagraph"/>
              <w:ind w:left="146" w:right="147"/>
              <w:jc w:val="center"/>
              <w:rPr>
                <w:b/>
                <w:sz w:val="22"/>
              </w:rPr>
            </w:pPr>
            <w:r>
              <w:rPr>
                <w:b/>
                <w:sz w:val="22"/>
              </w:rPr>
              <w:t>Συνεργαζόμενη επιχείρηση (επωνυμία/ ακριβή στοιχεία)</w:t>
            </w:r>
          </w:p>
        </w:tc>
        <w:tc>
          <w:tcPr>
            <w:tcW w:w="2160" w:type="dxa"/>
          </w:tcPr>
          <w:p>
            <w:pPr>
              <w:pStyle w:val="TableParagraph"/>
              <w:ind w:left="244" w:right="244"/>
              <w:jc w:val="center"/>
              <w:rPr>
                <w:b/>
                <w:sz w:val="22"/>
              </w:rPr>
            </w:pPr>
            <w:r>
              <w:rPr>
                <w:b/>
                <w:sz w:val="22"/>
              </w:rPr>
              <w:t>Αριθμός απασχολουμένων (ΕΜΕ)</w:t>
            </w:r>
          </w:p>
        </w:tc>
        <w:tc>
          <w:tcPr>
            <w:tcW w:w="1620" w:type="dxa"/>
          </w:tcPr>
          <w:p>
            <w:pPr>
              <w:pStyle w:val="TableParagraph"/>
              <w:spacing w:before="131"/>
              <w:ind w:left="208" w:right="191" w:firstLine="266"/>
              <w:rPr>
                <w:b/>
                <w:sz w:val="22"/>
              </w:rPr>
            </w:pPr>
            <w:r>
              <w:rPr>
                <w:b/>
                <w:sz w:val="22"/>
              </w:rPr>
              <w:t>Κύκλος εργασιών (*)</w:t>
            </w:r>
          </w:p>
        </w:tc>
        <w:tc>
          <w:tcPr>
            <w:tcW w:w="1801" w:type="dxa"/>
          </w:tcPr>
          <w:p>
            <w:pPr>
              <w:pStyle w:val="TableParagraph"/>
              <w:spacing w:before="131"/>
              <w:ind w:left="158" w:right="141" w:firstLine="401"/>
              <w:rPr>
                <w:b/>
                <w:sz w:val="22"/>
              </w:rPr>
            </w:pPr>
            <w:r>
              <w:rPr>
                <w:b/>
                <w:sz w:val="22"/>
              </w:rPr>
              <w:t>Σύνολο ισολογισμού (*)</w:t>
            </w:r>
          </w:p>
        </w:tc>
      </w:tr>
      <w:tr>
        <w:trPr>
          <w:trHeight w:val="413" w:hRule="exact"/>
        </w:trPr>
        <w:tc>
          <w:tcPr>
            <w:tcW w:w="2809" w:type="dxa"/>
          </w:tcPr>
          <w:p>
            <w:pPr>
              <w:pStyle w:val="TableParagraph"/>
              <w:spacing w:line="265" w:lineRule="exact"/>
              <w:ind w:left="103"/>
              <w:rPr>
                <w:sz w:val="22"/>
              </w:rPr>
            </w:pPr>
            <w:r>
              <w:rPr>
                <w:sz w:val="22"/>
              </w:rPr>
              <w:t>1.</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5" w:lineRule="exact"/>
              <w:ind w:left="103"/>
              <w:rPr>
                <w:sz w:val="22"/>
              </w:rPr>
            </w:pPr>
            <w:r>
              <w:rPr>
                <w:sz w:val="22"/>
              </w:rPr>
              <w:t>2.</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5" w:lineRule="exact"/>
              <w:ind w:left="103"/>
              <w:rPr>
                <w:sz w:val="22"/>
              </w:rPr>
            </w:pPr>
            <w:r>
              <w:rPr>
                <w:sz w:val="22"/>
              </w:rPr>
              <w:t>3.</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5" w:lineRule="exact"/>
              <w:ind w:left="103"/>
              <w:rPr>
                <w:sz w:val="22"/>
              </w:rPr>
            </w:pPr>
            <w:r>
              <w:rPr>
                <w:sz w:val="22"/>
              </w:rPr>
              <w:t>4.</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6" w:lineRule="exact"/>
              <w:ind w:left="103"/>
              <w:rPr>
                <w:sz w:val="22"/>
              </w:rPr>
            </w:pPr>
            <w:r>
              <w:rPr>
                <w:sz w:val="22"/>
              </w:rPr>
              <w:t>5.</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5" w:lineRule="exact"/>
              <w:ind w:left="103"/>
              <w:rPr>
                <w:sz w:val="22"/>
              </w:rPr>
            </w:pPr>
            <w:r>
              <w:rPr>
                <w:sz w:val="22"/>
              </w:rPr>
              <w:t>6.</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5" w:lineRule="exact"/>
              <w:ind w:left="103"/>
              <w:rPr>
                <w:sz w:val="22"/>
              </w:rPr>
            </w:pPr>
            <w:r>
              <w:rPr>
                <w:sz w:val="22"/>
              </w:rPr>
              <w:t>7.</w:t>
            </w:r>
          </w:p>
        </w:tc>
        <w:tc>
          <w:tcPr>
            <w:tcW w:w="2160" w:type="dxa"/>
          </w:tcPr>
          <w:p>
            <w:pPr/>
          </w:p>
        </w:tc>
        <w:tc>
          <w:tcPr>
            <w:tcW w:w="1620" w:type="dxa"/>
          </w:tcPr>
          <w:p>
            <w:pPr/>
          </w:p>
        </w:tc>
        <w:tc>
          <w:tcPr>
            <w:tcW w:w="1801" w:type="dxa"/>
          </w:tcPr>
          <w:p>
            <w:pPr/>
          </w:p>
        </w:tc>
      </w:tr>
      <w:tr>
        <w:trPr>
          <w:trHeight w:val="413" w:hRule="exact"/>
        </w:trPr>
        <w:tc>
          <w:tcPr>
            <w:tcW w:w="2809" w:type="dxa"/>
          </w:tcPr>
          <w:p>
            <w:pPr>
              <w:pStyle w:val="TableParagraph"/>
              <w:spacing w:line="265" w:lineRule="exact"/>
              <w:ind w:left="103"/>
              <w:rPr>
                <w:b/>
                <w:sz w:val="22"/>
              </w:rPr>
            </w:pPr>
            <w:r>
              <w:rPr>
                <w:b/>
                <w:sz w:val="22"/>
              </w:rPr>
              <w:t>Σύνολο</w:t>
            </w:r>
          </w:p>
        </w:tc>
        <w:tc>
          <w:tcPr>
            <w:tcW w:w="2160" w:type="dxa"/>
          </w:tcPr>
          <w:p>
            <w:pPr/>
          </w:p>
        </w:tc>
        <w:tc>
          <w:tcPr>
            <w:tcW w:w="1620" w:type="dxa"/>
          </w:tcPr>
          <w:p>
            <w:pPr/>
          </w:p>
        </w:tc>
        <w:tc>
          <w:tcPr>
            <w:tcW w:w="1801" w:type="dxa"/>
          </w:tcPr>
          <w:p>
            <w:pPr/>
          </w:p>
        </w:tc>
      </w:tr>
    </w:tbl>
    <w:p>
      <w:pPr>
        <w:spacing w:line="243" w:lineRule="exact" w:before="0"/>
        <w:ind w:left="100" w:right="0" w:firstLine="0"/>
        <w:jc w:val="both"/>
        <w:rPr>
          <w:sz w:val="20"/>
        </w:rPr>
      </w:pPr>
      <w:r>
        <w:rPr>
          <w:sz w:val="20"/>
        </w:rPr>
        <w:t>(*) σε χιλιάδες ευρώ.</w:t>
      </w:r>
    </w:p>
    <w:p>
      <w:pPr>
        <w:pStyle w:val="ListParagraph"/>
        <w:numPr>
          <w:ilvl w:val="0"/>
          <w:numId w:val="69"/>
        </w:numPr>
        <w:tabs>
          <w:tab w:pos="360" w:val="left" w:leader="none"/>
        </w:tabs>
        <w:spacing w:line="360" w:lineRule="auto" w:before="89" w:after="0"/>
        <w:ind w:left="100" w:right="124" w:firstLine="0"/>
        <w:jc w:val="both"/>
        <w:rPr>
          <w:sz w:val="20"/>
        </w:rPr>
      </w:pPr>
      <w:r>
        <w:rPr>
          <w:sz w:val="20"/>
        </w:rPr>
        <w:t>Ακόμη και εάν τα στοιχεία σχετικά με μία επιχείρηση περιλαμβάνονται στους ενοποιημένους λογαριασμούς σε ποσοστό χαμηλότερο από εκείνο που ορίζεται στο άρθρο 6 παράγραφος 2, πρέπει παρόλα αυτά να εφαρμόζεται το ποσοστό που ορίζεται στο εν λόγω άρθρο (ορισμός, άρθρο 6 παράγραφος 3 εδάφιο</w:t>
      </w:r>
      <w:r>
        <w:rPr>
          <w:spacing w:val="-22"/>
          <w:sz w:val="20"/>
        </w:rPr>
        <w:t> </w:t>
      </w:r>
      <w:r>
        <w:rPr>
          <w:sz w:val="20"/>
        </w:rPr>
        <w:t>2).</w:t>
      </w:r>
    </w:p>
    <w:p>
      <w:pPr>
        <w:pStyle w:val="BodyText"/>
        <w:spacing w:before="8"/>
        <w:rPr>
          <w:sz w:val="26"/>
        </w:rPr>
      </w:pPr>
    </w:p>
    <w:p>
      <w:pPr>
        <w:pStyle w:val="BodyText"/>
        <w:ind w:left="100"/>
        <w:jc w:val="both"/>
      </w:pPr>
      <w:r>
        <w:rPr>
          <w:b/>
        </w:rPr>
        <w:t>Σημείωση</w:t>
      </w:r>
      <w:r>
        <w:rPr/>
        <w:t>: Τα στοιχεία αυτά είναι το αποτέλεσμα υπολογισμού κατ’ αναλογία που πραγματοποιείται στο</w:t>
      </w:r>
    </w:p>
    <w:p>
      <w:pPr>
        <w:pStyle w:val="BodyText"/>
        <w:spacing w:before="134"/>
        <w:ind w:left="100"/>
        <w:jc w:val="both"/>
      </w:pPr>
      <w:r>
        <w:rPr/>
        <w:t>«δελτίο εταιρικής σχέσης» που συμπληρώνεται για κάθε άμεσα ή έμμεσα συνεργαζόμενη επιχείρηση.</w:t>
      </w:r>
    </w:p>
    <w:p>
      <w:pPr>
        <w:pStyle w:val="BodyText"/>
        <w:spacing w:line="360" w:lineRule="auto" w:before="134"/>
        <w:ind w:left="100" w:right="117"/>
        <w:jc w:val="both"/>
      </w:pPr>
      <w:r>
        <w:rPr/>
        <w:t>Τα στοιχεία της γραμμής «</w:t>
      </w:r>
      <w:r>
        <w:rPr>
          <w:b/>
        </w:rPr>
        <w:t>Σύνολο</w:t>
      </w:r>
      <w:r>
        <w:rPr/>
        <w:t>» του παραπάνω πίνακα πρέπει να μεταφέρονται στη γραμμή 2 (σχετικά με τις συνεργαζόμενες επιχειρήσεις) του πίνακα του παραρτήματος της δήλωσης.</w:t>
      </w:r>
    </w:p>
    <w:p>
      <w:pPr>
        <w:spacing w:after="0" w:line="360" w:lineRule="auto"/>
        <w:jc w:val="both"/>
        <w:sectPr>
          <w:pgSz w:w="11910" w:h="16840"/>
          <w:pgMar w:header="748" w:footer="734" w:top="1420" w:bottom="920" w:left="980" w:right="960"/>
        </w:sectPr>
      </w:pPr>
    </w:p>
    <w:p>
      <w:pPr>
        <w:pStyle w:val="BodyText"/>
        <w:spacing w:before="2"/>
        <w:rPr>
          <w:sz w:val="18"/>
        </w:rPr>
      </w:pPr>
    </w:p>
    <w:p>
      <w:pPr>
        <w:pStyle w:val="Heading2"/>
        <w:ind w:left="220" w:firstLine="0"/>
        <w:jc w:val="left"/>
      </w:pPr>
      <w:r>
        <w:rPr/>
        <w:t>ΔΕΛΤΙΟ ΕΤΑΙΡΙΚΗΣ ΣΧΕΣΗΣ</w:t>
      </w:r>
    </w:p>
    <w:p>
      <w:pPr>
        <w:pStyle w:val="Heading4"/>
        <w:numPr>
          <w:ilvl w:val="1"/>
          <w:numId w:val="69"/>
        </w:numPr>
        <w:tabs>
          <w:tab w:pos="439" w:val="left" w:leader="none"/>
        </w:tabs>
        <w:spacing w:line="240" w:lineRule="auto" w:before="143" w:after="0"/>
        <w:ind w:left="438" w:right="0" w:hanging="218"/>
        <w:jc w:val="left"/>
      </w:pPr>
      <w:r>
        <w:rPr/>
        <w:t>Ακριβή στοιχεία της συνεργαζόμενης</w:t>
      </w:r>
      <w:r>
        <w:rPr>
          <w:spacing w:val="-8"/>
        </w:rPr>
        <w:t> </w:t>
      </w:r>
      <w:r>
        <w:rPr/>
        <w:t>επιχείρησης</w:t>
      </w:r>
    </w:p>
    <w:p>
      <w:pPr>
        <w:pStyle w:val="BodyText"/>
        <w:spacing w:before="134"/>
        <w:ind w:left="220"/>
      </w:pPr>
      <w:r>
        <w:rPr/>
        <w:t>Επωνυμία ή εταιρική επωνυμία: ..............................................................................................................</w:t>
      </w:r>
    </w:p>
    <w:p>
      <w:pPr>
        <w:pStyle w:val="BodyText"/>
        <w:tabs>
          <w:tab w:pos="1681" w:val="left" w:leader="none"/>
          <w:tab w:pos="3223" w:val="left" w:leader="none"/>
          <w:tab w:pos="4058" w:val="left" w:leader="none"/>
          <w:tab w:pos="5208" w:val="left" w:leader="none"/>
          <w:tab w:pos="6191" w:val="left" w:leader="none"/>
        </w:tabs>
        <w:spacing w:line="338" w:lineRule="auto" w:before="134"/>
        <w:ind w:left="220" w:right="116"/>
      </w:pPr>
      <w:r>
        <w:rPr/>
        <w:t>Διεύθυνση της εταιρικής έδρας: ............................................................................................................. Αριθμός</w:t>
        <w:tab/>
        <w:t>μητρώου</w:t>
        <w:tab/>
        <w:t>ή</w:t>
        <w:tab/>
        <w:t>ΦΠΑ</w:t>
        <w:tab/>
        <w:t>(</w:t>
      </w:r>
      <w:r>
        <w:rPr>
          <w:position w:val="10"/>
          <w:sz w:val="14"/>
        </w:rPr>
        <w:t>1</w:t>
      </w:r>
      <w:r>
        <w:rPr/>
        <w:t>):</w:t>
        <w:tab/>
      </w:r>
      <w:r>
        <w:rPr>
          <w:spacing w:val="-1"/>
        </w:rPr>
        <w:t>....................................................................</w:t>
      </w:r>
    </w:p>
    <w:p>
      <w:pPr>
        <w:pStyle w:val="BodyText"/>
        <w:spacing w:line="283" w:lineRule="exact"/>
        <w:ind w:left="220"/>
      </w:pPr>
      <w:r>
        <w:rPr/>
        <w:t>Ονοματεπώνυμο και τίτλος του ή των κύριων διευθυντικών στελεχών (</w:t>
      </w:r>
      <w:r>
        <w:rPr>
          <w:position w:val="10"/>
          <w:sz w:val="14"/>
        </w:rPr>
        <w:t>2</w:t>
      </w:r>
      <w:r>
        <w:rPr/>
        <w:t>): ...............................................</w:t>
      </w:r>
    </w:p>
    <w:p>
      <w:pPr>
        <w:pStyle w:val="BodyText"/>
        <w:rPr>
          <w:sz w:val="26"/>
        </w:rPr>
      </w:pPr>
    </w:p>
    <w:p>
      <w:pPr>
        <w:pStyle w:val="Heading4"/>
        <w:numPr>
          <w:ilvl w:val="1"/>
          <w:numId w:val="69"/>
        </w:numPr>
        <w:tabs>
          <w:tab w:pos="439" w:val="left" w:leader="none"/>
        </w:tabs>
        <w:spacing w:line="240" w:lineRule="auto" w:before="218" w:after="0"/>
        <w:ind w:left="438" w:right="0" w:hanging="218"/>
        <w:jc w:val="left"/>
      </w:pPr>
      <w:r>
        <w:rPr/>
        <w:t>Ακαθάριστα στοιχεία της εν λόγω συνεργαζόμενης</w:t>
      </w:r>
      <w:r>
        <w:rPr>
          <w:spacing w:val="-15"/>
        </w:rPr>
        <w:t> </w:t>
      </w:r>
      <w:r>
        <w:rPr/>
        <w:t>επιχείρησης</w:t>
      </w:r>
    </w:p>
    <w:p>
      <w:pPr>
        <w:pStyle w:val="BodyText"/>
        <w:spacing w:before="4"/>
        <w:rPr>
          <w:b/>
          <w:sz w:val="1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6"/>
        <w:gridCol w:w="2213"/>
        <w:gridCol w:w="1980"/>
        <w:gridCol w:w="2449"/>
      </w:tblGrid>
      <w:tr>
        <w:trPr>
          <w:trHeight w:val="377" w:hRule="exact"/>
        </w:trPr>
        <w:tc>
          <w:tcPr>
            <w:tcW w:w="8858" w:type="dxa"/>
            <w:gridSpan w:val="4"/>
          </w:tcPr>
          <w:p>
            <w:pPr>
              <w:pStyle w:val="TableParagraph"/>
              <w:spacing w:line="243" w:lineRule="exact"/>
              <w:ind w:left="103"/>
              <w:rPr>
                <w:sz w:val="20"/>
              </w:rPr>
            </w:pPr>
            <w:r>
              <w:rPr>
                <w:sz w:val="20"/>
              </w:rPr>
              <w:t>Περίοδος αναφοράς:</w:t>
            </w:r>
          </w:p>
        </w:tc>
      </w:tr>
      <w:tr>
        <w:trPr>
          <w:trHeight w:val="862" w:hRule="exact"/>
        </w:trPr>
        <w:tc>
          <w:tcPr>
            <w:tcW w:w="2216" w:type="dxa"/>
          </w:tcPr>
          <w:p>
            <w:pPr/>
          </w:p>
        </w:tc>
        <w:tc>
          <w:tcPr>
            <w:tcW w:w="2213" w:type="dxa"/>
          </w:tcPr>
          <w:p>
            <w:pPr>
              <w:pStyle w:val="TableParagraph"/>
              <w:ind w:left="345" w:right="350" w:hanging="2"/>
              <w:jc w:val="center"/>
              <w:rPr>
                <w:b/>
                <w:sz w:val="20"/>
              </w:rPr>
            </w:pPr>
            <w:r>
              <w:rPr>
                <w:b/>
                <w:sz w:val="20"/>
              </w:rPr>
              <w:t>Αριθμός </w:t>
            </w:r>
            <w:r>
              <w:rPr>
                <w:b/>
                <w:w w:val="95"/>
                <w:sz w:val="20"/>
              </w:rPr>
              <w:t>απασχολουμένων </w:t>
            </w:r>
            <w:r>
              <w:rPr>
                <w:b/>
                <w:sz w:val="20"/>
              </w:rPr>
              <w:t>(ΕΜΕ)</w:t>
            </w:r>
          </w:p>
        </w:tc>
        <w:tc>
          <w:tcPr>
            <w:tcW w:w="1980" w:type="dxa"/>
          </w:tcPr>
          <w:p>
            <w:pPr>
              <w:pStyle w:val="TableParagraph"/>
              <w:spacing w:before="12"/>
              <w:rPr>
                <w:b/>
                <w:sz w:val="19"/>
              </w:rPr>
            </w:pPr>
          </w:p>
          <w:p>
            <w:pPr>
              <w:pStyle w:val="TableParagraph"/>
              <w:ind w:left="120"/>
              <w:rPr>
                <w:b/>
                <w:sz w:val="20"/>
              </w:rPr>
            </w:pPr>
            <w:r>
              <w:rPr>
                <w:b/>
                <w:sz w:val="20"/>
              </w:rPr>
              <w:t>Κύκλος εργασιών (*)</w:t>
            </w:r>
          </w:p>
        </w:tc>
        <w:tc>
          <w:tcPr>
            <w:tcW w:w="2449" w:type="dxa"/>
          </w:tcPr>
          <w:p>
            <w:pPr>
              <w:pStyle w:val="TableParagraph"/>
              <w:spacing w:before="12"/>
              <w:rPr>
                <w:b/>
                <w:sz w:val="19"/>
              </w:rPr>
            </w:pPr>
          </w:p>
          <w:p>
            <w:pPr>
              <w:pStyle w:val="TableParagraph"/>
              <w:ind w:left="223"/>
              <w:rPr>
                <w:b/>
                <w:sz w:val="20"/>
              </w:rPr>
            </w:pPr>
            <w:r>
              <w:rPr>
                <w:b/>
                <w:sz w:val="20"/>
              </w:rPr>
              <w:t>Σύνολο ισολογισμού (*)</w:t>
            </w:r>
          </w:p>
        </w:tc>
      </w:tr>
      <w:tr>
        <w:trPr>
          <w:trHeight w:val="840" w:hRule="exact"/>
        </w:trPr>
        <w:tc>
          <w:tcPr>
            <w:tcW w:w="2216" w:type="dxa"/>
          </w:tcPr>
          <w:p>
            <w:pPr>
              <w:pStyle w:val="TableParagraph"/>
              <w:rPr>
                <w:b/>
                <w:sz w:val="19"/>
              </w:rPr>
            </w:pPr>
          </w:p>
          <w:p>
            <w:pPr>
              <w:pStyle w:val="TableParagraph"/>
              <w:ind w:left="103"/>
              <w:rPr>
                <w:sz w:val="20"/>
              </w:rPr>
            </w:pPr>
            <w:r>
              <w:rPr>
                <w:sz w:val="20"/>
              </w:rPr>
              <w:t>Ακαθάριστα στοιχεία</w:t>
            </w:r>
          </w:p>
        </w:tc>
        <w:tc>
          <w:tcPr>
            <w:tcW w:w="2213" w:type="dxa"/>
          </w:tcPr>
          <w:p>
            <w:pPr/>
          </w:p>
        </w:tc>
        <w:tc>
          <w:tcPr>
            <w:tcW w:w="1980" w:type="dxa"/>
          </w:tcPr>
          <w:p>
            <w:pPr/>
          </w:p>
        </w:tc>
        <w:tc>
          <w:tcPr>
            <w:tcW w:w="2449" w:type="dxa"/>
          </w:tcPr>
          <w:p>
            <w:pPr/>
          </w:p>
        </w:tc>
      </w:tr>
    </w:tbl>
    <w:p>
      <w:pPr>
        <w:spacing w:line="243" w:lineRule="exact" w:before="0"/>
        <w:ind w:left="220" w:right="0" w:firstLine="0"/>
        <w:jc w:val="both"/>
        <w:rPr>
          <w:sz w:val="20"/>
        </w:rPr>
      </w:pPr>
      <w:r>
        <w:rPr>
          <w:sz w:val="20"/>
        </w:rPr>
        <w:t>(*) σε χιλιάδες ευρώ.</w:t>
      </w:r>
    </w:p>
    <w:p>
      <w:pPr>
        <w:pStyle w:val="BodyText"/>
        <w:rPr>
          <w:sz w:val="20"/>
        </w:rPr>
      </w:pPr>
    </w:p>
    <w:p>
      <w:pPr>
        <w:pStyle w:val="BodyText"/>
        <w:spacing w:before="7"/>
        <w:rPr>
          <w:sz w:val="19"/>
        </w:rPr>
      </w:pPr>
    </w:p>
    <w:p>
      <w:pPr>
        <w:pStyle w:val="BodyText"/>
        <w:spacing w:line="355" w:lineRule="auto"/>
        <w:ind w:left="220" w:right="119"/>
        <w:jc w:val="both"/>
      </w:pPr>
      <w:r>
        <w:rPr>
          <w:b/>
        </w:rPr>
        <w:t>Σημείωση</w:t>
      </w:r>
      <w:r>
        <w:rPr/>
        <w:t>: Αυτά τα ακαθάριστα στοιχεία προκύπτουν από τους λογαριασμούς και άλλα στοιχεία της συνεργαζόμενης επιχείρησης, ή, εφόσον υπάρχουν, από τους ενοποιημένους λογαριασμούς, στα οποία προστίθεται το 100% των στοιχείων των συνδεδεμένων με αυτήν επιχειρήσεων, εκτός εάν τα δεδομένα των συνδεδεμένων επιχειρήσεων περιλαμβάνονται ήδη βάσει ενοποίησης στα λογιστικά στοιχεία της συνεργαζόμενης επιχείρησης (</w:t>
      </w:r>
      <w:r>
        <w:rPr>
          <w:position w:val="10"/>
          <w:sz w:val="14"/>
        </w:rPr>
        <w:t>3</w:t>
      </w:r>
      <w:r>
        <w:rPr/>
        <w:t>). Εάν χρειάζεται, πρέπει να προστίθενται τα δελτία σύνδεσης για τις επιχειρήσεις που δεν περιλαμβάνονται βάσει ενοποίησης.</w:t>
      </w:r>
    </w:p>
    <w:p>
      <w:pPr>
        <w:pStyle w:val="BodyText"/>
        <w:spacing w:before="1"/>
        <w:rPr>
          <w:sz w:val="30"/>
        </w:rPr>
      </w:pPr>
    </w:p>
    <w:p>
      <w:pPr>
        <w:pStyle w:val="Heading4"/>
        <w:numPr>
          <w:ilvl w:val="1"/>
          <w:numId w:val="69"/>
        </w:numPr>
        <w:tabs>
          <w:tab w:pos="439" w:val="left" w:leader="none"/>
        </w:tabs>
        <w:spacing w:line="240" w:lineRule="auto" w:before="1" w:after="0"/>
        <w:ind w:left="438" w:right="0" w:hanging="218"/>
        <w:jc w:val="both"/>
      </w:pPr>
      <w:r>
        <w:rPr/>
        <w:t>Υπολογισμός κατ’</w:t>
      </w:r>
      <w:r>
        <w:rPr>
          <w:spacing w:val="-7"/>
        </w:rPr>
        <w:t> </w:t>
      </w:r>
      <w:r>
        <w:rPr/>
        <w:t>αναλογία</w:t>
      </w:r>
    </w:p>
    <w:p>
      <w:pPr>
        <w:pStyle w:val="BodyText"/>
        <w:spacing w:line="360" w:lineRule="auto" w:before="111"/>
        <w:ind w:left="220" w:right="115"/>
        <w:jc w:val="both"/>
      </w:pPr>
      <w:r>
        <w:rPr/>
        <w:t>α) Ακριβής αναφορά του ποσοστού συμμετοχής (</w:t>
      </w:r>
      <w:r>
        <w:rPr>
          <w:position w:val="10"/>
          <w:sz w:val="14"/>
        </w:rPr>
        <w:t>4</w:t>
      </w:r>
      <w:r>
        <w:rPr/>
        <w:t>) που κατέχει η επιχείρηση που συμπληρώνει τη δήλωση (ή από τη συνδεδεμένη επιχείρηση μέσω της οποίας δημιουργείται η σχέση με τη συνεργαζόμενη επιχείρηση), στη συνεργαζόμενη επιχείρηση που αποτελεί το αντικείμενο του παρόντος δελτίου:</w:t>
      </w:r>
    </w:p>
    <w:p>
      <w:pPr>
        <w:pStyle w:val="BodyText"/>
        <w:ind w:left="220"/>
        <w:jc w:val="both"/>
      </w:pPr>
      <w:r>
        <w:rPr/>
        <w:t>...............................................................................................................................................................................</w:t>
      </w:r>
    </w:p>
    <w:p>
      <w:pPr>
        <w:pStyle w:val="BodyText"/>
        <w:spacing w:before="134"/>
        <w:ind w:left="220"/>
        <w:jc w:val="both"/>
      </w:pPr>
      <w:r>
        <w:rPr/>
        <w:t>...............................................................................................................................................................................</w:t>
      </w:r>
    </w:p>
    <w:p>
      <w:pPr>
        <w:pStyle w:val="BodyText"/>
        <w:spacing w:before="134"/>
        <w:ind w:left="220"/>
        <w:jc w:val="both"/>
      </w:pPr>
      <w:r>
        <w:rPr/>
        <w:t>...................................................................................................................................................................</w:t>
      </w:r>
    </w:p>
    <w:p>
      <w:pPr>
        <w:pStyle w:val="BodyText"/>
        <w:spacing w:before="132"/>
        <w:ind w:left="220"/>
        <w:jc w:val="both"/>
      </w:pPr>
      <w:r>
        <w:rPr/>
        <w:t>...................................................................................................................................................................</w:t>
      </w:r>
    </w:p>
    <w:p>
      <w:pPr>
        <w:spacing w:after="0"/>
        <w:jc w:val="both"/>
        <w:sectPr>
          <w:pgSz w:w="11910" w:h="16840"/>
          <w:pgMar w:header="748" w:footer="734" w:top="1420" w:bottom="920" w:left="860" w:right="960"/>
        </w:sectPr>
      </w:pPr>
    </w:p>
    <w:p>
      <w:pPr>
        <w:pStyle w:val="BodyText"/>
        <w:spacing w:before="4"/>
        <w:rPr>
          <w:sz w:val="14"/>
        </w:rPr>
      </w:pPr>
    </w:p>
    <w:p>
      <w:pPr>
        <w:pStyle w:val="BodyText"/>
        <w:spacing w:line="360" w:lineRule="auto" w:before="73"/>
        <w:ind w:left="220" w:right="117"/>
        <w:jc w:val="both"/>
      </w:pPr>
      <w:r>
        <w:rPr/>
        <w:t>Αναφορά και του ποσοστού συμμετοχής (</w:t>
      </w:r>
      <w:r>
        <w:rPr>
          <w:position w:val="10"/>
          <w:sz w:val="14"/>
        </w:rPr>
        <w:t>4</w:t>
      </w:r>
      <w:r>
        <w:rPr/>
        <w:t>) που κατέχει η συνεργαζόμενη επιχείρηση που αποτελεί το αντικείμενο του παρόντος δελτίου στην επιχείρηση που καταρτίζει η δήλωση (ή στη συνδεδεμένη επιχείρηση):</w:t>
      </w:r>
    </w:p>
    <w:p>
      <w:pPr>
        <w:pStyle w:val="BodyText"/>
        <w:ind w:left="220"/>
        <w:jc w:val="both"/>
      </w:pPr>
      <w:r>
        <w:rPr/>
        <w:t>...............................................................................................................................................................................</w:t>
      </w:r>
    </w:p>
    <w:p>
      <w:pPr>
        <w:pStyle w:val="BodyText"/>
        <w:spacing w:before="132"/>
        <w:ind w:left="220"/>
        <w:jc w:val="both"/>
      </w:pPr>
      <w:r>
        <w:rPr/>
        <w:t>...............................................................................................................................................................................</w:t>
      </w:r>
    </w:p>
    <w:p>
      <w:pPr>
        <w:pStyle w:val="BodyText"/>
        <w:spacing w:before="134"/>
        <w:ind w:left="220"/>
        <w:jc w:val="both"/>
      </w:pPr>
      <w:r>
        <w:rPr/>
        <w:t>...................................................................................................................................................................</w:t>
      </w:r>
    </w:p>
    <w:p>
      <w:pPr>
        <w:pStyle w:val="BodyText"/>
        <w:spacing w:before="134"/>
        <w:ind w:left="220"/>
        <w:jc w:val="both"/>
      </w:pPr>
      <w:r>
        <w:rPr/>
        <w:t>...................................................................................................................................................................</w:t>
      </w:r>
    </w:p>
    <w:p>
      <w:pPr>
        <w:pStyle w:val="BodyText"/>
      </w:pPr>
    </w:p>
    <w:p>
      <w:pPr>
        <w:pStyle w:val="BodyText"/>
        <w:spacing w:before="1"/>
      </w:pPr>
    </w:p>
    <w:p>
      <w:pPr>
        <w:pStyle w:val="BodyText"/>
        <w:spacing w:line="360" w:lineRule="auto"/>
        <w:ind w:left="220" w:right="123"/>
        <w:jc w:val="both"/>
      </w:pPr>
      <w:r>
        <w:rPr/>
        <w:t>β) Πρέπει να επιλεγεί το υψηλότερο ποσοστό από τα δύο προηγούμενα ποσοστά και να συμπεριληφθεί στα ακαθάριστα στοιχεία που αναφέρονται στο προηγούμενο πλαίσιο. Τα αποτελέσματα του κατ’ αναλογία υπολογισμού θα μεταφέρονται στον παρακάτω πίνακα:</w:t>
      </w:r>
    </w:p>
    <w:p>
      <w:pPr>
        <w:pStyle w:val="BodyText"/>
        <w:spacing w:before="10"/>
        <w:rPr>
          <w:sz w:val="32"/>
        </w:rPr>
      </w:pPr>
    </w:p>
    <w:p>
      <w:pPr>
        <w:pStyle w:val="Heading4"/>
        <w:ind w:left="3713" w:right="3612"/>
        <w:jc w:val="center"/>
      </w:pPr>
      <w:r>
        <w:rPr/>
        <w:t>Πίνακας εταιρικής σχέσης</w:t>
      </w:r>
    </w:p>
    <w:p>
      <w:pPr>
        <w:pStyle w:val="BodyText"/>
        <w:spacing w:before="3"/>
        <w:rPr>
          <w:b/>
          <w:sz w:val="1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8"/>
        <w:gridCol w:w="2161"/>
        <w:gridCol w:w="1440"/>
        <w:gridCol w:w="2449"/>
      </w:tblGrid>
      <w:tr>
        <w:trPr>
          <w:trHeight w:val="742" w:hRule="exact"/>
        </w:trPr>
        <w:tc>
          <w:tcPr>
            <w:tcW w:w="2808" w:type="dxa"/>
          </w:tcPr>
          <w:p>
            <w:pPr>
              <w:pStyle w:val="TableParagraph"/>
              <w:spacing w:line="243" w:lineRule="exact"/>
              <w:ind w:left="103"/>
              <w:rPr>
                <w:sz w:val="20"/>
              </w:rPr>
            </w:pPr>
            <w:r>
              <w:rPr>
                <w:sz w:val="20"/>
              </w:rPr>
              <w:t>Ποσοστό: ...</w:t>
            </w:r>
          </w:p>
        </w:tc>
        <w:tc>
          <w:tcPr>
            <w:tcW w:w="2161" w:type="dxa"/>
          </w:tcPr>
          <w:p>
            <w:pPr>
              <w:pStyle w:val="TableParagraph"/>
              <w:ind w:left="322" w:right="320" w:hanging="3"/>
              <w:jc w:val="center"/>
              <w:rPr>
                <w:b/>
                <w:sz w:val="20"/>
              </w:rPr>
            </w:pPr>
            <w:r>
              <w:rPr>
                <w:b/>
                <w:sz w:val="20"/>
              </w:rPr>
              <w:t>Αριθμός </w:t>
            </w:r>
            <w:r>
              <w:rPr>
                <w:b/>
                <w:w w:val="95"/>
                <w:sz w:val="20"/>
              </w:rPr>
              <w:t>απασχολουμένων </w:t>
            </w:r>
            <w:r>
              <w:rPr>
                <w:b/>
                <w:sz w:val="20"/>
              </w:rPr>
              <w:t>(ΕΜΕ)</w:t>
            </w:r>
          </w:p>
        </w:tc>
        <w:tc>
          <w:tcPr>
            <w:tcW w:w="1440" w:type="dxa"/>
          </w:tcPr>
          <w:p>
            <w:pPr>
              <w:pStyle w:val="TableParagraph"/>
              <w:ind w:left="172" w:right="156" w:firstLine="242"/>
              <w:rPr>
                <w:b/>
                <w:sz w:val="20"/>
              </w:rPr>
            </w:pPr>
            <w:r>
              <w:rPr>
                <w:b/>
                <w:sz w:val="20"/>
              </w:rPr>
              <w:t>Κύκλος εργασιών (*)</w:t>
            </w:r>
          </w:p>
        </w:tc>
        <w:tc>
          <w:tcPr>
            <w:tcW w:w="2449" w:type="dxa"/>
          </w:tcPr>
          <w:p>
            <w:pPr>
              <w:pStyle w:val="TableParagraph"/>
              <w:spacing w:line="243" w:lineRule="exact"/>
              <w:ind w:left="223"/>
              <w:rPr>
                <w:b/>
                <w:sz w:val="20"/>
              </w:rPr>
            </w:pPr>
            <w:r>
              <w:rPr>
                <w:b/>
                <w:sz w:val="20"/>
              </w:rPr>
              <w:t>Σύνολο ισολογισμού (*)</w:t>
            </w:r>
          </w:p>
        </w:tc>
      </w:tr>
      <w:tr>
        <w:trPr>
          <w:trHeight w:val="377" w:hRule="exact"/>
        </w:trPr>
        <w:tc>
          <w:tcPr>
            <w:tcW w:w="2808" w:type="dxa"/>
          </w:tcPr>
          <w:p>
            <w:pPr>
              <w:pStyle w:val="TableParagraph"/>
              <w:spacing w:before="1"/>
              <w:ind w:left="103"/>
              <w:rPr>
                <w:sz w:val="20"/>
              </w:rPr>
            </w:pPr>
            <w:r>
              <w:rPr>
                <w:sz w:val="20"/>
              </w:rPr>
              <w:t>Αποτελέσματα κατ’ αναλογία</w:t>
            </w:r>
          </w:p>
        </w:tc>
        <w:tc>
          <w:tcPr>
            <w:tcW w:w="2161" w:type="dxa"/>
          </w:tcPr>
          <w:p>
            <w:pPr/>
          </w:p>
        </w:tc>
        <w:tc>
          <w:tcPr>
            <w:tcW w:w="1440" w:type="dxa"/>
          </w:tcPr>
          <w:p>
            <w:pPr/>
          </w:p>
        </w:tc>
        <w:tc>
          <w:tcPr>
            <w:tcW w:w="2449" w:type="dxa"/>
          </w:tcPr>
          <w:p>
            <w:pPr/>
          </w:p>
        </w:tc>
      </w:tr>
    </w:tbl>
    <w:p>
      <w:pPr>
        <w:spacing w:line="244" w:lineRule="exact" w:before="0"/>
        <w:ind w:left="220" w:right="0" w:firstLine="0"/>
        <w:jc w:val="left"/>
        <w:rPr>
          <w:sz w:val="20"/>
        </w:rPr>
      </w:pPr>
      <w:r>
        <w:rPr>
          <w:sz w:val="20"/>
        </w:rPr>
        <w:t>(*) σε χιλιάδες ευρώ.</w:t>
      </w:r>
    </w:p>
    <w:p>
      <w:pPr>
        <w:pStyle w:val="BodyText"/>
        <w:rPr>
          <w:sz w:val="20"/>
        </w:rPr>
      </w:pPr>
    </w:p>
    <w:p>
      <w:pPr>
        <w:pStyle w:val="BodyText"/>
        <w:rPr>
          <w:sz w:val="20"/>
        </w:rPr>
      </w:pPr>
    </w:p>
    <w:p>
      <w:pPr>
        <w:spacing w:before="158"/>
        <w:ind w:left="220" w:right="0" w:firstLine="0"/>
        <w:jc w:val="left"/>
        <w:rPr>
          <w:sz w:val="20"/>
        </w:rPr>
      </w:pPr>
      <w:r>
        <w:rPr>
          <w:sz w:val="20"/>
        </w:rPr>
        <w:t>Τα στοιχεία αυτά πρέπει να μεταφέρονται στον πίνακα Α του παραρτήματος Α.</w:t>
      </w:r>
    </w:p>
    <w:p>
      <w:pPr>
        <w:pStyle w:val="ListParagraph"/>
        <w:numPr>
          <w:ilvl w:val="0"/>
          <w:numId w:val="70"/>
        </w:numPr>
        <w:tabs>
          <w:tab w:pos="451" w:val="left" w:leader="none"/>
        </w:tabs>
        <w:spacing w:line="240" w:lineRule="auto" w:before="87" w:after="0"/>
        <w:ind w:left="503" w:right="0" w:hanging="283"/>
        <w:jc w:val="left"/>
        <w:rPr>
          <w:sz w:val="20"/>
        </w:rPr>
      </w:pPr>
      <w:r>
        <w:rPr>
          <w:sz w:val="20"/>
        </w:rPr>
        <w:t>Να προσδιοριστεί από τα κράτη μέλη σύμφωνα με τις ανάγκες</w:t>
      </w:r>
      <w:r>
        <w:rPr>
          <w:spacing w:val="-16"/>
          <w:sz w:val="20"/>
        </w:rPr>
        <w:t> </w:t>
      </w:r>
      <w:r>
        <w:rPr>
          <w:sz w:val="20"/>
        </w:rPr>
        <w:t>τους.</w:t>
      </w:r>
    </w:p>
    <w:p>
      <w:pPr>
        <w:pStyle w:val="ListParagraph"/>
        <w:numPr>
          <w:ilvl w:val="0"/>
          <w:numId w:val="70"/>
        </w:numPr>
        <w:tabs>
          <w:tab w:pos="451" w:val="left" w:leader="none"/>
        </w:tabs>
        <w:spacing w:line="240" w:lineRule="auto" w:before="85" w:after="0"/>
        <w:ind w:left="450" w:right="0" w:hanging="230"/>
        <w:jc w:val="left"/>
        <w:rPr>
          <w:sz w:val="20"/>
        </w:rPr>
      </w:pPr>
      <w:r>
        <w:rPr>
          <w:sz w:val="20"/>
        </w:rPr>
        <w:t>Πρόεδρος («Chief executive»), Γενικός Διευθυντής ή αντίστοιχη</w:t>
      </w:r>
      <w:r>
        <w:rPr>
          <w:spacing w:val="-23"/>
          <w:sz w:val="20"/>
        </w:rPr>
        <w:t> </w:t>
      </w:r>
      <w:r>
        <w:rPr>
          <w:sz w:val="20"/>
        </w:rPr>
        <w:t>θέση.</w:t>
      </w:r>
    </w:p>
    <w:p>
      <w:pPr>
        <w:pStyle w:val="ListParagraph"/>
        <w:numPr>
          <w:ilvl w:val="0"/>
          <w:numId w:val="70"/>
        </w:numPr>
        <w:tabs>
          <w:tab w:pos="451" w:val="left" w:leader="none"/>
        </w:tabs>
        <w:spacing w:line="240" w:lineRule="auto" w:before="87" w:after="0"/>
        <w:ind w:left="450" w:right="0" w:hanging="230"/>
        <w:jc w:val="left"/>
        <w:rPr>
          <w:sz w:val="20"/>
        </w:rPr>
      </w:pPr>
      <w:r>
        <w:rPr>
          <w:sz w:val="20"/>
        </w:rPr>
        <w:t>Ορισμός, άρθρο 6 παράγραφος 3 εδάφιο</w:t>
      </w:r>
      <w:r>
        <w:rPr>
          <w:spacing w:val="-11"/>
          <w:sz w:val="20"/>
        </w:rPr>
        <w:t> </w:t>
      </w:r>
      <w:r>
        <w:rPr>
          <w:sz w:val="20"/>
        </w:rPr>
        <w:t>1.</w:t>
      </w:r>
    </w:p>
    <w:p>
      <w:pPr>
        <w:pStyle w:val="ListParagraph"/>
        <w:numPr>
          <w:ilvl w:val="0"/>
          <w:numId w:val="70"/>
        </w:numPr>
        <w:tabs>
          <w:tab w:pos="470" w:val="left" w:leader="none"/>
        </w:tabs>
        <w:spacing w:line="240" w:lineRule="auto" w:before="87" w:after="0"/>
        <w:ind w:left="503" w:right="121" w:hanging="283"/>
        <w:jc w:val="both"/>
        <w:rPr>
          <w:sz w:val="20"/>
        </w:rPr>
      </w:pPr>
      <w:r>
        <w:rPr>
          <w:sz w:val="20"/>
        </w:rPr>
        <w:t>Όσον αφορά τη συμμετοχή στο κεφάλαιο ή στα δικαιώματα ψήφου, λαμβάνεται υπόψη το υψηλότερο ποσοστό. Στο ποσοστό αυτό πρέπει να προστεθεί το ποσοστό συμμετοχής στην ίδια επιχείρηση που ανήκει σε συνδεδεμένες επιχειρήσεις (ορισμός, άρθρο 3 παράγραφος 2 εδάφιο</w:t>
      </w:r>
      <w:r>
        <w:rPr>
          <w:spacing w:val="-15"/>
          <w:sz w:val="20"/>
        </w:rPr>
        <w:t> </w:t>
      </w:r>
      <w:r>
        <w:rPr>
          <w:sz w:val="20"/>
        </w:rPr>
        <w:t>1).</w:t>
      </w:r>
    </w:p>
    <w:p>
      <w:pPr>
        <w:spacing w:after="0" w:line="240" w:lineRule="auto"/>
        <w:jc w:val="both"/>
        <w:rPr>
          <w:sz w:val="20"/>
        </w:rPr>
        <w:sectPr>
          <w:pgSz w:w="11910" w:h="16840"/>
          <w:pgMar w:header="748" w:footer="734" w:top="1420" w:bottom="920" w:left="860" w:right="960"/>
        </w:sectPr>
      </w:pPr>
    </w:p>
    <w:p>
      <w:pPr>
        <w:pStyle w:val="BodyText"/>
        <w:spacing w:before="2"/>
        <w:rPr>
          <w:sz w:val="18"/>
        </w:rPr>
      </w:pPr>
    </w:p>
    <w:p>
      <w:pPr>
        <w:pStyle w:val="Heading2"/>
        <w:ind w:left="3713" w:right="3612" w:firstLine="0"/>
        <w:jc w:val="center"/>
      </w:pPr>
      <w:r>
        <w:rPr/>
        <w:t>ΠΑΡΑΡΤΗΜΑ Β</w:t>
      </w:r>
    </w:p>
    <w:p>
      <w:pPr>
        <w:pStyle w:val="BodyText"/>
        <w:spacing w:before="9"/>
        <w:rPr>
          <w:b/>
          <w:sz w:val="21"/>
        </w:rPr>
      </w:pPr>
    </w:p>
    <w:p>
      <w:pPr>
        <w:spacing w:before="1"/>
        <w:ind w:left="3713" w:right="3614" w:firstLine="0"/>
        <w:jc w:val="center"/>
        <w:rPr>
          <w:b/>
          <w:sz w:val="24"/>
        </w:rPr>
      </w:pPr>
      <w:r>
        <w:rPr>
          <w:b/>
          <w:sz w:val="24"/>
        </w:rPr>
        <w:t>Συνδεδεμένες επιχειρήσεις</w:t>
      </w:r>
    </w:p>
    <w:p>
      <w:pPr>
        <w:pStyle w:val="Heading4"/>
        <w:spacing w:before="117"/>
        <w:ind w:left="220"/>
        <w:jc w:val="left"/>
      </w:pPr>
      <w:r>
        <w:rPr>
          <w:b w:val="0"/>
        </w:rPr>
        <w:t>Α. </w:t>
      </w:r>
      <w:r>
        <w:rPr/>
        <w:t>Προσδιορισμός της περίπτωσης στην οποία υπάγεται η αιτούσα επιχείρηση</w:t>
      </w:r>
    </w:p>
    <w:p>
      <w:pPr>
        <w:pStyle w:val="ListParagraph"/>
        <w:numPr>
          <w:ilvl w:val="0"/>
          <w:numId w:val="71"/>
        </w:numPr>
        <w:tabs>
          <w:tab w:pos="580" w:val="left" w:leader="none"/>
          <w:tab w:pos="581" w:val="left" w:leader="none"/>
        </w:tabs>
        <w:spacing w:line="240" w:lineRule="auto" w:before="120" w:after="0"/>
        <w:ind w:left="580" w:right="119" w:hanging="360"/>
        <w:jc w:val="left"/>
        <w:rPr>
          <w:sz w:val="22"/>
        </w:rPr>
      </w:pPr>
      <w:r>
        <w:rPr>
          <w:b/>
          <w:sz w:val="22"/>
        </w:rPr>
        <w:t>Περίπτωση 1</w:t>
      </w:r>
      <w:r>
        <w:rPr>
          <w:sz w:val="22"/>
        </w:rPr>
        <w:t>: Η αιτούσα επιχείρηση καταρτίζει ενοποιημένους λογαριασμούς ή περιλαμβάνεται βάσει ενοποίησης στους ενοποιημένους λογαριασμούς άλλης συνδεδεμένης επιχείρησης [πίνακας</w:t>
      </w:r>
      <w:r>
        <w:rPr>
          <w:spacing w:val="-20"/>
          <w:sz w:val="22"/>
        </w:rPr>
        <w:t> </w:t>
      </w:r>
      <w:r>
        <w:rPr>
          <w:sz w:val="22"/>
        </w:rPr>
        <w:t>Β(1)].</w:t>
      </w:r>
    </w:p>
    <w:p>
      <w:pPr>
        <w:pStyle w:val="ListParagraph"/>
        <w:numPr>
          <w:ilvl w:val="0"/>
          <w:numId w:val="71"/>
        </w:numPr>
        <w:tabs>
          <w:tab w:pos="580" w:val="left" w:leader="none"/>
          <w:tab w:pos="581" w:val="left" w:leader="none"/>
        </w:tabs>
        <w:spacing w:line="240" w:lineRule="auto" w:before="120" w:after="0"/>
        <w:ind w:left="580" w:right="118" w:hanging="360"/>
        <w:jc w:val="left"/>
        <w:rPr>
          <w:sz w:val="22"/>
        </w:rPr>
      </w:pPr>
      <w:r>
        <w:rPr>
          <w:b/>
          <w:sz w:val="22"/>
        </w:rPr>
        <w:t>Περίπτωση 2</w:t>
      </w:r>
      <w:r>
        <w:rPr>
          <w:sz w:val="22"/>
        </w:rPr>
        <w:t>: Η αιτούσα επιχείρηση ή μία ή περισσότερες επιχειρήσεις δεν καταρτίζουν ενοποιημένους λογαριασμούς ή δεν περιλαμβάνονται βάσει ενοποίησης [πίνακας</w:t>
      </w:r>
      <w:r>
        <w:rPr>
          <w:spacing w:val="-13"/>
          <w:sz w:val="22"/>
        </w:rPr>
        <w:t> </w:t>
      </w:r>
      <w:r>
        <w:rPr>
          <w:sz w:val="22"/>
        </w:rPr>
        <w:t>Β(2)].</w:t>
      </w:r>
    </w:p>
    <w:p>
      <w:pPr>
        <w:pStyle w:val="BodyText"/>
        <w:spacing w:line="235" w:lineRule="auto" w:before="122"/>
        <w:ind w:left="220" w:right="115"/>
        <w:jc w:val="both"/>
      </w:pPr>
      <w:r>
        <w:rPr>
          <w:b/>
        </w:rPr>
        <w:t>Σημαντική σημείωση: </w:t>
      </w:r>
      <w:r>
        <w:rPr/>
        <w:t>Τα στοιχεία των επιχειρήσεων που είναι συνδεδεμένες με την αιτούσα επιχείρηση προκύπτουν από τους λογαριασμούς τους και άλλα στοιχεία, ή, εφόσον υπάρχουν, από τους ενοποιημένους λογαριασμούς. Στα στοιχεία αυτά συγκεντρώνονται κατ’ αναλογία τα στοιχεία των ενδεχόμενων συνεργαζόμενων επιχειρήσεων με τις εν λόγω συνδεδεμένες επιχειρήσεις, που βρίσκονται ακριβώς ανάντη ή κατάντη της αιτούσας επιχείρησης, εφόσον δεν περιλαμβάνονται ήδη βάσει ενοποίησης (</w:t>
      </w:r>
      <w:r>
        <w:rPr>
          <w:position w:val="10"/>
          <w:sz w:val="14"/>
        </w:rPr>
        <w:t>1</w:t>
      </w:r>
      <w:r>
        <w:rPr/>
        <w:t>).</w:t>
      </w:r>
    </w:p>
    <w:p>
      <w:pPr>
        <w:pStyle w:val="BodyText"/>
        <w:spacing w:before="11"/>
        <w:rPr>
          <w:sz w:val="31"/>
        </w:rPr>
      </w:pPr>
    </w:p>
    <w:p>
      <w:pPr>
        <w:pStyle w:val="Heading4"/>
        <w:spacing w:before="1"/>
        <w:ind w:left="220"/>
        <w:jc w:val="left"/>
      </w:pPr>
      <w:r>
        <w:rPr/>
        <w:t>Β. Μέθοδοι υπολογισμού ανάλογα με την περίπτωση</w:t>
      </w:r>
    </w:p>
    <w:p>
      <w:pPr>
        <w:pStyle w:val="BodyText"/>
        <w:spacing w:line="357" w:lineRule="auto" w:before="134"/>
        <w:ind w:left="220" w:right="115"/>
        <w:jc w:val="both"/>
      </w:pPr>
      <w:r>
        <w:rPr>
          <w:b/>
        </w:rPr>
        <w:t>Περίπτωση 1: </w:t>
      </w:r>
      <w:r>
        <w:rPr/>
        <w:t>Ως βάση υπολογισμού χρησιμοποιούνται οι ενοποιημένοι λογαριασμοί. Να συμπληρωθεί ο παρακάτω πίνακας Β(1)</w:t>
      </w:r>
    </w:p>
    <w:p>
      <w:pPr>
        <w:pStyle w:val="Heading4"/>
        <w:spacing w:before="3"/>
        <w:ind w:left="3713" w:right="3611"/>
        <w:jc w:val="center"/>
      </w:pPr>
      <w:r>
        <w:rPr/>
        <w:t>Πίνακας Β (1)</w:t>
      </w:r>
    </w:p>
    <w:p>
      <w:pPr>
        <w:pStyle w:val="BodyText"/>
        <w:spacing w:before="3"/>
        <w:rPr>
          <w:b/>
          <w:sz w:val="1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2624"/>
        <w:gridCol w:w="1570"/>
        <w:gridCol w:w="2449"/>
      </w:tblGrid>
      <w:tr>
        <w:trPr>
          <w:trHeight w:val="500" w:hRule="exact"/>
        </w:trPr>
        <w:tc>
          <w:tcPr>
            <w:tcW w:w="2448" w:type="dxa"/>
          </w:tcPr>
          <w:p>
            <w:pPr/>
          </w:p>
        </w:tc>
        <w:tc>
          <w:tcPr>
            <w:tcW w:w="2624" w:type="dxa"/>
          </w:tcPr>
          <w:p>
            <w:pPr>
              <w:pStyle w:val="TableParagraph"/>
              <w:ind w:left="929" w:hanging="714"/>
              <w:rPr>
                <w:sz w:val="20"/>
              </w:rPr>
            </w:pPr>
            <w:r>
              <w:rPr>
                <w:sz w:val="20"/>
              </w:rPr>
              <w:t>Αριθμός απασχολουμένων (ΕΜΕ) (*)</w:t>
            </w:r>
          </w:p>
        </w:tc>
        <w:tc>
          <w:tcPr>
            <w:tcW w:w="1570" w:type="dxa"/>
          </w:tcPr>
          <w:p>
            <w:pPr>
              <w:pStyle w:val="TableParagraph"/>
              <w:ind w:left="204" w:firstLine="286"/>
              <w:rPr>
                <w:sz w:val="20"/>
              </w:rPr>
            </w:pPr>
            <w:r>
              <w:rPr>
                <w:sz w:val="20"/>
              </w:rPr>
              <w:t>Κύκλος εργασιών (**)</w:t>
            </w:r>
          </w:p>
        </w:tc>
        <w:tc>
          <w:tcPr>
            <w:tcW w:w="2449" w:type="dxa"/>
          </w:tcPr>
          <w:p>
            <w:pPr>
              <w:pStyle w:val="TableParagraph"/>
              <w:spacing w:before="122"/>
              <w:ind w:left="196"/>
              <w:rPr>
                <w:sz w:val="20"/>
              </w:rPr>
            </w:pPr>
            <w:r>
              <w:rPr>
                <w:sz w:val="20"/>
              </w:rPr>
              <w:t>Σύνολο ισολογισμού (**)</w:t>
            </w:r>
          </w:p>
        </w:tc>
      </w:tr>
      <w:tr>
        <w:trPr>
          <w:trHeight w:val="641" w:hRule="exact"/>
        </w:trPr>
        <w:tc>
          <w:tcPr>
            <w:tcW w:w="2448" w:type="dxa"/>
          </w:tcPr>
          <w:p>
            <w:pPr>
              <w:pStyle w:val="TableParagraph"/>
              <w:spacing w:before="131"/>
              <w:ind w:left="103"/>
              <w:rPr>
                <w:sz w:val="20"/>
              </w:rPr>
            </w:pPr>
            <w:r>
              <w:rPr>
                <w:sz w:val="20"/>
              </w:rPr>
              <w:t>Σύνολο</w:t>
            </w:r>
          </w:p>
        </w:tc>
        <w:tc>
          <w:tcPr>
            <w:tcW w:w="2624" w:type="dxa"/>
          </w:tcPr>
          <w:p>
            <w:pPr/>
          </w:p>
        </w:tc>
        <w:tc>
          <w:tcPr>
            <w:tcW w:w="1570" w:type="dxa"/>
          </w:tcPr>
          <w:p>
            <w:pPr/>
          </w:p>
        </w:tc>
        <w:tc>
          <w:tcPr>
            <w:tcW w:w="2449" w:type="dxa"/>
          </w:tcPr>
          <w:p>
            <w:pPr/>
          </w:p>
        </w:tc>
      </w:tr>
    </w:tbl>
    <w:p>
      <w:pPr>
        <w:pStyle w:val="BodyText"/>
        <w:spacing w:before="1"/>
        <w:rPr>
          <w:b/>
          <w:sz w:val="28"/>
        </w:rPr>
      </w:pPr>
    </w:p>
    <w:p>
      <w:pPr>
        <w:spacing w:line="357" w:lineRule="auto" w:before="59"/>
        <w:ind w:left="220" w:right="116" w:firstLine="0"/>
        <w:jc w:val="left"/>
        <w:rPr>
          <w:sz w:val="20"/>
        </w:rPr>
      </w:pPr>
      <w:r>
        <w:rPr>
          <w:sz w:val="20"/>
        </w:rPr>
        <w:t>(*) Όταν στους ενοποιημένους λογαριασμούς δεν φαίνεται ο αριθμός εργαζομένων, ο αριθμός τους υπολογίζεται με την άθροιση του αριθμού εργαζομένων όλων των επιχειρήσεων με τις οποίες συνδέεται η αιτούσα επιχείρηση.</w:t>
      </w:r>
    </w:p>
    <w:p>
      <w:pPr>
        <w:spacing w:before="3"/>
        <w:ind w:left="220" w:right="0" w:firstLine="0"/>
        <w:jc w:val="left"/>
        <w:rPr>
          <w:sz w:val="20"/>
        </w:rPr>
      </w:pPr>
      <w:r>
        <w:rPr>
          <w:sz w:val="20"/>
        </w:rPr>
        <w:t>(**) σε χιλιάδες ευρώ.</w:t>
      </w:r>
    </w:p>
    <w:p>
      <w:pPr>
        <w:spacing w:line="357" w:lineRule="auto" w:before="123"/>
        <w:ind w:left="220" w:right="0" w:firstLine="0"/>
        <w:jc w:val="left"/>
        <w:rPr>
          <w:sz w:val="20"/>
        </w:rPr>
      </w:pPr>
      <w:r>
        <w:rPr>
          <w:sz w:val="20"/>
        </w:rPr>
        <w:t>Τα στοιχεία της γραμμής «Σύνολο» του παραπάνω πίνακα πρέπει να μεταφέρονται στη γραμμή 1 του πίνακα του παραρτήματος της δήλωσης.</w:t>
      </w:r>
    </w:p>
    <w:p>
      <w:pPr>
        <w:spacing w:after="0" w:line="357" w:lineRule="auto"/>
        <w:jc w:val="left"/>
        <w:rPr>
          <w:sz w:val="20"/>
        </w:rPr>
        <w:sectPr>
          <w:pgSz w:w="11910" w:h="16840"/>
          <w:pgMar w:header="748" w:footer="734" w:top="1420" w:bottom="920" w:left="860" w:right="960"/>
        </w:sectPr>
      </w:pPr>
    </w:p>
    <w:p>
      <w:pPr>
        <w:pStyle w:val="BodyText"/>
        <w:spacing w:before="7"/>
        <w:rPr>
          <w:sz w:val="17"/>
        </w:rPr>
      </w:pPr>
    </w:p>
    <w:p>
      <w:pPr>
        <w:pStyle w:val="BodyText"/>
        <w:spacing w:before="57" w:after="44"/>
        <w:ind w:left="220"/>
      </w:pPr>
      <w:r>
        <w:rPr/>
        <w:t>Προσδιορισμός των επιχειρήσεων που περιλαμβάνονται βάσει ενοποίησης</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9"/>
        <w:gridCol w:w="1800"/>
        <w:gridCol w:w="1803"/>
        <w:gridCol w:w="2552"/>
      </w:tblGrid>
      <w:tr>
        <w:trPr>
          <w:trHeight w:val="742" w:hRule="exact"/>
        </w:trPr>
        <w:tc>
          <w:tcPr>
            <w:tcW w:w="3169" w:type="dxa"/>
          </w:tcPr>
          <w:p>
            <w:pPr>
              <w:pStyle w:val="TableParagraph"/>
              <w:ind w:left="386" w:firstLine="55"/>
              <w:rPr>
                <w:b/>
                <w:sz w:val="20"/>
              </w:rPr>
            </w:pPr>
            <w:r>
              <w:rPr>
                <w:b/>
                <w:sz w:val="20"/>
              </w:rPr>
              <w:t>Συνεργαζόμενη επιχείρηση (επωνυμία/ ακριβή στοιχεία</w:t>
            </w:r>
          </w:p>
        </w:tc>
        <w:tc>
          <w:tcPr>
            <w:tcW w:w="1800" w:type="dxa"/>
          </w:tcPr>
          <w:p>
            <w:pPr>
              <w:pStyle w:val="TableParagraph"/>
              <w:ind w:left="223" w:firstLine="62"/>
              <w:rPr>
                <w:b/>
                <w:sz w:val="20"/>
              </w:rPr>
            </w:pPr>
            <w:r>
              <w:rPr>
                <w:b/>
                <w:sz w:val="20"/>
              </w:rPr>
              <w:t>Διεύθυνση της εταιρικής έδρας</w:t>
            </w:r>
          </w:p>
        </w:tc>
        <w:tc>
          <w:tcPr>
            <w:tcW w:w="1803" w:type="dxa"/>
          </w:tcPr>
          <w:p>
            <w:pPr>
              <w:pStyle w:val="TableParagraph"/>
              <w:ind w:left="480" w:right="125" w:hanging="339"/>
              <w:rPr>
                <w:b/>
                <w:sz w:val="20"/>
              </w:rPr>
            </w:pPr>
            <w:r>
              <w:rPr>
                <w:b/>
                <w:sz w:val="20"/>
              </w:rPr>
              <w:t>Αριθμός μητρώου ή ΦΠΑ (*)</w:t>
            </w:r>
          </w:p>
        </w:tc>
        <w:tc>
          <w:tcPr>
            <w:tcW w:w="2552" w:type="dxa"/>
          </w:tcPr>
          <w:p>
            <w:pPr>
              <w:pStyle w:val="TableParagraph"/>
              <w:ind w:left="477" w:right="112" w:hanging="351"/>
              <w:rPr>
                <w:b/>
                <w:sz w:val="20"/>
              </w:rPr>
            </w:pPr>
            <w:r>
              <w:rPr>
                <w:b/>
                <w:sz w:val="20"/>
              </w:rPr>
              <w:t>Ονοματεπώνυμο και τίτλος του ή των βασικών διευθυνόντων (**)</w:t>
            </w:r>
          </w:p>
        </w:tc>
      </w:tr>
      <w:tr>
        <w:trPr>
          <w:trHeight w:val="377" w:hRule="exact"/>
        </w:trPr>
        <w:tc>
          <w:tcPr>
            <w:tcW w:w="3169" w:type="dxa"/>
          </w:tcPr>
          <w:p>
            <w:pPr>
              <w:pStyle w:val="TableParagraph"/>
              <w:spacing w:line="243" w:lineRule="exact"/>
              <w:ind w:left="103"/>
              <w:rPr>
                <w:sz w:val="20"/>
              </w:rPr>
            </w:pPr>
            <w:r>
              <w:rPr>
                <w:sz w:val="20"/>
              </w:rPr>
              <w:t>Α.</w:t>
            </w:r>
          </w:p>
        </w:tc>
        <w:tc>
          <w:tcPr>
            <w:tcW w:w="1800" w:type="dxa"/>
          </w:tcPr>
          <w:p>
            <w:pPr/>
          </w:p>
        </w:tc>
        <w:tc>
          <w:tcPr>
            <w:tcW w:w="1803" w:type="dxa"/>
          </w:tcPr>
          <w:p>
            <w:pPr/>
          </w:p>
        </w:tc>
        <w:tc>
          <w:tcPr>
            <w:tcW w:w="2552" w:type="dxa"/>
          </w:tcPr>
          <w:p>
            <w:pPr/>
          </w:p>
        </w:tc>
      </w:tr>
      <w:tr>
        <w:trPr>
          <w:trHeight w:val="377" w:hRule="exact"/>
        </w:trPr>
        <w:tc>
          <w:tcPr>
            <w:tcW w:w="3169" w:type="dxa"/>
          </w:tcPr>
          <w:p>
            <w:pPr>
              <w:pStyle w:val="TableParagraph"/>
              <w:spacing w:line="243" w:lineRule="exact"/>
              <w:ind w:left="103"/>
              <w:rPr>
                <w:sz w:val="20"/>
              </w:rPr>
            </w:pPr>
            <w:r>
              <w:rPr>
                <w:sz w:val="20"/>
              </w:rPr>
              <w:t>Β.</w:t>
            </w:r>
          </w:p>
        </w:tc>
        <w:tc>
          <w:tcPr>
            <w:tcW w:w="1800" w:type="dxa"/>
          </w:tcPr>
          <w:p>
            <w:pPr/>
          </w:p>
        </w:tc>
        <w:tc>
          <w:tcPr>
            <w:tcW w:w="1803" w:type="dxa"/>
          </w:tcPr>
          <w:p>
            <w:pPr/>
          </w:p>
        </w:tc>
        <w:tc>
          <w:tcPr>
            <w:tcW w:w="2552" w:type="dxa"/>
          </w:tcPr>
          <w:p>
            <w:pPr/>
          </w:p>
        </w:tc>
      </w:tr>
      <w:tr>
        <w:trPr>
          <w:trHeight w:val="374" w:hRule="exact"/>
        </w:trPr>
        <w:tc>
          <w:tcPr>
            <w:tcW w:w="3169" w:type="dxa"/>
          </w:tcPr>
          <w:p>
            <w:pPr>
              <w:pStyle w:val="TableParagraph"/>
              <w:spacing w:line="243" w:lineRule="exact"/>
              <w:ind w:left="103"/>
              <w:rPr>
                <w:sz w:val="20"/>
              </w:rPr>
            </w:pPr>
            <w:r>
              <w:rPr>
                <w:sz w:val="20"/>
              </w:rPr>
              <w:t>Γ.</w:t>
            </w:r>
          </w:p>
        </w:tc>
        <w:tc>
          <w:tcPr>
            <w:tcW w:w="1800" w:type="dxa"/>
          </w:tcPr>
          <w:p>
            <w:pPr/>
          </w:p>
        </w:tc>
        <w:tc>
          <w:tcPr>
            <w:tcW w:w="1803" w:type="dxa"/>
          </w:tcPr>
          <w:p>
            <w:pPr/>
          </w:p>
        </w:tc>
        <w:tc>
          <w:tcPr>
            <w:tcW w:w="2552" w:type="dxa"/>
          </w:tcPr>
          <w:p>
            <w:pPr/>
          </w:p>
        </w:tc>
      </w:tr>
      <w:tr>
        <w:trPr>
          <w:trHeight w:val="377" w:hRule="exact"/>
        </w:trPr>
        <w:tc>
          <w:tcPr>
            <w:tcW w:w="3169" w:type="dxa"/>
          </w:tcPr>
          <w:p>
            <w:pPr>
              <w:pStyle w:val="TableParagraph"/>
              <w:spacing w:before="1"/>
              <w:ind w:left="103"/>
              <w:rPr>
                <w:sz w:val="20"/>
              </w:rPr>
            </w:pPr>
            <w:r>
              <w:rPr>
                <w:sz w:val="20"/>
              </w:rPr>
              <w:t>Δ.</w:t>
            </w:r>
          </w:p>
        </w:tc>
        <w:tc>
          <w:tcPr>
            <w:tcW w:w="1800" w:type="dxa"/>
          </w:tcPr>
          <w:p>
            <w:pPr/>
          </w:p>
        </w:tc>
        <w:tc>
          <w:tcPr>
            <w:tcW w:w="1803" w:type="dxa"/>
          </w:tcPr>
          <w:p>
            <w:pPr/>
          </w:p>
        </w:tc>
        <w:tc>
          <w:tcPr>
            <w:tcW w:w="2552" w:type="dxa"/>
          </w:tcPr>
          <w:p>
            <w:pPr/>
          </w:p>
        </w:tc>
      </w:tr>
      <w:tr>
        <w:trPr>
          <w:trHeight w:val="377" w:hRule="exact"/>
        </w:trPr>
        <w:tc>
          <w:tcPr>
            <w:tcW w:w="3169" w:type="dxa"/>
          </w:tcPr>
          <w:p>
            <w:pPr>
              <w:pStyle w:val="TableParagraph"/>
              <w:spacing w:line="243" w:lineRule="exact"/>
              <w:ind w:left="103"/>
              <w:rPr>
                <w:sz w:val="20"/>
              </w:rPr>
            </w:pPr>
            <w:r>
              <w:rPr>
                <w:sz w:val="20"/>
              </w:rPr>
              <w:t>Ε.</w:t>
            </w:r>
          </w:p>
        </w:tc>
        <w:tc>
          <w:tcPr>
            <w:tcW w:w="1800" w:type="dxa"/>
          </w:tcPr>
          <w:p>
            <w:pPr/>
          </w:p>
        </w:tc>
        <w:tc>
          <w:tcPr>
            <w:tcW w:w="1803" w:type="dxa"/>
          </w:tcPr>
          <w:p>
            <w:pPr/>
          </w:p>
        </w:tc>
        <w:tc>
          <w:tcPr>
            <w:tcW w:w="2552" w:type="dxa"/>
          </w:tcPr>
          <w:p>
            <w:pPr/>
          </w:p>
        </w:tc>
      </w:tr>
    </w:tbl>
    <w:p>
      <w:pPr>
        <w:spacing w:line="362" w:lineRule="auto" w:before="0"/>
        <w:ind w:left="220" w:right="3713" w:firstLine="0"/>
        <w:jc w:val="left"/>
        <w:rPr>
          <w:sz w:val="20"/>
        </w:rPr>
      </w:pPr>
      <w:r>
        <w:rPr>
          <w:sz w:val="20"/>
        </w:rPr>
        <w:t>(*) Να προσδιοριστεί από τα κράτη μέλη σύμφωνα με τις ανάγκες τους. (**) Πρόεδρος (Chief executive), Γενικός Διευθυντής ή αντίστοιχη θέση.</w:t>
      </w:r>
    </w:p>
    <w:p>
      <w:pPr>
        <w:pStyle w:val="BodyText"/>
        <w:rPr>
          <w:sz w:val="20"/>
        </w:rPr>
      </w:pPr>
    </w:p>
    <w:p>
      <w:pPr>
        <w:pStyle w:val="BodyText"/>
        <w:spacing w:line="360" w:lineRule="auto" w:before="153"/>
        <w:ind w:left="220" w:right="117"/>
        <w:jc w:val="both"/>
      </w:pPr>
      <w:r>
        <w:rPr>
          <w:b/>
        </w:rPr>
        <w:t>Σημαντική σημείωση: </w:t>
      </w:r>
      <w:r>
        <w:rPr/>
        <w:t>Οι συνεργαζόμενες επιχειρήσεις μιας παρόμοιας συνδεδεμένης επιχείρησης,  που  δεν περιλαμβάνονται ήδη βάσει ενοποίησης, πρέπει να αντιμετωπίζονται ως άμεσοι εταίροι της αιτούσας επιχείρησης. Τα στοιχεία τους και ένα «δελτίο εταιρικής σχέσης» πρέπει συνεπώς να προστίθενται στο παράρτημα</w:t>
      </w:r>
      <w:r>
        <w:rPr>
          <w:spacing w:val="1"/>
        </w:rPr>
        <w:t> </w:t>
      </w:r>
      <w:r>
        <w:rPr/>
        <w:t>Α.</w:t>
      </w:r>
    </w:p>
    <w:p>
      <w:pPr>
        <w:pStyle w:val="BodyText"/>
        <w:spacing w:before="10"/>
        <w:rPr>
          <w:sz w:val="32"/>
        </w:rPr>
      </w:pPr>
    </w:p>
    <w:p>
      <w:pPr>
        <w:pStyle w:val="BodyText"/>
        <w:spacing w:line="360" w:lineRule="auto"/>
        <w:ind w:left="220" w:right="118"/>
        <w:jc w:val="both"/>
      </w:pPr>
      <w:r>
        <w:rPr>
          <w:b/>
        </w:rPr>
        <w:t>Περίπτωση 2</w:t>
      </w:r>
      <w:r>
        <w:rPr/>
        <w:t>: Για κάθε συνδεδεμένη επιχείρηση (συμπεριλαμβανομένων των σχέσεων μέσω άλλων συνδεδεμένων επιχειρήσεων), πρέπει να συμπληρώνεται ένα «δελτίο σύνδεσης» και να γίνεται απλή άθροιση των λογαριασμών όλων των συνδεδεμένων επιχειρήσεων συμπληρώνοντας τον πίνακα Β(2) παρακάτω.</w:t>
      </w:r>
    </w:p>
    <w:p>
      <w:pPr>
        <w:pStyle w:val="Heading4"/>
        <w:ind w:left="3713" w:right="3611"/>
        <w:jc w:val="center"/>
      </w:pPr>
      <w:r>
        <w:rPr/>
        <w:t>Πίνακας Β (2)</w:t>
      </w:r>
    </w:p>
    <w:p>
      <w:pPr>
        <w:pStyle w:val="BodyText"/>
        <w:spacing w:before="3"/>
        <w:rPr>
          <w:b/>
          <w:sz w:val="1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2583"/>
        <w:gridCol w:w="1620"/>
        <w:gridCol w:w="1981"/>
      </w:tblGrid>
      <w:tr>
        <w:trPr>
          <w:trHeight w:val="497" w:hRule="exact"/>
        </w:trPr>
        <w:tc>
          <w:tcPr>
            <w:tcW w:w="2628" w:type="dxa"/>
          </w:tcPr>
          <w:p>
            <w:pPr>
              <w:pStyle w:val="TableParagraph"/>
              <w:spacing w:line="243" w:lineRule="exact"/>
              <w:ind w:left="103"/>
              <w:rPr>
                <w:sz w:val="20"/>
              </w:rPr>
            </w:pPr>
            <w:r>
              <w:rPr>
                <w:sz w:val="20"/>
              </w:rPr>
              <w:t>Επιχείρηση αριθ.:</w:t>
            </w:r>
          </w:p>
        </w:tc>
        <w:tc>
          <w:tcPr>
            <w:tcW w:w="2583" w:type="dxa"/>
          </w:tcPr>
          <w:p>
            <w:pPr>
              <w:pStyle w:val="TableParagraph"/>
              <w:ind w:left="1042" w:hanging="846"/>
              <w:rPr>
                <w:sz w:val="20"/>
              </w:rPr>
            </w:pPr>
            <w:r>
              <w:rPr>
                <w:sz w:val="20"/>
              </w:rPr>
              <w:t>Αριθμός απασχολουμένων (ΕΜΕ)</w:t>
            </w:r>
          </w:p>
        </w:tc>
        <w:tc>
          <w:tcPr>
            <w:tcW w:w="1620" w:type="dxa"/>
          </w:tcPr>
          <w:p>
            <w:pPr>
              <w:pStyle w:val="TableParagraph"/>
              <w:ind w:left="228" w:right="211" w:firstLine="285"/>
              <w:rPr>
                <w:sz w:val="20"/>
              </w:rPr>
            </w:pPr>
            <w:r>
              <w:rPr>
                <w:sz w:val="20"/>
              </w:rPr>
              <w:t>Κύκλος εργασιών (**)</w:t>
            </w:r>
          </w:p>
        </w:tc>
        <w:tc>
          <w:tcPr>
            <w:tcW w:w="1981" w:type="dxa"/>
          </w:tcPr>
          <w:p>
            <w:pPr>
              <w:pStyle w:val="TableParagraph"/>
              <w:spacing w:line="242" w:lineRule="exact"/>
              <w:ind w:left="125" w:right="127"/>
              <w:jc w:val="center"/>
              <w:rPr>
                <w:sz w:val="20"/>
              </w:rPr>
            </w:pPr>
            <w:r>
              <w:rPr>
                <w:sz w:val="20"/>
              </w:rPr>
              <w:t>Σύνολο ισολογισμού</w:t>
            </w:r>
          </w:p>
          <w:p>
            <w:pPr>
              <w:pStyle w:val="TableParagraph"/>
              <w:spacing w:line="243" w:lineRule="exact"/>
              <w:ind w:left="124" w:right="127"/>
              <w:jc w:val="center"/>
              <w:rPr>
                <w:sz w:val="20"/>
              </w:rPr>
            </w:pPr>
            <w:r>
              <w:rPr>
                <w:sz w:val="20"/>
              </w:rPr>
              <w:t>(**)</w:t>
            </w:r>
          </w:p>
        </w:tc>
      </w:tr>
      <w:tr>
        <w:trPr>
          <w:trHeight w:val="377" w:hRule="exact"/>
        </w:trPr>
        <w:tc>
          <w:tcPr>
            <w:tcW w:w="2628" w:type="dxa"/>
          </w:tcPr>
          <w:p>
            <w:pPr>
              <w:pStyle w:val="TableParagraph"/>
              <w:spacing w:line="243" w:lineRule="exact"/>
              <w:ind w:left="103"/>
              <w:rPr>
                <w:sz w:val="20"/>
              </w:rPr>
            </w:pPr>
            <w:r>
              <w:rPr>
                <w:sz w:val="20"/>
              </w:rPr>
              <w:t>1. (*)</w:t>
            </w:r>
          </w:p>
        </w:tc>
        <w:tc>
          <w:tcPr>
            <w:tcW w:w="2583" w:type="dxa"/>
          </w:tcPr>
          <w:p>
            <w:pPr/>
          </w:p>
        </w:tc>
        <w:tc>
          <w:tcPr>
            <w:tcW w:w="1620" w:type="dxa"/>
          </w:tcPr>
          <w:p>
            <w:pPr/>
          </w:p>
        </w:tc>
        <w:tc>
          <w:tcPr>
            <w:tcW w:w="1981" w:type="dxa"/>
          </w:tcPr>
          <w:p>
            <w:pPr/>
          </w:p>
        </w:tc>
      </w:tr>
      <w:tr>
        <w:trPr>
          <w:trHeight w:val="377" w:hRule="exact"/>
        </w:trPr>
        <w:tc>
          <w:tcPr>
            <w:tcW w:w="2628" w:type="dxa"/>
          </w:tcPr>
          <w:p>
            <w:pPr>
              <w:pStyle w:val="TableParagraph"/>
              <w:spacing w:line="243" w:lineRule="exact"/>
              <w:ind w:left="103"/>
              <w:rPr>
                <w:sz w:val="20"/>
              </w:rPr>
            </w:pPr>
            <w:r>
              <w:rPr>
                <w:sz w:val="20"/>
              </w:rPr>
              <w:t>2. (*)</w:t>
            </w:r>
          </w:p>
        </w:tc>
        <w:tc>
          <w:tcPr>
            <w:tcW w:w="2583" w:type="dxa"/>
          </w:tcPr>
          <w:p>
            <w:pPr/>
          </w:p>
        </w:tc>
        <w:tc>
          <w:tcPr>
            <w:tcW w:w="1620" w:type="dxa"/>
          </w:tcPr>
          <w:p>
            <w:pPr/>
          </w:p>
        </w:tc>
        <w:tc>
          <w:tcPr>
            <w:tcW w:w="1981" w:type="dxa"/>
          </w:tcPr>
          <w:p>
            <w:pPr/>
          </w:p>
        </w:tc>
      </w:tr>
      <w:tr>
        <w:trPr>
          <w:trHeight w:val="375" w:hRule="exact"/>
        </w:trPr>
        <w:tc>
          <w:tcPr>
            <w:tcW w:w="2628" w:type="dxa"/>
          </w:tcPr>
          <w:p>
            <w:pPr>
              <w:pStyle w:val="TableParagraph"/>
              <w:spacing w:line="243" w:lineRule="exact"/>
              <w:ind w:left="103"/>
              <w:rPr>
                <w:sz w:val="20"/>
              </w:rPr>
            </w:pPr>
            <w:r>
              <w:rPr>
                <w:sz w:val="20"/>
              </w:rPr>
              <w:t>3. (*)</w:t>
            </w:r>
          </w:p>
        </w:tc>
        <w:tc>
          <w:tcPr>
            <w:tcW w:w="2583" w:type="dxa"/>
          </w:tcPr>
          <w:p>
            <w:pPr/>
          </w:p>
        </w:tc>
        <w:tc>
          <w:tcPr>
            <w:tcW w:w="1620" w:type="dxa"/>
          </w:tcPr>
          <w:p>
            <w:pPr/>
          </w:p>
        </w:tc>
        <w:tc>
          <w:tcPr>
            <w:tcW w:w="1981" w:type="dxa"/>
          </w:tcPr>
          <w:p>
            <w:pPr/>
          </w:p>
        </w:tc>
      </w:tr>
      <w:tr>
        <w:trPr>
          <w:trHeight w:val="377" w:hRule="exact"/>
        </w:trPr>
        <w:tc>
          <w:tcPr>
            <w:tcW w:w="2628" w:type="dxa"/>
          </w:tcPr>
          <w:p>
            <w:pPr>
              <w:pStyle w:val="TableParagraph"/>
              <w:spacing w:before="1"/>
              <w:ind w:left="103"/>
              <w:rPr>
                <w:sz w:val="20"/>
              </w:rPr>
            </w:pPr>
            <w:r>
              <w:rPr>
                <w:sz w:val="20"/>
              </w:rPr>
              <w:t>4. (*)</w:t>
            </w:r>
          </w:p>
        </w:tc>
        <w:tc>
          <w:tcPr>
            <w:tcW w:w="2583" w:type="dxa"/>
          </w:tcPr>
          <w:p>
            <w:pPr/>
          </w:p>
        </w:tc>
        <w:tc>
          <w:tcPr>
            <w:tcW w:w="1620" w:type="dxa"/>
          </w:tcPr>
          <w:p>
            <w:pPr/>
          </w:p>
        </w:tc>
        <w:tc>
          <w:tcPr>
            <w:tcW w:w="1981" w:type="dxa"/>
          </w:tcPr>
          <w:p>
            <w:pPr/>
          </w:p>
        </w:tc>
      </w:tr>
      <w:tr>
        <w:trPr>
          <w:trHeight w:val="377" w:hRule="exact"/>
        </w:trPr>
        <w:tc>
          <w:tcPr>
            <w:tcW w:w="2628" w:type="dxa"/>
          </w:tcPr>
          <w:p>
            <w:pPr>
              <w:pStyle w:val="TableParagraph"/>
              <w:spacing w:line="243" w:lineRule="exact"/>
              <w:ind w:left="103"/>
              <w:rPr>
                <w:sz w:val="20"/>
              </w:rPr>
            </w:pPr>
            <w:r>
              <w:rPr>
                <w:sz w:val="20"/>
              </w:rPr>
              <w:t>5. (*)</w:t>
            </w:r>
          </w:p>
        </w:tc>
        <w:tc>
          <w:tcPr>
            <w:tcW w:w="2583" w:type="dxa"/>
          </w:tcPr>
          <w:p>
            <w:pPr/>
          </w:p>
        </w:tc>
        <w:tc>
          <w:tcPr>
            <w:tcW w:w="1620" w:type="dxa"/>
          </w:tcPr>
          <w:p>
            <w:pPr/>
          </w:p>
        </w:tc>
        <w:tc>
          <w:tcPr>
            <w:tcW w:w="1981" w:type="dxa"/>
          </w:tcPr>
          <w:p>
            <w:pPr/>
          </w:p>
        </w:tc>
      </w:tr>
      <w:tr>
        <w:trPr>
          <w:trHeight w:val="377" w:hRule="exact"/>
        </w:trPr>
        <w:tc>
          <w:tcPr>
            <w:tcW w:w="2628" w:type="dxa"/>
          </w:tcPr>
          <w:p>
            <w:pPr>
              <w:pStyle w:val="TableParagraph"/>
              <w:spacing w:line="243" w:lineRule="exact"/>
              <w:ind w:left="103"/>
              <w:rPr>
                <w:sz w:val="20"/>
              </w:rPr>
            </w:pPr>
            <w:r>
              <w:rPr>
                <w:sz w:val="20"/>
              </w:rPr>
              <w:t>Σύνολο</w:t>
            </w:r>
          </w:p>
        </w:tc>
        <w:tc>
          <w:tcPr>
            <w:tcW w:w="2583" w:type="dxa"/>
          </w:tcPr>
          <w:p>
            <w:pPr/>
          </w:p>
        </w:tc>
        <w:tc>
          <w:tcPr>
            <w:tcW w:w="1620" w:type="dxa"/>
          </w:tcPr>
          <w:p>
            <w:pPr/>
          </w:p>
        </w:tc>
        <w:tc>
          <w:tcPr>
            <w:tcW w:w="1981" w:type="dxa"/>
          </w:tcPr>
          <w:p>
            <w:pPr/>
          </w:p>
        </w:tc>
      </w:tr>
    </w:tbl>
    <w:p>
      <w:pPr>
        <w:spacing w:line="357" w:lineRule="auto" w:before="0"/>
        <w:ind w:left="220" w:right="5010" w:firstLine="0"/>
        <w:jc w:val="left"/>
        <w:rPr>
          <w:sz w:val="20"/>
        </w:rPr>
      </w:pPr>
      <w:r>
        <w:rPr>
          <w:sz w:val="20"/>
        </w:rPr>
        <w:t>(*) να προστίθεται ένα «δελτίο σύνδεσης» ανά επιχείρηση. (**) σε χιλιάδες ευρώ.</w:t>
      </w:r>
    </w:p>
    <w:p>
      <w:pPr>
        <w:pStyle w:val="BodyText"/>
        <w:spacing w:line="360" w:lineRule="auto" w:before="121"/>
        <w:ind w:left="220" w:right="116"/>
      </w:pPr>
      <w:r>
        <w:rPr/>
        <w:t>Τα στοιχεία της γραμμής «Σύνολο» του παραπάνω πίνακα πρέπει να μεταφέρονται στη γραμμή 3 (σχετικά με τις συνδεδεμένες επιχειρήσεις) του πίνακα του παραρτήματος της δήλωσης.</w:t>
      </w:r>
    </w:p>
    <w:p>
      <w:pPr>
        <w:spacing w:after="0" w:line="360" w:lineRule="auto"/>
        <w:sectPr>
          <w:pgSz w:w="11910" w:h="16840"/>
          <w:pgMar w:header="748" w:footer="734" w:top="1420" w:bottom="920" w:left="860" w:right="960"/>
        </w:sectPr>
      </w:pPr>
    </w:p>
    <w:p>
      <w:pPr>
        <w:pStyle w:val="BodyText"/>
        <w:spacing w:before="2"/>
        <w:rPr>
          <w:sz w:val="18"/>
        </w:rPr>
      </w:pPr>
    </w:p>
    <w:p>
      <w:pPr>
        <w:pStyle w:val="Heading2"/>
        <w:ind w:left="3713" w:right="3611" w:firstLine="0"/>
        <w:jc w:val="center"/>
      </w:pPr>
      <w:r>
        <w:rPr/>
        <w:t>ΔΕΛΤΙΟ ΣΥΝΔΕΣΗΣ</w:t>
      </w:r>
    </w:p>
    <w:p>
      <w:pPr>
        <w:pStyle w:val="Heading3"/>
        <w:spacing w:before="43"/>
      </w:pPr>
      <w:r>
        <w:rPr/>
        <w:t>(μόνο για τη συνδεδεμένη επιχείρηση που δεν περιλαμβάνεται βάσει ενοποίησης στον πίνακα Β)</w:t>
      </w:r>
    </w:p>
    <w:p>
      <w:pPr>
        <w:pStyle w:val="BodyText"/>
        <w:rPr>
          <w:sz w:val="24"/>
        </w:rPr>
      </w:pPr>
    </w:p>
    <w:p>
      <w:pPr>
        <w:pStyle w:val="Heading4"/>
        <w:numPr>
          <w:ilvl w:val="0"/>
          <w:numId w:val="72"/>
        </w:numPr>
        <w:tabs>
          <w:tab w:pos="439" w:val="left" w:leader="none"/>
        </w:tabs>
        <w:spacing w:line="240" w:lineRule="auto" w:before="215" w:after="0"/>
        <w:ind w:left="438" w:right="0" w:hanging="218"/>
        <w:jc w:val="left"/>
      </w:pPr>
      <w:r>
        <w:rPr/>
        <w:t>Ακριβή στοιχεία της</w:t>
      </w:r>
      <w:r>
        <w:rPr>
          <w:spacing w:val="-8"/>
        </w:rPr>
        <w:t> </w:t>
      </w:r>
      <w:r>
        <w:rPr/>
        <w:t>επιχείρησης</w:t>
      </w:r>
    </w:p>
    <w:p>
      <w:pPr>
        <w:pStyle w:val="BodyText"/>
        <w:spacing w:before="134"/>
        <w:ind w:left="220"/>
      </w:pPr>
      <w:r>
        <w:rPr/>
        <w:t>Επωνυμία ή εταιρική επωνυμία: .....................................................................................................................</w:t>
      </w:r>
    </w:p>
    <w:p>
      <w:pPr>
        <w:pStyle w:val="BodyText"/>
        <w:spacing w:before="134"/>
        <w:ind w:left="220"/>
      </w:pPr>
      <w:r>
        <w:rPr/>
        <w:t>Διεύθυνση της εταιρικής έδρας : ....................................................................................................................</w:t>
      </w:r>
    </w:p>
    <w:p>
      <w:pPr>
        <w:pStyle w:val="BodyText"/>
        <w:spacing w:before="111"/>
        <w:ind w:left="220"/>
      </w:pPr>
      <w:r>
        <w:rPr/>
        <w:t>Αριθ. μητρώου ή ΦΠΑ (</w:t>
      </w:r>
      <w:r>
        <w:rPr>
          <w:position w:val="10"/>
          <w:sz w:val="14"/>
        </w:rPr>
        <w:t>1</w:t>
      </w:r>
      <w:r>
        <w:rPr/>
        <w:t>) : ..............................................................................................................................</w:t>
      </w:r>
    </w:p>
    <w:p>
      <w:pPr>
        <w:pStyle w:val="BodyText"/>
        <w:spacing w:before="111"/>
        <w:ind w:left="220"/>
      </w:pPr>
      <w:r>
        <w:rPr/>
        <w:t>Ονοματεπώνυμο και τίτλος του ή των κύριων διευθυντικών στελεχών (</w:t>
      </w:r>
      <w:r>
        <w:rPr>
          <w:position w:val="10"/>
          <w:sz w:val="14"/>
        </w:rPr>
        <w:t>2</w:t>
      </w:r>
      <w:r>
        <w:rPr/>
        <w:t>): ..................................................</w:t>
      </w:r>
    </w:p>
    <w:p>
      <w:pPr>
        <w:pStyle w:val="BodyText"/>
        <w:rPr>
          <w:sz w:val="26"/>
        </w:rPr>
      </w:pPr>
    </w:p>
    <w:p>
      <w:pPr>
        <w:pStyle w:val="Heading4"/>
        <w:numPr>
          <w:ilvl w:val="0"/>
          <w:numId w:val="72"/>
        </w:numPr>
        <w:tabs>
          <w:tab w:pos="439" w:val="left" w:leader="none"/>
        </w:tabs>
        <w:spacing w:line="240" w:lineRule="auto" w:before="221" w:after="0"/>
        <w:ind w:left="438" w:right="0" w:hanging="218"/>
        <w:jc w:val="left"/>
      </w:pPr>
      <w:r>
        <w:rPr/>
        <w:t>Στοιχεία της εν λόγω</w:t>
      </w:r>
      <w:r>
        <w:rPr>
          <w:spacing w:val="-8"/>
        </w:rPr>
        <w:t> </w:t>
      </w:r>
      <w:r>
        <w:rPr/>
        <w:t>επιχείρησης</w:t>
      </w:r>
    </w:p>
    <w:p>
      <w:pPr>
        <w:pStyle w:val="BodyText"/>
        <w:spacing w:before="1"/>
        <w:rPr>
          <w:b/>
          <w:sz w:val="1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6"/>
        <w:gridCol w:w="2213"/>
        <w:gridCol w:w="1980"/>
        <w:gridCol w:w="2449"/>
      </w:tblGrid>
      <w:tr>
        <w:trPr>
          <w:trHeight w:val="413" w:hRule="exact"/>
        </w:trPr>
        <w:tc>
          <w:tcPr>
            <w:tcW w:w="8858" w:type="dxa"/>
            <w:gridSpan w:val="4"/>
          </w:tcPr>
          <w:p>
            <w:pPr>
              <w:pStyle w:val="TableParagraph"/>
              <w:spacing w:line="268" w:lineRule="exact"/>
              <w:ind w:left="103"/>
              <w:rPr>
                <w:sz w:val="22"/>
              </w:rPr>
            </w:pPr>
            <w:r>
              <w:rPr>
                <w:sz w:val="22"/>
              </w:rPr>
              <w:t>Περίοδος αναφοράς:</w:t>
            </w:r>
          </w:p>
        </w:tc>
      </w:tr>
      <w:tr>
        <w:trPr>
          <w:trHeight w:val="816" w:hRule="exact"/>
        </w:trPr>
        <w:tc>
          <w:tcPr>
            <w:tcW w:w="2216" w:type="dxa"/>
          </w:tcPr>
          <w:p>
            <w:pPr/>
          </w:p>
        </w:tc>
        <w:tc>
          <w:tcPr>
            <w:tcW w:w="2213" w:type="dxa"/>
          </w:tcPr>
          <w:p>
            <w:pPr>
              <w:pStyle w:val="TableParagraph"/>
              <w:ind w:left="295" w:right="298" w:hanging="3"/>
              <w:jc w:val="center"/>
              <w:rPr>
                <w:sz w:val="22"/>
              </w:rPr>
            </w:pPr>
            <w:r>
              <w:rPr>
                <w:sz w:val="22"/>
              </w:rPr>
              <w:t>Αριθμός απασχολουμένων (ΕΜΕ)</w:t>
            </w:r>
          </w:p>
        </w:tc>
        <w:tc>
          <w:tcPr>
            <w:tcW w:w="1980" w:type="dxa"/>
          </w:tcPr>
          <w:p>
            <w:pPr>
              <w:pStyle w:val="TableParagraph"/>
              <w:spacing w:line="267" w:lineRule="exact"/>
              <w:ind w:left="187" w:right="187"/>
              <w:jc w:val="center"/>
              <w:rPr>
                <w:sz w:val="22"/>
              </w:rPr>
            </w:pPr>
            <w:r>
              <w:rPr>
                <w:sz w:val="22"/>
              </w:rPr>
              <w:t>Κύκλος εργασιών</w:t>
            </w:r>
          </w:p>
          <w:p>
            <w:pPr>
              <w:pStyle w:val="TableParagraph"/>
              <w:spacing w:line="267" w:lineRule="exact"/>
              <w:ind w:left="187" w:right="186"/>
              <w:jc w:val="center"/>
              <w:rPr>
                <w:sz w:val="22"/>
              </w:rPr>
            </w:pPr>
            <w:r>
              <w:rPr>
                <w:sz w:val="22"/>
              </w:rPr>
              <w:t>(*)</w:t>
            </w:r>
          </w:p>
        </w:tc>
        <w:tc>
          <w:tcPr>
            <w:tcW w:w="2449" w:type="dxa"/>
          </w:tcPr>
          <w:p>
            <w:pPr>
              <w:pStyle w:val="TableParagraph"/>
              <w:spacing w:line="268" w:lineRule="exact"/>
              <w:ind w:left="148"/>
              <w:rPr>
                <w:sz w:val="22"/>
              </w:rPr>
            </w:pPr>
            <w:r>
              <w:rPr>
                <w:sz w:val="22"/>
              </w:rPr>
              <w:t>Σύνολο ισολογισμού (*)</w:t>
            </w:r>
          </w:p>
        </w:tc>
      </w:tr>
      <w:tr>
        <w:trPr>
          <w:trHeight w:val="413" w:hRule="exact"/>
        </w:trPr>
        <w:tc>
          <w:tcPr>
            <w:tcW w:w="2216" w:type="dxa"/>
          </w:tcPr>
          <w:p>
            <w:pPr>
              <w:pStyle w:val="TableParagraph"/>
              <w:spacing w:line="265" w:lineRule="exact"/>
              <w:ind w:left="103"/>
              <w:rPr>
                <w:sz w:val="22"/>
              </w:rPr>
            </w:pPr>
            <w:r>
              <w:rPr>
                <w:sz w:val="22"/>
              </w:rPr>
              <w:t>Σύνολο</w:t>
            </w:r>
          </w:p>
        </w:tc>
        <w:tc>
          <w:tcPr>
            <w:tcW w:w="2213" w:type="dxa"/>
          </w:tcPr>
          <w:p>
            <w:pPr/>
          </w:p>
        </w:tc>
        <w:tc>
          <w:tcPr>
            <w:tcW w:w="1980" w:type="dxa"/>
          </w:tcPr>
          <w:p>
            <w:pPr/>
          </w:p>
        </w:tc>
        <w:tc>
          <w:tcPr>
            <w:tcW w:w="2449" w:type="dxa"/>
          </w:tcPr>
          <w:p>
            <w:pPr/>
          </w:p>
        </w:tc>
      </w:tr>
    </w:tbl>
    <w:p>
      <w:pPr>
        <w:pStyle w:val="BodyText"/>
        <w:spacing w:line="265" w:lineRule="exact"/>
        <w:ind w:left="220"/>
        <w:jc w:val="both"/>
      </w:pPr>
      <w:r>
        <w:rPr/>
        <w:t>(*) σε χιλιάδες ευρώ.</w:t>
      </w:r>
    </w:p>
    <w:p>
      <w:pPr>
        <w:pStyle w:val="BodyText"/>
      </w:pPr>
    </w:p>
    <w:p>
      <w:pPr>
        <w:pStyle w:val="BodyText"/>
        <w:spacing w:before="7"/>
        <w:rPr>
          <w:sz w:val="16"/>
        </w:rPr>
      </w:pPr>
    </w:p>
    <w:p>
      <w:pPr>
        <w:pStyle w:val="ListParagraph"/>
        <w:numPr>
          <w:ilvl w:val="0"/>
          <w:numId w:val="73"/>
        </w:numPr>
        <w:tabs>
          <w:tab w:pos="451" w:val="left" w:leader="none"/>
        </w:tabs>
        <w:spacing w:line="240" w:lineRule="auto" w:before="0" w:after="0"/>
        <w:ind w:left="220" w:right="0" w:firstLine="0"/>
        <w:jc w:val="both"/>
        <w:rPr>
          <w:sz w:val="20"/>
        </w:rPr>
      </w:pPr>
      <w:r>
        <w:rPr>
          <w:sz w:val="20"/>
        </w:rPr>
        <w:t>Να προσδιοριστεί από τα κράτη μέλη σύμφωνα με τις ανάγκες</w:t>
      </w:r>
      <w:r>
        <w:rPr>
          <w:spacing w:val="-12"/>
          <w:sz w:val="20"/>
        </w:rPr>
        <w:t> </w:t>
      </w:r>
      <w:r>
        <w:rPr>
          <w:sz w:val="20"/>
        </w:rPr>
        <w:t>τους.</w:t>
      </w:r>
    </w:p>
    <w:p>
      <w:pPr>
        <w:pStyle w:val="ListParagraph"/>
        <w:numPr>
          <w:ilvl w:val="0"/>
          <w:numId w:val="73"/>
        </w:numPr>
        <w:tabs>
          <w:tab w:pos="451" w:val="left" w:leader="none"/>
        </w:tabs>
        <w:spacing w:line="240" w:lineRule="auto" w:before="87" w:after="0"/>
        <w:ind w:left="450" w:right="0" w:hanging="230"/>
        <w:jc w:val="both"/>
        <w:rPr>
          <w:sz w:val="20"/>
        </w:rPr>
      </w:pPr>
      <w:r>
        <w:rPr>
          <w:sz w:val="20"/>
        </w:rPr>
        <w:t>Πρόεδρος («Chief executive»), Γενικός Διευθυντής ή αντίστοιχη</w:t>
      </w:r>
      <w:r>
        <w:rPr>
          <w:spacing w:val="-23"/>
          <w:sz w:val="20"/>
        </w:rPr>
        <w:t> </w:t>
      </w:r>
      <w:r>
        <w:rPr>
          <w:sz w:val="20"/>
        </w:rPr>
        <w:t>θέση.</w:t>
      </w:r>
    </w:p>
    <w:p>
      <w:pPr>
        <w:pStyle w:val="ListParagraph"/>
        <w:numPr>
          <w:ilvl w:val="0"/>
          <w:numId w:val="73"/>
        </w:numPr>
        <w:tabs>
          <w:tab w:pos="480" w:val="left" w:leader="none"/>
        </w:tabs>
        <w:spacing w:line="360" w:lineRule="auto" w:before="89" w:after="0"/>
        <w:ind w:left="220" w:right="119" w:firstLine="0"/>
        <w:jc w:val="both"/>
        <w:rPr>
          <w:sz w:val="20"/>
        </w:rPr>
      </w:pPr>
      <w:r>
        <w:rPr>
          <w:sz w:val="20"/>
        </w:rPr>
        <w:t>Ακόμη και εάν τα στοιχεία σχετικά με μία επιχείρηση περιλαμβάνονται στους ενοποιημένους λογαριασμούς σε ποσοστό χαμηλότερο από εκείνο που ορίζεται στο άρθρο 6 παράγραφος 2, πρέπει παρόλα αυτά να εφαρμόζεται το ποσοστό που ορίζεται στο εν λόγω άρθρο (ορισμός, άρθρο 6 παράγραφος 3 εδάφιο</w:t>
      </w:r>
      <w:r>
        <w:rPr>
          <w:spacing w:val="-22"/>
          <w:sz w:val="20"/>
        </w:rPr>
        <w:t> </w:t>
      </w:r>
      <w:r>
        <w:rPr>
          <w:sz w:val="20"/>
        </w:rPr>
        <w:t>2).</w:t>
      </w:r>
    </w:p>
    <w:p>
      <w:pPr>
        <w:pStyle w:val="BodyText"/>
        <w:rPr>
          <w:sz w:val="20"/>
        </w:rPr>
      </w:pPr>
    </w:p>
    <w:p>
      <w:pPr>
        <w:pStyle w:val="BodyText"/>
        <w:spacing w:before="158"/>
        <w:ind w:left="220"/>
        <w:jc w:val="both"/>
      </w:pPr>
      <w:r>
        <w:rPr/>
        <w:t>Τα στοιχεία αυτά πρέπει να μεταφέρονται στον πίνακα Β(2) του παραρτ. Β.</w:t>
      </w:r>
    </w:p>
    <w:p>
      <w:pPr>
        <w:pStyle w:val="BodyText"/>
      </w:pPr>
    </w:p>
    <w:p>
      <w:pPr>
        <w:pStyle w:val="BodyText"/>
        <w:spacing w:before="10"/>
        <w:rPr>
          <w:sz w:val="21"/>
        </w:rPr>
      </w:pPr>
    </w:p>
    <w:p>
      <w:pPr>
        <w:pStyle w:val="BodyText"/>
        <w:spacing w:line="355" w:lineRule="auto"/>
        <w:ind w:left="220" w:right="117"/>
        <w:jc w:val="both"/>
      </w:pPr>
      <w:r>
        <w:rPr>
          <w:b/>
        </w:rPr>
        <w:t>Σημαντική σημείωση</w:t>
      </w:r>
      <w:r>
        <w:rPr/>
        <w:t>: Τα στοιχεία των επιχειρήσεων που είναι συνδεδεμένες με την αιτούσα επιχείρηση προκύπτουν από τους λογαριασμούς τους και άλλα στοιχεία, ή, εφόσον υπάρχουν, από τους ενοποιημένους λογαριασμούς. Στα στοιχεία αυτά συγκεντρώνονται κατ’ αναλογία τα στοιχεία των ενδεχόμενων συνεργαζόμενων επιχειρήσεων με τις εν λόγω συνδεδεμένες επιχειρήσεις, που βρίσκονται ακριβώς ανάντη ή κατάντη της αιτούσας επιχείρησης, εφόσον δεν περιλαμβάνονται ήδη βάσει ενοποίησης (</w:t>
      </w:r>
      <w:r>
        <w:rPr>
          <w:position w:val="10"/>
          <w:sz w:val="14"/>
        </w:rPr>
        <w:t>3</w:t>
      </w:r>
      <w:r>
        <w:rPr/>
        <w:t>).</w:t>
      </w:r>
    </w:p>
    <w:p>
      <w:pPr>
        <w:pStyle w:val="BodyText"/>
        <w:spacing w:line="360" w:lineRule="auto" w:before="112"/>
        <w:ind w:left="220" w:right="116"/>
        <w:jc w:val="both"/>
      </w:pPr>
      <w:r>
        <w:rPr/>
        <w:t>Παρόμοιες συνεργαζόμενες επιχειρήσεις πρέπει να αντιμετωπίζονται ως άμεσοι εταίροι της αιτούσας επιχείρησης. Τα στοιχεία τους και ένα «δελτίο εταιρικής σχέσης» πρέπει συνεπώς να προστίθενται στο παράρτημα Α.</w:t>
      </w:r>
    </w:p>
    <w:p>
      <w:pPr>
        <w:spacing w:after="0" w:line="360" w:lineRule="auto"/>
        <w:jc w:val="both"/>
        <w:sectPr>
          <w:footerReference w:type="default" r:id="rId83"/>
          <w:pgSz w:w="11910" w:h="16840"/>
          <w:pgMar w:footer="734" w:header="748" w:top="1420" w:bottom="920" w:left="860" w:right="960"/>
        </w:sectPr>
      </w:pPr>
    </w:p>
    <w:p>
      <w:pPr>
        <w:pStyle w:val="BodyText"/>
        <w:rPr>
          <w:sz w:val="20"/>
        </w:rPr>
      </w:pPr>
    </w:p>
    <w:p>
      <w:pPr>
        <w:pStyle w:val="BodyText"/>
        <w:spacing w:before="3"/>
        <w:rPr>
          <w:sz w:val="17"/>
        </w:rPr>
      </w:pPr>
    </w:p>
    <w:p>
      <w:pPr>
        <w:pStyle w:val="Heading4"/>
        <w:spacing w:before="57"/>
      </w:pPr>
      <w:r>
        <w:rPr/>
        <w:t>ΠΑΡΑΡΤΗΜΑ VΙ: ΟΡΙΣΜΟΣ ΠΡΟΒΛΗΜΑΤΙΚΩΝ ΕΠΙΧΕΙΡΗΣΕΩΝ</w:t>
      </w:r>
    </w:p>
    <w:p>
      <w:pPr>
        <w:pStyle w:val="BodyText"/>
        <w:rPr>
          <w:b/>
        </w:rPr>
      </w:pPr>
    </w:p>
    <w:p>
      <w:pPr>
        <w:pStyle w:val="BodyText"/>
        <w:spacing w:line="273" w:lineRule="auto" w:before="161"/>
        <w:ind w:left="460" w:right="121" w:hanging="361"/>
        <w:jc w:val="both"/>
      </w:pPr>
      <w:r>
        <w:rPr/>
        <w:t>Α. Προβληματική επιχείρηση: η επιχείρηση για την οποία συντρέχει τουλάχιστον μία από τις ακόλουθες προϋποθέσεις:</w:t>
      </w:r>
    </w:p>
    <w:p>
      <w:pPr>
        <w:pStyle w:val="ListParagraph"/>
        <w:numPr>
          <w:ilvl w:val="0"/>
          <w:numId w:val="74"/>
        </w:numPr>
        <w:tabs>
          <w:tab w:pos="461" w:val="left" w:leader="none"/>
        </w:tabs>
        <w:spacing w:line="276" w:lineRule="auto" w:before="123" w:after="0"/>
        <w:ind w:left="460" w:right="114" w:hanging="360"/>
        <w:jc w:val="both"/>
        <w:rPr>
          <w:sz w:val="22"/>
        </w:rPr>
      </w:pPr>
      <w:r>
        <w:rPr>
          <w:sz w:val="22"/>
        </w:rPr>
        <w:t>εάν πρόκειται για εταιρεία περιορισμένης ευθύνης (πλην ΜΜΕ που δεν έχει συμπληρώσει τριετία από τη σύστασή της ή, όσον αφορά την επιλεξιμότητα για ενίσχυση χρηματοδότησης επιχειρηματικού κινδύνου, ΜΜΕ που δεν έχει συμπληρώσει επταετία από την πρώτη εμπορική της πώληση, η οποία πληροί τα κριτήρια για επενδύσεις χρηματοδότησης επιχειρηματικού κινδύνου κατόπιν ελέγχου με τη δέουσα επιμέλεια από τον επιλεγμένο ενδιάμεσο χρηματοπιστωτικό οργανισμό), όταν έχει απολεσθεί πάνω από το ήμισυ του εγγεγραμμένου της κεφαλαίου λόγω συσσωρευμένων ζημιών. Αυτό ισχύει όταν από την αφαίρεση των συσσωρευμένων ζημιών από τα αποθεματικά (και όλα τα άλλα στοιχεία που θεωρούνται εν γένει ως μέρος των ιδίων κεφαλαίων της εταιρείας) προκύπτει αρνητικό σωρευτικό  ποσό που υπερβαίνει το ήμισυ του εγγεγραμμένου κεφαλαίου. Για την εφαρμογή της παρούσας διάταξης, ο όρος «εταιρεία περιορισμένης ευθύνης» παραπέμπει ειδικότερα στα είδη εταιρειών που αναφέρονται στο παράρτημα I της οδηγίας 2013/34/ΕΕ του Ευρωπαϊκού Κοινοβουλίου </w:t>
      </w:r>
      <w:r>
        <w:rPr>
          <w:spacing w:val="2"/>
          <w:sz w:val="22"/>
        </w:rPr>
        <w:t>και </w:t>
      </w:r>
      <w:r>
        <w:rPr>
          <w:sz w:val="22"/>
        </w:rPr>
        <w:t>του Συμβουλίου (1) και ο όρος «κεφάλαιο» περιλαμβάνει, ενδεχομένως, και κάθε διαφορά από έκδοση υπέρ το άρτιο·</w:t>
      </w:r>
    </w:p>
    <w:p>
      <w:pPr>
        <w:pStyle w:val="ListParagraph"/>
        <w:numPr>
          <w:ilvl w:val="0"/>
          <w:numId w:val="74"/>
        </w:numPr>
        <w:tabs>
          <w:tab w:pos="461" w:val="left" w:leader="none"/>
        </w:tabs>
        <w:spacing w:line="276" w:lineRule="auto" w:before="120" w:after="0"/>
        <w:ind w:left="460" w:right="117" w:hanging="360"/>
        <w:jc w:val="both"/>
        <w:rPr>
          <w:sz w:val="22"/>
        </w:rPr>
      </w:pPr>
      <w:r>
        <w:rPr>
          <w:sz w:val="22"/>
        </w:rPr>
        <w:t>εάν πρόκειται για εταιρεία στην οποία τουλάχιστον ορισμένα μέλη έχουν απεριόριστη ευθύνη για τα χρέη της εταιρείας (πλην ΜΜΕ που δεν έχει συμπληρώσει τριετία από τη σύστασή της ή, όσον αφορά την επιλεξιμότητα για ενίσχυση χρηματοδότησης επιχειρηματικού κινδύνου, ΜΜΕ που δεν έχει συμπληρώσει επταετία από την πρώτη εμπορική της πώληση, η οποία πληροί τα κριτήρια για επενδύσεις χρηματοδότησης επιχειρηματικού κινδύνου κατόπιν ελέγχου με τη δέουσα επιμέλεια από τον επιλεγμένο ενδιάμεσο χρηματοπιστωτικό οργανισμό), εφόσον έχει απολεσθεί πάνω από το ήμισυ του κεφαλαίου της, όπως εμφαίνεται στους λογαριασμούς της εταιρείας, λόγω συσσωρευμένων ζημιών. Για την εφαρμογή της παρούσας διάταξης, ο όρος «εταιρεία στην οποία τουλάχιστον ορισμένα μέλη έχουν απεριόριστη ευθύνη για τα χρέη της εταιρείας» παραπέμπει ειδικότερα στα είδη εταιρειών που αναφέρονται στο παράρτημα II της οδηγίας</w:t>
      </w:r>
      <w:r>
        <w:rPr>
          <w:spacing w:val="-14"/>
          <w:sz w:val="22"/>
        </w:rPr>
        <w:t> </w:t>
      </w:r>
      <w:r>
        <w:rPr>
          <w:sz w:val="22"/>
        </w:rPr>
        <w:t>2013/34/ΕΕ·</w:t>
      </w:r>
    </w:p>
    <w:p>
      <w:pPr>
        <w:pStyle w:val="ListParagraph"/>
        <w:numPr>
          <w:ilvl w:val="0"/>
          <w:numId w:val="74"/>
        </w:numPr>
        <w:tabs>
          <w:tab w:pos="511" w:val="left" w:leader="none"/>
        </w:tabs>
        <w:spacing w:line="276" w:lineRule="auto" w:before="120" w:after="0"/>
        <w:ind w:left="460" w:right="119" w:hanging="360"/>
        <w:jc w:val="both"/>
        <w:rPr>
          <w:sz w:val="22"/>
        </w:rPr>
      </w:pPr>
      <w:r>
        <w:rPr>
          <w:sz w:val="22"/>
        </w:rPr>
        <w:t>εάν πρόκειται για εταιρεία που υπάγεται σε συλλογική πτωχευτική διαδικασία ή πληροί τις προϋποθέσεις του εθνικού δικαίου που τη διέπει όσον αφορά την υπαγωγή της σε συλλογική πτωχευτική διαδικασία μετά από αίτημα των πιστωτών</w:t>
      </w:r>
      <w:r>
        <w:rPr>
          <w:spacing w:val="-8"/>
          <w:sz w:val="22"/>
        </w:rPr>
        <w:t> </w:t>
      </w:r>
      <w:r>
        <w:rPr>
          <w:sz w:val="22"/>
        </w:rPr>
        <w:t>της·</w:t>
      </w:r>
    </w:p>
    <w:p>
      <w:pPr>
        <w:pStyle w:val="ListParagraph"/>
        <w:numPr>
          <w:ilvl w:val="0"/>
          <w:numId w:val="74"/>
        </w:numPr>
        <w:tabs>
          <w:tab w:pos="461" w:val="left" w:leader="none"/>
        </w:tabs>
        <w:spacing w:line="276" w:lineRule="auto" w:before="120" w:after="0"/>
        <w:ind w:left="460" w:right="118" w:hanging="360"/>
        <w:jc w:val="both"/>
        <w:rPr>
          <w:sz w:val="22"/>
        </w:rPr>
      </w:pPr>
      <w:r>
        <w:rPr>
          <w:sz w:val="22"/>
        </w:rPr>
        <w:t>εάν πρόκειται για επιχείρηση που έχει λάβει ενίσχυση διάσωσης και δεν έχει ακόμη αποπληρώσει το δάνειο ή λύσει τη σύμβαση εγγύησης ή που έχει λάβει ενίσχυση αναδιάρθρωσης και υπόκειται ακόμη σε σχέδιο</w:t>
      </w:r>
      <w:r>
        <w:rPr>
          <w:spacing w:val="-1"/>
          <w:sz w:val="22"/>
        </w:rPr>
        <w:t> </w:t>
      </w:r>
      <w:r>
        <w:rPr>
          <w:sz w:val="22"/>
        </w:rPr>
        <w:t>αναδιάρθρωσης·</w:t>
      </w:r>
    </w:p>
    <w:p>
      <w:pPr>
        <w:pStyle w:val="ListParagraph"/>
        <w:numPr>
          <w:ilvl w:val="0"/>
          <w:numId w:val="74"/>
        </w:numPr>
        <w:tabs>
          <w:tab w:pos="461" w:val="left" w:leader="none"/>
        </w:tabs>
        <w:spacing w:line="240" w:lineRule="auto" w:before="120" w:after="0"/>
        <w:ind w:left="460" w:right="0" w:hanging="360"/>
        <w:jc w:val="both"/>
        <w:rPr>
          <w:sz w:val="22"/>
        </w:rPr>
      </w:pPr>
      <w:r>
        <w:rPr>
          <w:sz w:val="22"/>
        </w:rPr>
        <w:t>εάν πρόκειται για άλλη επιχείρηση εκτός ΜΜΕ, εφόσον τα τελευταία δύο</w:t>
      </w:r>
      <w:r>
        <w:rPr>
          <w:spacing w:val="-15"/>
          <w:sz w:val="22"/>
        </w:rPr>
        <w:t> </w:t>
      </w:r>
      <w:r>
        <w:rPr>
          <w:sz w:val="22"/>
        </w:rPr>
        <w:t>έτη:</w:t>
      </w:r>
    </w:p>
    <w:p>
      <w:pPr>
        <w:pStyle w:val="ListParagraph"/>
        <w:numPr>
          <w:ilvl w:val="1"/>
          <w:numId w:val="74"/>
        </w:numPr>
        <w:tabs>
          <w:tab w:pos="821" w:val="left" w:leader="none"/>
        </w:tabs>
        <w:spacing w:line="240" w:lineRule="auto" w:before="158" w:after="0"/>
        <w:ind w:left="820" w:right="0" w:hanging="360"/>
        <w:jc w:val="left"/>
        <w:rPr>
          <w:sz w:val="22"/>
        </w:rPr>
      </w:pPr>
      <w:r>
        <w:rPr>
          <w:sz w:val="22"/>
        </w:rPr>
        <w:t>ο δείκτης χρέους προς ίδια κεφάλαια της επιχείρησης είναι υψηλότερος του 7,5</w:t>
      </w:r>
      <w:r>
        <w:rPr>
          <w:spacing w:val="-19"/>
          <w:sz w:val="22"/>
        </w:rPr>
        <w:t> </w:t>
      </w:r>
      <w:r>
        <w:rPr>
          <w:sz w:val="22"/>
        </w:rPr>
        <w:t>και</w:t>
      </w:r>
    </w:p>
    <w:p>
      <w:pPr>
        <w:pStyle w:val="ListParagraph"/>
        <w:numPr>
          <w:ilvl w:val="1"/>
          <w:numId w:val="74"/>
        </w:numPr>
        <w:tabs>
          <w:tab w:pos="820" w:val="left" w:leader="none"/>
          <w:tab w:pos="821" w:val="left" w:leader="none"/>
        </w:tabs>
        <w:spacing w:line="276" w:lineRule="auto" w:before="161" w:after="0"/>
        <w:ind w:left="820" w:right="122" w:hanging="360"/>
        <w:jc w:val="left"/>
        <w:rPr>
          <w:sz w:val="20"/>
        </w:rPr>
      </w:pPr>
      <w:r>
        <w:rPr>
          <w:sz w:val="22"/>
        </w:rPr>
        <w:t>ο δείκτης κάλυψης χρηματοοικονομικών υποχρεώσεων της επιχείρησης (EBITDA interest coverage ratio) είναι κάτω του</w:t>
      </w:r>
      <w:r>
        <w:rPr>
          <w:spacing w:val="-5"/>
          <w:sz w:val="22"/>
        </w:rPr>
        <w:t> </w:t>
      </w:r>
      <w:r>
        <w:rPr>
          <w:sz w:val="22"/>
        </w:rPr>
        <w:t>1,0.</w:t>
      </w:r>
    </w:p>
    <w:p>
      <w:pPr>
        <w:pStyle w:val="BodyText"/>
        <w:spacing w:line="276" w:lineRule="auto" w:before="120"/>
        <w:ind w:left="100" w:right="114"/>
        <w:jc w:val="both"/>
      </w:pPr>
      <w:r>
        <w:rPr/>
        <w:t>Η εξέταση μιας επιχείρησης για να διαπιστωθεί αν αυτή είναι προβληματική, γίνεται και σε επίπεδο ενιαίας επιχείρησης (αιτούσα επιχείρηση και τυχόν συνδεδεμένες με αυτή επιχειρήσεις), ανεξάρτητα αν υφίσταται για αυτές υποχρέωση σύνταξης ενοποιημένων οικονομικών καταστάσεων)</w:t>
      </w:r>
    </w:p>
    <w:p>
      <w:pPr>
        <w:spacing w:after="0" w:line="276" w:lineRule="auto"/>
        <w:jc w:val="both"/>
        <w:sectPr>
          <w:footerReference w:type="default" r:id="rId84"/>
          <w:pgSz w:w="11910" w:h="16840"/>
          <w:pgMar w:footer="734" w:header="748" w:top="1420" w:bottom="920" w:left="980" w:right="960"/>
          <w:pgNumType w:start="1"/>
        </w:sectPr>
      </w:pPr>
    </w:p>
    <w:p>
      <w:pPr>
        <w:pStyle w:val="BodyText"/>
        <w:spacing w:before="7"/>
        <w:rPr>
          <w:sz w:val="17"/>
        </w:rPr>
      </w:pPr>
    </w:p>
    <w:p>
      <w:pPr>
        <w:pStyle w:val="BodyText"/>
        <w:spacing w:line="276" w:lineRule="auto" w:before="57"/>
        <w:ind w:left="458" w:right="115" w:hanging="359"/>
        <w:jc w:val="both"/>
      </w:pPr>
      <w:r>
        <w:rPr/>
        <w:t>Β. Τα δικαιολογητικά που απαιτούνται προκειμένου να αξιολογηθεί εάν μία επιχείρηση  είναι  προβληματική κατά την έννοια που δίδεται στο δίκαιο περί κρατικών ενισχύσεων (βλ. Ορισμό Προβληματικής Επιχείρησης Παράρτημα VI) και πρέπει να προσκομισθούν ανάλογα με την ιδιότητα της επιχείρησης και τα έτη λειτουργίας της είναι τα</w:t>
      </w:r>
      <w:r>
        <w:rPr>
          <w:spacing w:val="-13"/>
        </w:rPr>
        <w:t> </w:t>
      </w:r>
      <w:r>
        <w:rPr/>
        <w:t>ακόλουθα:</w:t>
      </w:r>
    </w:p>
    <w:p>
      <w:pPr>
        <w:pStyle w:val="ListParagraph"/>
        <w:numPr>
          <w:ilvl w:val="0"/>
          <w:numId w:val="75"/>
        </w:numPr>
        <w:tabs>
          <w:tab w:pos="461" w:val="left" w:leader="none"/>
        </w:tabs>
        <w:spacing w:line="240" w:lineRule="auto" w:before="120" w:after="0"/>
        <w:ind w:left="460" w:right="0" w:hanging="360"/>
        <w:jc w:val="left"/>
        <w:rPr>
          <w:sz w:val="22"/>
        </w:rPr>
      </w:pPr>
      <w:r>
        <w:rPr>
          <w:sz w:val="22"/>
        </w:rPr>
        <w:t>Υφιστάμενη ΜΜΕ κάτω της τριετίας ατομικής</w:t>
      </w:r>
      <w:r>
        <w:rPr>
          <w:spacing w:val="-15"/>
          <w:sz w:val="22"/>
        </w:rPr>
        <w:t> </w:t>
      </w:r>
      <w:r>
        <w:rPr>
          <w:sz w:val="22"/>
        </w:rPr>
        <w:t>μορφής:</w:t>
      </w:r>
    </w:p>
    <w:p>
      <w:pPr>
        <w:pStyle w:val="BodyText"/>
        <w:spacing w:line="276" w:lineRule="auto" w:before="158"/>
        <w:ind w:left="813" w:right="118" w:hanging="356"/>
        <w:jc w:val="both"/>
      </w:pPr>
      <w:r>
        <w:rPr/>
        <w:t>α) Για τον έλεγχο του εδαφίου (γ) του ως άνω σημείου Πιστοποιητικό αρμόδιας δικαστικής ή  διοικητικής αρχής, έκδοσης του τελευταίου εξαμήνου από το οποίο να προκύπτει ότι δεν τελούν σε πτώχευση, ότι δεν τελούν σε διαδικασία κήρυξης πτώχευσης, πτωχευτικό συμβιβασμό, διαδικασία κήρυξης σε πτωχευτικό συμβιβασμό, ότι δεν τελούν υπό αναγκαστική διαχείριση και διαδικασία έκδοσης απόφασης αναγκαστικής διαχείρισης, ότι δεν έχει κάνει αίτημα για υπαγωγή στην διαδικασία του άρθρου 99 ΠτΚ, εφόσον ασκεί εμπορική δραστηριότητα, καθώς και ότι δεν έχει υποβληθεί κατά της επιχείρησης αίτημα για υπαγωγή στην πτωχευτική</w:t>
      </w:r>
      <w:r>
        <w:rPr>
          <w:spacing w:val="-15"/>
        </w:rPr>
        <w:t> </w:t>
      </w:r>
      <w:r>
        <w:rPr/>
        <w:t>διαδικασία.</w:t>
      </w:r>
    </w:p>
    <w:p>
      <w:pPr>
        <w:pStyle w:val="BodyText"/>
      </w:pPr>
    </w:p>
    <w:p>
      <w:pPr>
        <w:pStyle w:val="BodyText"/>
        <w:spacing w:before="10"/>
      </w:pPr>
    </w:p>
    <w:p>
      <w:pPr>
        <w:pStyle w:val="ListParagraph"/>
        <w:numPr>
          <w:ilvl w:val="0"/>
          <w:numId w:val="75"/>
        </w:numPr>
        <w:tabs>
          <w:tab w:pos="461" w:val="left" w:leader="none"/>
        </w:tabs>
        <w:spacing w:line="276" w:lineRule="auto" w:before="1" w:after="0"/>
        <w:ind w:left="460" w:right="119" w:hanging="358"/>
        <w:jc w:val="both"/>
        <w:rPr>
          <w:sz w:val="22"/>
        </w:rPr>
      </w:pPr>
      <w:r>
        <w:rPr>
          <w:sz w:val="22"/>
        </w:rPr>
        <w:t>Λοιπές υφιστάμενες επιχειρήσεις ατομικής μορφής ανεξαρτήτου χρόνου λειτουργίας με βιβλία Γ κατηγορίας:</w:t>
      </w:r>
    </w:p>
    <w:p>
      <w:pPr>
        <w:pStyle w:val="BodyText"/>
        <w:spacing w:line="276" w:lineRule="auto" w:before="118"/>
        <w:ind w:left="820" w:right="115" w:hanging="360"/>
        <w:jc w:val="both"/>
      </w:pPr>
      <w:r>
        <w:rPr/>
        <w:t>α) Για τον έλεγχο του εδαφίου (γ) του ως άνω σημείου Πιστοποιητικό αρμόδιας δικαστικής ή  διοικητικής αρχής, έκδοσης του τελευταίου εξαμήνου από το οποίο να προκύπτει ότι δεν τελούν </w:t>
      </w:r>
      <w:r>
        <w:rPr>
          <w:spacing w:val="-3"/>
        </w:rPr>
        <w:t>σε </w:t>
      </w:r>
      <w:r>
        <w:rPr/>
        <w:t>πτώχευση, ότι δεν τελούν σε διαδικασία κήρυξης πτώχευσης, πτωχευτικό συμβιβασμό, διαδικασία κήρυξης σε πτωχευτικό συμβιβασμό, ότι δεν τελούν υπό αναγκαστική διαχείριση και διαδικασία έκδοσης απόφασης αναγκαστικής διαχείρισης ότι δεν έχει κάνει αίτημα για υπαγωγή στην διαδικασία του άρθρου 99 ΠτΚ, εφόσον ασκεί εμπορική δραστηριότητα, καθώς και ότι δεν έχει υποβληθεί κατά της επιχείρησης αίτημα για υπαγωγή στην πτωχευτική διαδικασία</w:t>
      </w:r>
      <w:r>
        <w:rPr>
          <w:spacing w:val="-14"/>
        </w:rPr>
        <w:t> </w:t>
      </w:r>
      <w:r>
        <w:rPr/>
        <w:t>και</w:t>
      </w:r>
    </w:p>
    <w:p>
      <w:pPr>
        <w:pStyle w:val="BodyText"/>
      </w:pPr>
    </w:p>
    <w:p>
      <w:pPr>
        <w:pStyle w:val="BodyText"/>
        <w:spacing w:before="1"/>
        <w:rPr>
          <w:sz w:val="23"/>
        </w:rPr>
      </w:pPr>
    </w:p>
    <w:p>
      <w:pPr>
        <w:pStyle w:val="ListParagraph"/>
        <w:numPr>
          <w:ilvl w:val="0"/>
          <w:numId w:val="75"/>
        </w:numPr>
        <w:tabs>
          <w:tab w:pos="461" w:val="left" w:leader="none"/>
        </w:tabs>
        <w:spacing w:line="273" w:lineRule="auto" w:before="0" w:after="0"/>
        <w:ind w:left="460" w:right="114" w:hanging="358"/>
        <w:jc w:val="both"/>
        <w:rPr>
          <w:sz w:val="22"/>
        </w:rPr>
      </w:pPr>
      <w:r>
        <w:rPr>
          <w:sz w:val="22"/>
        </w:rPr>
        <w:t>Λοιπές υφιστάμενες επιχειρήσεις ατομικής μορφής ανεξαρτήτου χρόνου λειτουργίας με βιβλία όχι Γ κατηγορίας:</w:t>
      </w:r>
    </w:p>
    <w:p>
      <w:pPr>
        <w:pStyle w:val="BodyText"/>
        <w:spacing w:line="276" w:lineRule="auto" w:before="123"/>
        <w:ind w:left="820" w:right="116" w:hanging="360"/>
        <w:jc w:val="both"/>
      </w:pPr>
      <w:r>
        <w:rPr/>
        <w:t>α) Για τον έλεγχο του εδαφίου (γ) του ως άνω σημείου Πιστοποιητικό αρμόδιας δικαστικής ή  διοικητικής αρχής, έκδοσης του τελευταίου εξαμήνου από το οποίο να προκύπτει ότι δεν τελούν σε πτώχευση, ότι δεν τελούν σε διαδικασία κήρυξης πτώχευσης, πτωχευτικό συμβιβασμό, διαδικασία κήρυξης σε πτωχευτικό συμβιβασμό, ότι δεν τελούν υπό αναγκαστική διαχείριση και διαδικασία έκδοσης απόφασης αναγκαστικής διαχείρισης ότι δεν έχει κάνει αίτημα για υπαγωγή στην διαδικασία του άρθρου 99 ΠτΚ, εφόσον ασκεί εμπορική δραστηριότητα, καθώς και ότι δεν έχει υποβληθεί κατά της επιχείρησης αίτημα για υπαγωγή στην πτωχευτική διαδικασία</w:t>
      </w:r>
      <w:r>
        <w:rPr>
          <w:spacing w:val="-14"/>
        </w:rPr>
        <w:t> </w:t>
      </w:r>
      <w:r>
        <w:rPr/>
        <w:t>και</w:t>
      </w:r>
    </w:p>
    <w:p>
      <w:pPr>
        <w:pStyle w:val="BodyText"/>
      </w:pPr>
    </w:p>
    <w:p>
      <w:pPr>
        <w:pStyle w:val="BodyText"/>
        <w:spacing w:before="1"/>
        <w:rPr>
          <w:sz w:val="23"/>
        </w:rPr>
      </w:pPr>
    </w:p>
    <w:p>
      <w:pPr>
        <w:pStyle w:val="ListParagraph"/>
        <w:numPr>
          <w:ilvl w:val="0"/>
          <w:numId w:val="75"/>
        </w:numPr>
        <w:tabs>
          <w:tab w:pos="461" w:val="left" w:leader="none"/>
        </w:tabs>
        <w:spacing w:line="240" w:lineRule="auto" w:before="0" w:after="0"/>
        <w:ind w:left="460" w:right="0" w:hanging="358"/>
        <w:jc w:val="left"/>
        <w:rPr>
          <w:sz w:val="22"/>
        </w:rPr>
      </w:pPr>
      <w:r>
        <w:rPr>
          <w:sz w:val="22"/>
        </w:rPr>
        <w:t>Υφιστάμενη ΜΜΕ κάτω της τριετίας άλλης νομικής μορφής πλην</w:t>
      </w:r>
      <w:r>
        <w:rPr>
          <w:spacing w:val="-22"/>
          <w:sz w:val="22"/>
        </w:rPr>
        <w:t> </w:t>
      </w:r>
      <w:r>
        <w:rPr>
          <w:sz w:val="22"/>
        </w:rPr>
        <w:t>ατομικής:</w:t>
      </w:r>
    </w:p>
    <w:p>
      <w:pPr>
        <w:pStyle w:val="BodyText"/>
        <w:spacing w:line="276" w:lineRule="auto" w:before="158"/>
        <w:ind w:left="813" w:right="118" w:hanging="356"/>
        <w:jc w:val="both"/>
      </w:pPr>
      <w:r>
        <w:rPr/>
        <w:t>α)  Για τον έλεγχο του εδαφίου (γ) Πιστοποιητικό αρμόδιας δικαστικής ή διοικητικής αρχής, έκδοσης  του τελευταίου εξαμήνου από το οποίο να προκύπτει ότι δεν τελούν υπό κοινή εκκαθάριση του Κ.Ν. 2190/1920 όπως εκάστοτε ισχύει</w:t>
      </w:r>
      <w:r>
        <w:rPr>
          <w:spacing w:val="-10"/>
        </w:rPr>
        <w:t> </w:t>
      </w:r>
      <w:r>
        <w:rPr/>
        <w:t>και/ή</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813" w:right="120" w:hanging="356"/>
        <w:jc w:val="both"/>
      </w:pPr>
      <w:r>
        <w:rPr/>
        <w:t>β) Πιστοποιητικό αρμόδιας δικαστικής ή διοικητικής αρχής, έκδοσης του τελευταίου εξαμήνου από το οποίο να προκύπτει ότι δεν τελούν υπό ειδική εκκαθάριση του ν.1892/1990 όπως εκάστοτε ισχύει και/ή</w:t>
      </w:r>
    </w:p>
    <w:p>
      <w:pPr>
        <w:pStyle w:val="BodyText"/>
        <w:spacing w:line="276" w:lineRule="auto" w:before="120"/>
        <w:ind w:left="813" w:right="117" w:hanging="356"/>
        <w:jc w:val="both"/>
      </w:pPr>
      <w:r>
        <w:rPr/>
        <w:t>γ) Πιστοποιητικό αρμόδιας δικαστικής ή διοικητικής αρχής, έκδοσης του τελευταίου εξαμήνου από το οποίο να προκύπτει ότι δεν τελούν υπό ειδική εκκαθάριση σε λειτουργία του άρθρου 106ια του Πτωχευτικού Κώδικα ούτε σε καθεστώς προπτωχευτικής διαδικασίας εξυγίανσης του άρθρου 99  του Πτωχευτικού Κώδικα καθώς και ότι δεν έχει υποβληθεί κατά της επιχείρησης αίτημα για υπαγωγή στην πτωχευτική</w:t>
      </w:r>
      <w:r>
        <w:rPr>
          <w:spacing w:val="-4"/>
        </w:rPr>
        <w:t> </w:t>
      </w:r>
      <w:r>
        <w:rPr/>
        <w:t>διαδικασία.</w:t>
      </w:r>
    </w:p>
    <w:p>
      <w:pPr>
        <w:pStyle w:val="BodyText"/>
      </w:pPr>
    </w:p>
    <w:p>
      <w:pPr>
        <w:pStyle w:val="BodyText"/>
        <w:spacing w:before="11"/>
      </w:pPr>
    </w:p>
    <w:p>
      <w:pPr>
        <w:pStyle w:val="ListParagraph"/>
        <w:numPr>
          <w:ilvl w:val="0"/>
          <w:numId w:val="75"/>
        </w:numPr>
        <w:tabs>
          <w:tab w:pos="461" w:val="left" w:leader="none"/>
        </w:tabs>
        <w:spacing w:line="276" w:lineRule="auto" w:before="0" w:after="0"/>
        <w:ind w:left="460" w:right="120" w:hanging="358"/>
        <w:jc w:val="left"/>
        <w:rPr>
          <w:sz w:val="22"/>
        </w:rPr>
      </w:pPr>
      <w:r>
        <w:rPr>
          <w:sz w:val="22"/>
        </w:rPr>
        <w:t>Λοιπές υφιστάμενες επιχειρήσεις άλλης νομικής μορφής πλην ατομικής ανεξαρτήτου χρόνου λειτουργίας με βιβλία Γ</w:t>
      </w:r>
      <w:r>
        <w:rPr>
          <w:spacing w:val="-7"/>
          <w:sz w:val="22"/>
        </w:rPr>
        <w:t> </w:t>
      </w:r>
      <w:r>
        <w:rPr>
          <w:sz w:val="22"/>
        </w:rPr>
        <w:t>κατηγορίας:</w:t>
      </w:r>
    </w:p>
    <w:p>
      <w:pPr>
        <w:pStyle w:val="BodyText"/>
        <w:spacing w:line="276" w:lineRule="auto" w:before="120"/>
        <w:ind w:left="820" w:right="117" w:hanging="360"/>
        <w:jc w:val="both"/>
      </w:pPr>
      <w:r>
        <w:rPr/>
        <w:t>α)  Για τον έλεγχο του εδαφίου (γ) Πιστοποιητικό αρμόδιας δικαστικής ή διοικητικής αρχής, έκδοσης  του τελευταίου εξαμήνου από το οποίο να προκύπτει ότι δεν τελούν υπό κοινή εκκαθάριση του Κ.Ν. 2190/1920 όπως εκάστοτε ισχύει</w:t>
      </w:r>
      <w:r>
        <w:rPr>
          <w:spacing w:val="-10"/>
        </w:rPr>
        <w:t> </w:t>
      </w:r>
      <w:r>
        <w:rPr/>
        <w:t>και/ή</w:t>
      </w:r>
    </w:p>
    <w:p>
      <w:pPr>
        <w:pStyle w:val="BodyText"/>
        <w:spacing w:line="276" w:lineRule="auto" w:before="120"/>
        <w:ind w:left="820" w:right="116" w:hanging="360"/>
        <w:jc w:val="both"/>
      </w:pPr>
      <w:r>
        <w:rPr/>
        <w:t>β) Πιστοποιητικό αρμόδιας δικαστικής ή διοικητικής αρχής, έκδοσης του τελευταίου εξαμήνου από το οποίο να προκύπτει ότι δεν τελούν υπό ειδική εκκαθάριση του ν.1892/1990 όπως εκάστοτε ισχύει και/ή</w:t>
      </w:r>
    </w:p>
    <w:p>
      <w:pPr>
        <w:pStyle w:val="BodyText"/>
        <w:spacing w:line="276" w:lineRule="auto" w:before="120"/>
        <w:ind w:left="820" w:right="115" w:hanging="360"/>
        <w:jc w:val="both"/>
      </w:pPr>
      <w:r>
        <w:rPr/>
        <w:t>γ) Πιστοποιητικό αρμόδιας δικαστικής ή διοικητικής αρχής, έκδοσης του τελευταίου εξαμήνου από το οποίο να προκύπτει ότι δεν τελούν υπό ειδική εκκαθάριση σε λειτουργία του άρθρου 106ια του Πτωχευτικού Κώδικα ούτε σε καθεστώς προπτωχευτικής διαδικασίας εξυγίανσης του άρθρου 99  του Πτωχευτικού Κώδικα καθώς και ότι δεν έχει υποβληθεί κατά της επιχείρησης αίτημα για υπαγωγή στην πτωχευτική διαδικασία</w:t>
      </w:r>
      <w:r>
        <w:rPr>
          <w:spacing w:val="-4"/>
        </w:rPr>
        <w:t> </w:t>
      </w:r>
      <w:r>
        <w:rPr/>
        <w:t>και</w:t>
      </w:r>
    </w:p>
    <w:p>
      <w:pPr>
        <w:pStyle w:val="BodyText"/>
        <w:spacing w:line="276" w:lineRule="auto" w:before="120"/>
        <w:ind w:left="820" w:right="116" w:hanging="360"/>
        <w:jc w:val="both"/>
      </w:pPr>
      <w:r>
        <w:rPr/>
        <w:t>δ) Για τον έλεγχο του εδαφίου (α) ή (β) του ως άνω σημείου ισολογισμούς τελευταίων τριών διαχειριστικών χρήσεων ή όσων εξ αυτών υπάρχουν. Από τα εν λόγω στοιχεία θα λαμβάνεται σαν Εγγεγραμμένο Κεφάλαιο το Σύνολο των Ιδίων Κεφαλαίων Ισολογισμού και σαν Απώλειες οι Ζημίες βάση Κ.Α.Χ.</w:t>
      </w:r>
    </w:p>
    <w:p>
      <w:pPr>
        <w:pStyle w:val="BodyText"/>
      </w:pPr>
    </w:p>
    <w:p>
      <w:pPr>
        <w:pStyle w:val="BodyText"/>
        <w:spacing w:before="10"/>
      </w:pPr>
    </w:p>
    <w:p>
      <w:pPr>
        <w:pStyle w:val="ListParagraph"/>
        <w:numPr>
          <w:ilvl w:val="0"/>
          <w:numId w:val="75"/>
        </w:numPr>
        <w:tabs>
          <w:tab w:pos="461" w:val="left" w:leader="none"/>
        </w:tabs>
        <w:spacing w:line="278" w:lineRule="auto" w:before="1" w:after="0"/>
        <w:ind w:left="460" w:right="117" w:hanging="358"/>
        <w:jc w:val="left"/>
        <w:rPr>
          <w:sz w:val="22"/>
        </w:rPr>
      </w:pPr>
      <w:r>
        <w:rPr>
          <w:sz w:val="22"/>
        </w:rPr>
        <w:t>Λοιπές υφιστάμενες επιχειρήσεις άλλης νομικής μορφής πλην ατομικής ανεξαρτήτου χρόνου λειτουργίας με βιβλία όχι Γ</w:t>
      </w:r>
      <w:r>
        <w:rPr>
          <w:spacing w:val="-7"/>
          <w:sz w:val="22"/>
        </w:rPr>
        <w:t> </w:t>
      </w:r>
      <w:r>
        <w:rPr>
          <w:sz w:val="22"/>
        </w:rPr>
        <w:t>κατηγορίας:</w:t>
      </w:r>
    </w:p>
    <w:p>
      <w:pPr>
        <w:pStyle w:val="BodyText"/>
        <w:spacing w:line="276" w:lineRule="auto" w:before="118"/>
        <w:ind w:left="820" w:right="113" w:hanging="360"/>
        <w:jc w:val="both"/>
      </w:pPr>
      <w:r>
        <w:rPr/>
        <w:t>α)  Για τον έλεγχο του εδαφίου (γ) Πιστοποιητικό αρμόδιας δικαστικής ή διοικητικής αρχής, έκδοσης  του τελευταίου εξαμήνου από το οποίο να προκύπτει ότι δεν τελούν υπό κοινή εκκαθάριση του Κ.Ν. 2190/1920 όπως εκάστοτε ισχύει</w:t>
      </w:r>
      <w:r>
        <w:rPr>
          <w:spacing w:val="-10"/>
        </w:rPr>
        <w:t> </w:t>
      </w:r>
      <w:r>
        <w:rPr/>
        <w:t>και/ή</w:t>
      </w:r>
    </w:p>
    <w:p>
      <w:pPr>
        <w:pStyle w:val="BodyText"/>
        <w:spacing w:line="276" w:lineRule="auto" w:before="120"/>
        <w:ind w:left="820" w:right="122" w:hanging="360"/>
        <w:jc w:val="both"/>
      </w:pPr>
      <w:r>
        <w:rPr/>
        <w:t>β) Πιστοποιητικό αρμόδιας δικαστικής ή διοικητικής αρχής, έκδοσης του τελευταίου εξαμήνου από το οποίο να προκύπτει ότι δεν τελούν υπό ειδική εκκαθάριση του ν.1892/1990 όπως εκάστοτε ισχύει και/ή</w:t>
      </w:r>
    </w:p>
    <w:p>
      <w:pPr>
        <w:pStyle w:val="BodyText"/>
        <w:spacing w:line="276" w:lineRule="auto" w:before="120"/>
        <w:ind w:left="820" w:right="114" w:hanging="360"/>
        <w:jc w:val="both"/>
      </w:pPr>
      <w:r>
        <w:rPr/>
        <w:t>γ) Πιστοποιητικό αρμόδιας δικαστικής ή διοικητικής αρχής, έκδοσης του τελευταίου εξαμήνου από το οποίο να προκύπτει ότι δεν τελούν υπό ειδική εκκαθάριση σε λειτουργία του άρθρου 106ια του Πτωχευτικού Κώδικα ούτε σε καθεστώς προπτωχευτικής διαδικασίας εξυγίανσης του άρθρου 99</w:t>
      </w:r>
    </w:p>
    <w:p>
      <w:pPr>
        <w:spacing w:after="0" w:line="276" w:lineRule="auto"/>
        <w:jc w:val="both"/>
        <w:sectPr>
          <w:pgSz w:w="11910" w:h="16840"/>
          <w:pgMar w:header="748" w:footer="734" w:top="1420" w:bottom="920" w:left="980" w:right="960"/>
        </w:sectPr>
      </w:pPr>
    </w:p>
    <w:p>
      <w:pPr>
        <w:pStyle w:val="BodyText"/>
        <w:spacing w:before="7"/>
        <w:rPr>
          <w:sz w:val="17"/>
        </w:rPr>
      </w:pPr>
    </w:p>
    <w:p>
      <w:pPr>
        <w:pStyle w:val="BodyText"/>
        <w:spacing w:line="276" w:lineRule="auto" w:before="57"/>
        <w:ind w:left="820" w:right="162"/>
      </w:pPr>
      <w:r>
        <w:rPr/>
        <w:t>του Πτωχευτικού Κώδικα καθώς και ότι δεν έχει υποβληθεί κατά της επιχείρησης αίτημα για υπαγωγή στην πτωχευτική διαδικασία και</w:t>
      </w:r>
    </w:p>
    <w:p>
      <w:pPr>
        <w:pStyle w:val="BodyText"/>
        <w:spacing w:line="276" w:lineRule="auto" w:before="118"/>
        <w:ind w:left="820" w:right="118" w:hanging="360"/>
        <w:jc w:val="both"/>
      </w:pPr>
      <w:r>
        <w:rPr/>
        <w:t>δ) Για τον έλεγχο του εδαφίου (α) ή (β) του ως άνω σημείου το πιο πρόσφατο κωδικοποιημένο καταστατικό και οι τυχόν μεταγενέστερες</w:t>
      </w:r>
    </w:p>
    <w:p>
      <w:pPr>
        <w:pStyle w:val="BodyText"/>
        <w:spacing w:line="276" w:lineRule="auto" w:before="120"/>
        <w:ind w:left="820" w:right="114" w:hanging="360"/>
        <w:jc w:val="both"/>
      </w:pPr>
      <w:r>
        <w:rPr/>
        <w:t>ε) τροποποιήσεις αυτού, μαζί με τα αντίστοιχα ΦΕΚ δημοσίευσης όπου αυτή προβλέπεται  και  Δηλώσεις Φορολογίας Εισοδήματος Ε3 των τριών τελευταίων κλεισμένων διαχειριστικών χρήσεων  ή όσων εξ αυτών</w:t>
      </w:r>
      <w:r>
        <w:rPr>
          <w:spacing w:val="-5"/>
        </w:rPr>
        <w:t> </w:t>
      </w:r>
      <w:r>
        <w:rPr/>
        <w:t>υπάρχουν.</w:t>
      </w:r>
    </w:p>
    <w:p>
      <w:pPr>
        <w:pStyle w:val="BodyText"/>
      </w:pPr>
    </w:p>
    <w:p>
      <w:pPr>
        <w:pStyle w:val="BodyText"/>
        <w:spacing w:before="1"/>
        <w:rPr>
          <w:sz w:val="23"/>
        </w:rPr>
      </w:pPr>
    </w:p>
    <w:p>
      <w:pPr>
        <w:pStyle w:val="ListParagraph"/>
        <w:numPr>
          <w:ilvl w:val="0"/>
          <w:numId w:val="75"/>
        </w:numPr>
        <w:tabs>
          <w:tab w:pos="461" w:val="left" w:leader="none"/>
        </w:tabs>
        <w:spacing w:line="276" w:lineRule="auto" w:before="0" w:after="0"/>
        <w:ind w:left="460" w:right="116" w:hanging="358"/>
        <w:jc w:val="both"/>
        <w:rPr>
          <w:sz w:val="22"/>
        </w:rPr>
      </w:pPr>
      <w:r>
        <w:rPr>
          <w:sz w:val="22"/>
        </w:rPr>
        <w:t>Το σύνολο των επιχειρήσεων θα δηλώνουν υπευθύνως ότι: «Η επιχείρηση δεν έχει λάβει ενίσχυση διάσωσης ή αναδιάρθρωσης, ή η επιχείρηση έχει λάβει ενίσχυση διάσωσης αλλά έχει αποπληρώσει το δάνειο και έχει λύσει τη σύμβαση εγγύησης ή η επιχείρηση έχει λάβει ενίσχυση αναδιάρθρωσης η οποία έχει</w:t>
      </w:r>
      <w:r>
        <w:rPr>
          <w:spacing w:val="-4"/>
          <w:sz w:val="22"/>
        </w:rPr>
        <w:t> </w:t>
      </w:r>
      <w:r>
        <w:rPr>
          <w:sz w:val="22"/>
        </w:rPr>
        <w:t>ολοκληρωθεί.»</w:t>
      </w:r>
    </w:p>
    <w:p>
      <w:pPr>
        <w:spacing w:after="0" w:line="276" w:lineRule="auto"/>
        <w:jc w:val="both"/>
        <w:rPr>
          <w:sz w:val="22"/>
        </w:rPr>
        <w:sectPr>
          <w:pgSz w:w="11910" w:h="16840"/>
          <w:pgMar w:header="748" w:footer="734" w:top="1420" w:bottom="920" w:left="980" w:right="960"/>
        </w:sectPr>
      </w:pPr>
    </w:p>
    <w:p>
      <w:pPr>
        <w:pStyle w:val="BodyText"/>
        <w:spacing w:before="9" w:after="1"/>
        <w:rPr>
          <w:rFonts w:ascii="Times New Roman"/>
          <w:sz w:val="23"/>
        </w:rPr>
      </w:pPr>
    </w:p>
    <w:p>
      <w:pPr>
        <w:pStyle w:val="BodyText"/>
        <w:ind w:left="100"/>
        <w:rPr>
          <w:rFonts w:ascii="Times New Roman"/>
          <w:sz w:val="20"/>
        </w:rPr>
      </w:pPr>
      <w:r>
        <w:rPr>
          <w:rFonts w:ascii="Times New Roman"/>
          <w:sz w:val="20"/>
        </w:rPr>
        <w:drawing>
          <wp:inline distT="0" distB="0" distL="0" distR="0">
            <wp:extent cx="6097169" cy="8613362"/>
            <wp:effectExtent l="0" t="0" r="0" b="0"/>
            <wp:docPr id="55" name="image16.jpeg" descr=""/>
            <wp:cNvGraphicFramePr>
              <a:graphicFrameLocks noChangeAspect="1"/>
            </wp:cNvGraphicFramePr>
            <a:graphic>
              <a:graphicData uri="http://schemas.openxmlformats.org/drawingml/2006/picture">
                <pic:pic>
                  <pic:nvPicPr>
                    <pic:cNvPr id="56" name="image16.jpeg"/>
                    <pic:cNvPicPr/>
                  </pic:nvPicPr>
                  <pic:blipFill>
                    <a:blip r:embed="rId85" cstate="print"/>
                    <a:stretch>
                      <a:fillRect/>
                    </a:stretch>
                  </pic:blipFill>
                  <pic:spPr>
                    <a:xfrm>
                      <a:off x="0" y="0"/>
                      <a:ext cx="6097169" cy="861336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980" w:right="980"/>
        </w:sectPr>
      </w:pPr>
    </w:p>
    <w:p>
      <w:pPr>
        <w:pStyle w:val="BodyText"/>
        <w:spacing w:before="9" w:after="1"/>
        <w:rPr>
          <w:rFonts w:ascii="Times New Roman"/>
          <w:sz w:val="23"/>
        </w:rPr>
      </w:pPr>
    </w:p>
    <w:p>
      <w:pPr>
        <w:pStyle w:val="BodyText"/>
        <w:ind w:left="100"/>
        <w:rPr>
          <w:rFonts w:ascii="Times New Roman"/>
          <w:sz w:val="20"/>
        </w:rPr>
      </w:pPr>
      <w:r>
        <w:rPr>
          <w:rFonts w:ascii="Times New Roman"/>
          <w:sz w:val="20"/>
        </w:rPr>
        <w:drawing>
          <wp:inline distT="0" distB="0" distL="0" distR="0">
            <wp:extent cx="6097169" cy="8613362"/>
            <wp:effectExtent l="0" t="0" r="0" b="0"/>
            <wp:docPr id="57" name="image17.jpeg" descr=""/>
            <wp:cNvGraphicFramePr>
              <a:graphicFrameLocks noChangeAspect="1"/>
            </wp:cNvGraphicFramePr>
            <a:graphic>
              <a:graphicData uri="http://schemas.openxmlformats.org/drawingml/2006/picture">
                <pic:pic>
                  <pic:nvPicPr>
                    <pic:cNvPr id="58" name="image17.jpeg"/>
                    <pic:cNvPicPr/>
                  </pic:nvPicPr>
                  <pic:blipFill>
                    <a:blip r:embed="rId86" cstate="print"/>
                    <a:stretch>
                      <a:fillRect/>
                    </a:stretch>
                  </pic:blipFill>
                  <pic:spPr>
                    <a:xfrm>
                      <a:off x="0" y="0"/>
                      <a:ext cx="6097169" cy="861336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980" w:right="980"/>
        </w:sectPr>
      </w:pPr>
    </w:p>
    <w:p>
      <w:pPr>
        <w:pStyle w:val="BodyText"/>
        <w:spacing w:before="9" w:after="1"/>
        <w:rPr>
          <w:rFonts w:ascii="Times New Roman"/>
          <w:sz w:val="23"/>
        </w:rPr>
      </w:pPr>
    </w:p>
    <w:p>
      <w:pPr>
        <w:pStyle w:val="BodyText"/>
        <w:ind w:left="100"/>
        <w:rPr>
          <w:rFonts w:ascii="Times New Roman"/>
          <w:sz w:val="20"/>
        </w:rPr>
      </w:pPr>
      <w:r>
        <w:rPr>
          <w:rFonts w:ascii="Times New Roman"/>
          <w:sz w:val="20"/>
        </w:rPr>
        <w:drawing>
          <wp:inline distT="0" distB="0" distL="0" distR="0">
            <wp:extent cx="6097169" cy="8613362"/>
            <wp:effectExtent l="0" t="0" r="0" b="0"/>
            <wp:docPr id="59" name="image18.jpeg" descr=""/>
            <wp:cNvGraphicFramePr>
              <a:graphicFrameLocks noChangeAspect="1"/>
            </wp:cNvGraphicFramePr>
            <a:graphic>
              <a:graphicData uri="http://schemas.openxmlformats.org/drawingml/2006/picture">
                <pic:pic>
                  <pic:nvPicPr>
                    <pic:cNvPr id="60" name="image18.jpeg"/>
                    <pic:cNvPicPr/>
                  </pic:nvPicPr>
                  <pic:blipFill>
                    <a:blip r:embed="rId87" cstate="print"/>
                    <a:stretch>
                      <a:fillRect/>
                    </a:stretch>
                  </pic:blipFill>
                  <pic:spPr>
                    <a:xfrm>
                      <a:off x="0" y="0"/>
                      <a:ext cx="6097169" cy="861336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980" w:right="980"/>
        </w:sectPr>
      </w:pPr>
    </w:p>
    <w:p>
      <w:pPr>
        <w:pStyle w:val="BodyText"/>
        <w:spacing w:before="9" w:after="1"/>
        <w:rPr>
          <w:rFonts w:ascii="Times New Roman"/>
          <w:sz w:val="23"/>
        </w:rPr>
      </w:pPr>
    </w:p>
    <w:p>
      <w:pPr>
        <w:pStyle w:val="BodyText"/>
        <w:ind w:left="100"/>
        <w:rPr>
          <w:rFonts w:ascii="Times New Roman"/>
          <w:sz w:val="20"/>
        </w:rPr>
      </w:pPr>
      <w:r>
        <w:rPr>
          <w:rFonts w:ascii="Times New Roman"/>
          <w:sz w:val="20"/>
        </w:rPr>
        <w:drawing>
          <wp:inline distT="0" distB="0" distL="0" distR="0">
            <wp:extent cx="6101035" cy="8347138"/>
            <wp:effectExtent l="0" t="0" r="0" b="0"/>
            <wp:docPr id="61" name="image19.jpeg" descr=""/>
            <wp:cNvGraphicFramePr>
              <a:graphicFrameLocks noChangeAspect="1"/>
            </wp:cNvGraphicFramePr>
            <a:graphic>
              <a:graphicData uri="http://schemas.openxmlformats.org/drawingml/2006/picture">
                <pic:pic>
                  <pic:nvPicPr>
                    <pic:cNvPr id="62" name="image19.jpeg"/>
                    <pic:cNvPicPr/>
                  </pic:nvPicPr>
                  <pic:blipFill>
                    <a:blip r:embed="rId88" cstate="print"/>
                    <a:stretch>
                      <a:fillRect/>
                    </a:stretch>
                  </pic:blipFill>
                  <pic:spPr>
                    <a:xfrm>
                      <a:off x="0" y="0"/>
                      <a:ext cx="6101035" cy="8347138"/>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48" w:footer="734" w:top="1420" w:bottom="920" w:left="980" w:right="980"/>
        </w:sectPr>
      </w:pPr>
    </w:p>
    <w:p>
      <w:pPr>
        <w:pStyle w:val="BodyText"/>
        <w:rPr>
          <w:rFonts w:ascii="Times New Roman"/>
          <w:sz w:val="20"/>
        </w:rPr>
      </w:pPr>
    </w:p>
    <w:p>
      <w:pPr>
        <w:pStyle w:val="BodyText"/>
        <w:spacing w:before="6"/>
        <w:rPr>
          <w:rFonts w:ascii="Times New Roman"/>
          <w:sz w:val="19"/>
        </w:rPr>
      </w:pPr>
    </w:p>
    <w:p>
      <w:pPr>
        <w:pStyle w:val="Heading4"/>
        <w:spacing w:before="57"/>
        <w:ind w:left="280"/>
        <w:jc w:val="left"/>
      </w:pPr>
      <w:r>
        <w:rPr/>
        <w:t>ΠΑΡΑΡΤΗΜΑ VIΙ: ΚΡΙΤΗΡΙΑ ΑΞΙΟΛΟΓΗΣΗΣ</w:t>
      </w:r>
    </w:p>
    <w:p>
      <w:pPr>
        <w:pStyle w:val="BodyText"/>
        <w:spacing w:before="120"/>
        <w:ind w:left="280"/>
      </w:pPr>
      <w:r>
        <w:rPr/>
        <w:pict>
          <v:group style="position:absolute;margin-left:63.59pt;margin-top:26.063635pt;width:714.75pt;height:70.850pt;mso-position-horizontal-relative:page;mso-position-vertical-relative:paragraph;z-index:1624;mso-wrap-distance-left:0;mso-wrap-distance-right:0" coordorigin="1272,521" coordsize="14295,1417">
            <v:rect style="position:absolute;left:1282;top:536;width:14275;height:571" filled="true" fillcolor="#528ed4" stroked="false">
              <v:fill type="solid"/>
            </v:rect>
            <v:rect style="position:absolute;left:1385;top:687;width:14069;height:269" filled="true" fillcolor="#528ed4" stroked="false">
              <v:fill type="solid"/>
            </v:rect>
            <v:line style="position:absolute" from="1282,531" to="15557,531" stroked="true" strokeweight=".48pt" strokecolor="#000000">
              <v:stroke dashstyle="solid"/>
            </v:line>
            <v:line style="position:absolute" from="1282,1112" to="15557,1112" stroked="true" strokeweight=".48pt" strokecolor="#000000">
              <v:stroke dashstyle="solid"/>
            </v:line>
            <v:line style="position:absolute" from="1277,526" to="1277,1933" stroked="true" strokeweight=".48pt" strokecolor="#000000">
              <v:stroke dashstyle="solid"/>
            </v:line>
            <v:line style="position:absolute" from="1282,1928" to="15557,1928" stroked="true" strokeweight=".48pt" strokecolor="#000000">
              <v:stroke dashstyle="solid"/>
            </v:line>
            <v:line style="position:absolute" from="15562,526" to="15562,1933" stroked="true" strokeweight=".47998pt" strokecolor="#000000">
              <v:stroke dashstyle="solid"/>
            </v:line>
            <v:shape style="position:absolute;left:1277;top:531;width:14285;height:581" type="#_x0000_t202" filled="false" stroked="false">
              <v:textbox inset="0,0,0,0">
                <w:txbxContent>
                  <w:p>
                    <w:pPr>
                      <w:spacing w:before="153"/>
                      <w:ind w:left="5073" w:right="5073" w:firstLine="0"/>
                      <w:jc w:val="center"/>
                      <w:rPr>
                        <w:b/>
                        <w:sz w:val="22"/>
                      </w:rPr>
                    </w:pPr>
                    <w:r>
                      <w:rPr>
                        <w:b/>
                        <w:color w:val="FFFFFF"/>
                        <w:sz w:val="22"/>
                      </w:rPr>
                      <w:t>ΕΛΕΓΧΟΣ ΣΥΜΒΑΤΟΤΗΤΑΣ ΑΠΟ ΤΟ ΣΥΣΤΗΜΑ</w:t>
                    </w:r>
                  </w:p>
                </w:txbxContent>
              </v:textbox>
              <w10:wrap type="none"/>
            </v:shape>
            <v:shape style="position:absolute;left:1277;top:1112;width:14285;height:817" type="#_x0000_t202" filled="false" stroked="false">
              <v:textbox inset="0,0,0,0">
                <w:txbxContent>
                  <w:p>
                    <w:pPr>
                      <w:spacing w:before="1"/>
                      <w:ind w:left="828" w:right="3567" w:firstLine="0"/>
                      <w:jc w:val="left"/>
                      <w:rPr>
                        <w:sz w:val="22"/>
                      </w:rPr>
                    </w:pPr>
                    <w:r>
                      <w:rPr>
                        <w:sz w:val="22"/>
                      </w:rPr>
                      <w:t>Η ημερομηνία υποβολής αίτησης χρηματοδότησης είναι εντός της προθεσμίας που τίθεται στην πρόσκληση. Ο αιτούμενος προϋπολογισμός είναι εντός των ορίων.</w:t>
                    </w:r>
                  </w:p>
                  <w:p>
                    <w:pPr>
                      <w:spacing w:before="1"/>
                      <w:ind w:left="828" w:right="0" w:firstLine="0"/>
                      <w:jc w:val="left"/>
                      <w:rPr>
                        <w:sz w:val="22"/>
                      </w:rPr>
                    </w:pPr>
                    <w:r>
                      <w:rPr>
                        <w:sz w:val="22"/>
                      </w:rPr>
                      <w:t>Το έντυπο της πρότασης είναι πλήρως συμπληρωμένο.</w:t>
                    </w:r>
                  </w:p>
                </w:txbxContent>
              </v:textbox>
              <w10:wrap type="none"/>
            </v:shape>
            <w10:wrap type="topAndBottom"/>
          </v:group>
        </w:pict>
      </w:r>
      <w:r>
        <w:rPr/>
        <w:t>Η αξιολόγηση πραγματοποιείται σε τρία στάδια</w:t>
      </w:r>
    </w:p>
    <w:p>
      <w:pPr>
        <w:pStyle w:val="BodyText"/>
        <w:rPr>
          <w:sz w:val="20"/>
        </w:rPr>
      </w:pPr>
    </w:p>
    <w:p>
      <w:pPr>
        <w:pStyle w:val="BodyText"/>
        <w:spacing w:before="10"/>
        <w:rPr>
          <w:sz w:val="27"/>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79"/>
        <w:gridCol w:w="4076"/>
        <w:gridCol w:w="1248"/>
        <w:gridCol w:w="1277"/>
        <w:gridCol w:w="1104"/>
      </w:tblGrid>
      <w:tr>
        <w:trPr>
          <w:trHeight w:val="700" w:hRule="exact"/>
        </w:trPr>
        <w:tc>
          <w:tcPr>
            <w:tcW w:w="14285" w:type="dxa"/>
            <w:gridSpan w:val="5"/>
            <w:shd w:val="clear" w:color="auto" w:fill="538DD3"/>
          </w:tcPr>
          <w:p>
            <w:pPr>
              <w:pStyle w:val="TableParagraph"/>
              <w:spacing w:before="11"/>
              <w:rPr>
                <w:sz w:val="16"/>
              </w:rPr>
            </w:pPr>
          </w:p>
          <w:p>
            <w:pPr>
              <w:pStyle w:val="TableParagraph"/>
              <w:ind w:left="5069" w:right="5070"/>
              <w:jc w:val="center"/>
              <w:rPr>
                <w:b/>
                <w:sz w:val="22"/>
              </w:rPr>
            </w:pPr>
            <w:r>
              <w:rPr>
                <w:b/>
                <w:color w:val="FFFFFF"/>
                <w:sz w:val="22"/>
              </w:rPr>
              <w:t>ΣΤΑΔΙΟ Α΄ Έλεγχος πληρότητας</w:t>
            </w:r>
            <w:r>
              <w:rPr>
                <w:b/>
                <w:color w:val="FFFFFF"/>
                <w:spacing w:val="-7"/>
                <w:sz w:val="22"/>
              </w:rPr>
              <w:t> </w:t>
            </w:r>
            <w:r>
              <w:rPr>
                <w:b/>
                <w:color w:val="FFFFFF"/>
                <w:sz w:val="22"/>
              </w:rPr>
              <w:t>πρότασης</w:t>
            </w:r>
          </w:p>
        </w:tc>
      </w:tr>
      <w:tr>
        <w:trPr>
          <w:trHeight w:val="816" w:hRule="exact"/>
        </w:trPr>
        <w:tc>
          <w:tcPr>
            <w:tcW w:w="6579" w:type="dxa"/>
          </w:tcPr>
          <w:p>
            <w:pPr>
              <w:pStyle w:val="TableParagraph"/>
              <w:spacing w:before="9"/>
              <w:rPr>
                <w:sz w:val="21"/>
              </w:rPr>
            </w:pPr>
          </w:p>
          <w:p>
            <w:pPr>
              <w:pStyle w:val="TableParagraph"/>
              <w:ind w:left="2830" w:right="2831"/>
              <w:jc w:val="center"/>
              <w:rPr>
                <w:b/>
                <w:sz w:val="22"/>
              </w:rPr>
            </w:pPr>
            <w:r>
              <w:rPr>
                <w:b/>
                <w:sz w:val="22"/>
              </w:rPr>
              <w:t>ΚΡΙΤΗΡΙΟ</w:t>
            </w:r>
          </w:p>
        </w:tc>
        <w:tc>
          <w:tcPr>
            <w:tcW w:w="4076" w:type="dxa"/>
          </w:tcPr>
          <w:p>
            <w:pPr>
              <w:pStyle w:val="TableParagraph"/>
              <w:spacing w:before="9"/>
              <w:rPr>
                <w:sz w:val="21"/>
              </w:rPr>
            </w:pPr>
          </w:p>
          <w:p>
            <w:pPr>
              <w:pStyle w:val="TableParagraph"/>
              <w:ind w:left="1437" w:right="1438"/>
              <w:jc w:val="center"/>
              <w:rPr>
                <w:b/>
                <w:sz w:val="22"/>
              </w:rPr>
            </w:pPr>
            <w:r>
              <w:rPr>
                <w:b/>
                <w:sz w:val="22"/>
              </w:rPr>
              <w:t>ΕΞΕΙΔΙΚΕΥΣΗ</w:t>
            </w:r>
          </w:p>
        </w:tc>
        <w:tc>
          <w:tcPr>
            <w:tcW w:w="1248" w:type="dxa"/>
          </w:tcPr>
          <w:p>
            <w:pPr>
              <w:pStyle w:val="TableParagraph"/>
              <w:ind w:left="105" w:right="103" w:hanging="4"/>
              <w:jc w:val="center"/>
              <w:rPr>
                <w:b/>
                <w:sz w:val="22"/>
              </w:rPr>
            </w:pPr>
            <w:r>
              <w:rPr>
                <w:b/>
                <w:sz w:val="22"/>
              </w:rPr>
              <w:t>ΤΙΜΗ / ΒΑΘΜΟΛΟ ΓΙΑ</w:t>
            </w:r>
          </w:p>
        </w:tc>
        <w:tc>
          <w:tcPr>
            <w:tcW w:w="1277" w:type="dxa"/>
          </w:tcPr>
          <w:p>
            <w:pPr>
              <w:pStyle w:val="TableParagraph"/>
              <w:spacing w:before="9"/>
              <w:rPr>
                <w:sz w:val="21"/>
              </w:rPr>
            </w:pPr>
          </w:p>
          <w:p>
            <w:pPr>
              <w:pStyle w:val="TableParagraph"/>
              <w:ind w:left="139"/>
              <w:rPr>
                <w:b/>
                <w:sz w:val="22"/>
              </w:rPr>
            </w:pPr>
            <w:r>
              <w:rPr>
                <w:b/>
                <w:sz w:val="22"/>
              </w:rPr>
              <w:t>ΣΤΑΘΜΙΣΗ</w:t>
            </w:r>
          </w:p>
        </w:tc>
        <w:tc>
          <w:tcPr>
            <w:tcW w:w="1104" w:type="dxa"/>
          </w:tcPr>
          <w:p>
            <w:pPr>
              <w:pStyle w:val="TableParagraph"/>
              <w:spacing w:before="131"/>
              <w:ind w:left="331" w:right="92" w:hanging="224"/>
              <w:rPr>
                <w:b/>
                <w:sz w:val="22"/>
              </w:rPr>
            </w:pPr>
            <w:r>
              <w:rPr>
                <w:b/>
                <w:sz w:val="22"/>
              </w:rPr>
              <w:t>ΑΠΟΤΕΛΕ ΣΜΑ</w:t>
            </w:r>
          </w:p>
        </w:tc>
      </w:tr>
      <w:tr>
        <w:trPr>
          <w:trHeight w:val="1815" w:hRule="exact"/>
        </w:trPr>
        <w:tc>
          <w:tcPr>
            <w:tcW w:w="6579" w:type="dxa"/>
          </w:tcPr>
          <w:p>
            <w:pPr>
              <w:pStyle w:val="TableParagraph"/>
              <w:rPr>
                <w:sz w:val="22"/>
              </w:rPr>
            </w:pPr>
          </w:p>
          <w:p>
            <w:pPr>
              <w:pStyle w:val="TableParagraph"/>
              <w:rPr>
                <w:sz w:val="22"/>
              </w:rPr>
            </w:pPr>
          </w:p>
          <w:p>
            <w:pPr>
              <w:pStyle w:val="TableParagraph"/>
              <w:spacing w:before="8"/>
              <w:rPr>
                <w:sz w:val="18"/>
              </w:rPr>
            </w:pPr>
          </w:p>
          <w:p>
            <w:pPr>
              <w:pStyle w:val="TableParagraph"/>
              <w:ind w:left="103"/>
              <w:rPr>
                <w:sz w:val="22"/>
              </w:rPr>
            </w:pPr>
            <w:r>
              <w:rPr>
                <w:sz w:val="22"/>
              </w:rPr>
              <w:t>Τυπική πληρότητα της εμπρόθεσμα υποβαλλόμενης πρότασης</w:t>
            </w:r>
          </w:p>
        </w:tc>
        <w:tc>
          <w:tcPr>
            <w:tcW w:w="4076" w:type="dxa"/>
          </w:tcPr>
          <w:p>
            <w:pPr>
              <w:pStyle w:val="TableParagraph"/>
              <w:ind w:left="103" w:right="106"/>
              <w:jc w:val="both"/>
              <w:rPr>
                <w:sz w:val="20"/>
              </w:rPr>
            </w:pPr>
            <w:r>
              <w:rPr>
                <w:sz w:val="20"/>
              </w:rPr>
              <w:t>Εξετάζεται αν, για την υποβολή της πρότασης, ακολουθήθηκε εμπρόθεσμα η προβλεπόμενη διαδικασία, αν τα τυποποιημένα έντυπα είναι συμπληρωμένα και έχουν επισυναφθεί όλα τα συνοδευτικά έγγραφα σύμφωνα με τα αναφερόμενα στη σχετική πρόσκληση</w:t>
            </w:r>
          </w:p>
        </w:tc>
        <w:tc>
          <w:tcPr>
            <w:tcW w:w="1248" w:type="dxa"/>
          </w:tcPr>
          <w:p>
            <w:pPr>
              <w:pStyle w:val="TableParagraph"/>
              <w:rPr>
                <w:sz w:val="22"/>
              </w:rPr>
            </w:pPr>
          </w:p>
          <w:p>
            <w:pPr>
              <w:pStyle w:val="TableParagraph"/>
              <w:rPr>
                <w:sz w:val="22"/>
              </w:rPr>
            </w:pPr>
          </w:p>
          <w:p>
            <w:pPr>
              <w:pStyle w:val="TableParagraph"/>
              <w:spacing w:before="8"/>
              <w:rPr>
                <w:sz w:val="18"/>
              </w:rPr>
            </w:pPr>
          </w:p>
          <w:p>
            <w:pPr>
              <w:pStyle w:val="TableParagraph"/>
              <w:ind w:left="299"/>
              <w:rPr>
                <w:sz w:val="22"/>
              </w:rPr>
            </w:pPr>
            <w:r>
              <w:rPr>
                <w:sz w:val="22"/>
              </w:rPr>
              <w:t>ναι/όχι</w:t>
            </w:r>
          </w:p>
        </w:tc>
        <w:tc>
          <w:tcPr>
            <w:tcW w:w="1277" w:type="dxa"/>
          </w:tcPr>
          <w:p>
            <w:pPr/>
          </w:p>
        </w:tc>
        <w:tc>
          <w:tcPr>
            <w:tcW w:w="1104" w:type="dxa"/>
          </w:tcPr>
          <w:p>
            <w:pPr/>
          </w:p>
        </w:tc>
      </w:tr>
      <w:tr>
        <w:trPr>
          <w:trHeight w:val="610" w:hRule="exact"/>
        </w:trPr>
        <w:tc>
          <w:tcPr>
            <w:tcW w:w="10656" w:type="dxa"/>
            <w:gridSpan w:val="2"/>
          </w:tcPr>
          <w:p>
            <w:pPr>
              <w:pStyle w:val="TableParagraph"/>
              <w:spacing w:before="162"/>
              <w:ind w:left="103"/>
              <w:rPr>
                <w:sz w:val="22"/>
              </w:rPr>
            </w:pPr>
            <w:r>
              <w:rPr>
                <w:sz w:val="22"/>
              </w:rPr>
              <w:t>Απαιτείται θετική αξιολόγηση (ΝΑΙ) σε όλα τα παραπάνω κριτήρια</w:t>
            </w:r>
          </w:p>
        </w:tc>
        <w:tc>
          <w:tcPr>
            <w:tcW w:w="2525" w:type="dxa"/>
            <w:gridSpan w:val="2"/>
          </w:tcPr>
          <w:p>
            <w:pPr>
              <w:pStyle w:val="TableParagraph"/>
              <w:spacing w:before="28"/>
              <w:ind w:left="604" w:right="587" w:firstLine="165"/>
              <w:rPr>
                <w:b/>
                <w:sz w:val="22"/>
              </w:rPr>
            </w:pPr>
            <w:r>
              <w:rPr>
                <w:b/>
                <w:sz w:val="22"/>
              </w:rPr>
              <w:t>ΣΥΝΟΛΙΚΟ ΑΠΟΤΕΛΕΣΜΑ</w:t>
            </w:r>
          </w:p>
        </w:tc>
        <w:tc>
          <w:tcPr>
            <w:tcW w:w="1104" w:type="dxa"/>
          </w:tcPr>
          <w:p>
            <w:pPr>
              <w:pStyle w:val="TableParagraph"/>
              <w:spacing w:line="241" w:lineRule="exact"/>
              <w:ind w:left="177"/>
              <w:rPr>
                <w:rFonts w:ascii="Tahoma" w:hAnsi="Tahoma"/>
                <w:i/>
                <w:sz w:val="20"/>
              </w:rPr>
            </w:pPr>
            <w:r>
              <w:rPr>
                <w:rFonts w:ascii="Tahoma" w:hAnsi="Tahoma"/>
                <w:i/>
                <w:sz w:val="20"/>
              </w:rPr>
              <w:t>ΝΑΙ/ΟΧΙ</w:t>
            </w:r>
          </w:p>
        </w:tc>
      </w:tr>
    </w:tbl>
    <w:p>
      <w:pPr>
        <w:spacing w:after="0" w:line="241" w:lineRule="exact"/>
        <w:rPr>
          <w:rFonts w:ascii="Tahoma" w:hAnsi="Tahoma"/>
          <w:sz w:val="20"/>
        </w:rPr>
        <w:sectPr>
          <w:headerReference w:type="default" r:id="rId89"/>
          <w:footerReference w:type="default" r:id="rId90"/>
          <w:pgSz w:w="16840" w:h="11910" w:orient="landscape"/>
          <w:pgMar w:header="748" w:footer="734" w:top="1180" w:bottom="920" w:left="1160" w:right="1160"/>
          <w:pgNumType w:start="1"/>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1522"/>
        <w:gridCol w:w="4606"/>
        <w:gridCol w:w="3997"/>
        <w:gridCol w:w="1248"/>
        <w:gridCol w:w="1277"/>
        <w:gridCol w:w="1104"/>
      </w:tblGrid>
      <w:tr>
        <w:trPr>
          <w:trHeight w:val="698" w:hRule="exact"/>
        </w:trPr>
        <w:tc>
          <w:tcPr>
            <w:tcW w:w="14285" w:type="dxa"/>
            <w:gridSpan w:val="7"/>
            <w:shd w:val="clear" w:color="auto" w:fill="538DD3"/>
          </w:tcPr>
          <w:p>
            <w:pPr>
              <w:pStyle w:val="TableParagraph"/>
              <w:spacing w:before="1"/>
              <w:rPr>
                <w:rFonts w:ascii="Times New Roman"/>
                <w:sz w:val="18"/>
              </w:rPr>
            </w:pPr>
          </w:p>
          <w:p>
            <w:pPr>
              <w:pStyle w:val="TableParagraph"/>
              <w:ind w:left="5069" w:right="5071"/>
              <w:jc w:val="center"/>
              <w:rPr>
                <w:b/>
                <w:sz w:val="22"/>
              </w:rPr>
            </w:pPr>
            <w:r>
              <w:rPr>
                <w:b/>
                <w:color w:val="FFFFFF"/>
                <w:sz w:val="22"/>
              </w:rPr>
              <w:t>ΣΤΑΔΙΟ Β΄ Έλεγχος επιλεξιμότητας</w:t>
            </w:r>
            <w:r>
              <w:rPr>
                <w:b/>
                <w:color w:val="FFFFFF"/>
                <w:spacing w:val="-11"/>
                <w:sz w:val="22"/>
              </w:rPr>
              <w:t> </w:t>
            </w:r>
            <w:r>
              <w:rPr>
                <w:b/>
                <w:color w:val="FFFFFF"/>
                <w:sz w:val="22"/>
              </w:rPr>
              <w:t>πρότασης</w:t>
            </w:r>
          </w:p>
        </w:tc>
      </w:tr>
      <w:tr>
        <w:trPr>
          <w:trHeight w:val="816" w:hRule="exact"/>
        </w:trPr>
        <w:tc>
          <w:tcPr>
            <w:tcW w:w="531" w:type="dxa"/>
          </w:tcPr>
          <w:p>
            <w:pPr/>
          </w:p>
        </w:tc>
        <w:tc>
          <w:tcPr>
            <w:tcW w:w="1522" w:type="dxa"/>
          </w:tcPr>
          <w:p>
            <w:pPr>
              <w:pStyle w:val="TableParagraph"/>
              <w:spacing w:line="266" w:lineRule="exact" w:before="130"/>
              <w:ind w:left="247" w:right="230" w:firstLine="139"/>
              <w:rPr>
                <w:b/>
                <w:sz w:val="22"/>
              </w:rPr>
            </w:pPr>
            <w:r>
              <w:rPr>
                <w:b/>
                <w:sz w:val="22"/>
              </w:rPr>
              <w:t>ΟΜΑΔΑ ΚΡΙΤΗΡΙΩΝ</w:t>
            </w:r>
          </w:p>
        </w:tc>
        <w:tc>
          <w:tcPr>
            <w:tcW w:w="4606" w:type="dxa"/>
          </w:tcPr>
          <w:p>
            <w:pPr>
              <w:pStyle w:val="TableParagraph"/>
              <w:spacing w:before="1"/>
              <w:rPr>
                <w:rFonts w:ascii="Times New Roman"/>
                <w:sz w:val="23"/>
              </w:rPr>
            </w:pPr>
          </w:p>
          <w:p>
            <w:pPr>
              <w:pStyle w:val="TableParagraph"/>
              <w:ind w:left="1844" w:right="1844"/>
              <w:jc w:val="center"/>
              <w:rPr>
                <w:b/>
                <w:sz w:val="22"/>
              </w:rPr>
            </w:pPr>
            <w:r>
              <w:rPr>
                <w:b/>
                <w:sz w:val="22"/>
              </w:rPr>
              <w:t>ΚΡΙΤΗΡΙΟ</w:t>
            </w:r>
          </w:p>
        </w:tc>
        <w:tc>
          <w:tcPr>
            <w:tcW w:w="3997" w:type="dxa"/>
          </w:tcPr>
          <w:p>
            <w:pPr>
              <w:pStyle w:val="TableParagraph"/>
              <w:spacing w:before="1"/>
              <w:rPr>
                <w:rFonts w:ascii="Times New Roman"/>
                <w:sz w:val="23"/>
              </w:rPr>
            </w:pPr>
          </w:p>
          <w:p>
            <w:pPr>
              <w:pStyle w:val="TableParagraph"/>
              <w:ind w:left="1398" w:right="1398"/>
              <w:jc w:val="center"/>
              <w:rPr>
                <w:b/>
                <w:sz w:val="22"/>
              </w:rPr>
            </w:pPr>
            <w:r>
              <w:rPr>
                <w:b/>
                <w:sz w:val="22"/>
              </w:rPr>
              <w:t>ΕΞΕΙΔΙΚΕΥΣΗ</w:t>
            </w:r>
          </w:p>
        </w:tc>
        <w:tc>
          <w:tcPr>
            <w:tcW w:w="1248" w:type="dxa"/>
          </w:tcPr>
          <w:p>
            <w:pPr>
              <w:pStyle w:val="TableParagraph"/>
              <w:ind w:left="211" w:right="208" w:hanging="5"/>
              <w:jc w:val="center"/>
              <w:rPr>
                <w:b/>
                <w:sz w:val="22"/>
              </w:rPr>
            </w:pPr>
            <w:r>
              <w:rPr>
                <w:b/>
                <w:sz w:val="22"/>
              </w:rPr>
              <w:t>ΤΙΜΗ / ΒΑΘΜΟ- ΛΟΓΙΑ</w:t>
            </w:r>
          </w:p>
        </w:tc>
        <w:tc>
          <w:tcPr>
            <w:tcW w:w="1277" w:type="dxa"/>
          </w:tcPr>
          <w:p>
            <w:pPr>
              <w:pStyle w:val="TableParagraph"/>
              <w:spacing w:before="1"/>
              <w:rPr>
                <w:rFonts w:ascii="Times New Roman"/>
                <w:sz w:val="23"/>
              </w:rPr>
            </w:pPr>
          </w:p>
          <w:p>
            <w:pPr>
              <w:pStyle w:val="TableParagraph"/>
              <w:ind w:left="139"/>
              <w:rPr>
                <w:b/>
                <w:sz w:val="22"/>
              </w:rPr>
            </w:pPr>
            <w:r>
              <w:rPr>
                <w:b/>
                <w:sz w:val="22"/>
              </w:rPr>
              <w:t>ΣΤΑΘΜΙΣΗ</w:t>
            </w:r>
          </w:p>
        </w:tc>
        <w:tc>
          <w:tcPr>
            <w:tcW w:w="1104" w:type="dxa"/>
          </w:tcPr>
          <w:p>
            <w:pPr>
              <w:pStyle w:val="TableParagraph"/>
              <w:spacing w:line="266" w:lineRule="exact" w:before="130"/>
              <w:ind w:left="211" w:right="179" w:hanging="20"/>
              <w:rPr>
                <w:b/>
                <w:sz w:val="22"/>
              </w:rPr>
            </w:pPr>
            <w:r>
              <w:rPr>
                <w:b/>
                <w:sz w:val="22"/>
              </w:rPr>
              <w:t>ΑΠΟΤΕ- ΛΕΣΜΑ</w:t>
            </w:r>
          </w:p>
        </w:tc>
      </w:tr>
      <w:tr>
        <w:trPr>
          <w:trHeight w:val="1414" w:hRule="exact"/>
        </w:trPr>
        <w:tc>
          <w:tcPr>
            <w:tcW w:w="531" w:type="dxa"/>
          </w:tcPr>
          <w:p>
            <w:pPr>
              <w:pStyle w:val="TableParagraph"/>
              <w:rPr>
                <w:rFonts w:ascii="Times New Roman"/>
                <w:sz w:val="20"/>
              </w:rPr>
            </w:pPr>
          </w:p>
          <w:p>
            <w:pPr>
              <w:pStyle w:val="TableParagraph"/>
              <w:rPr>
                <w:rFonts w:ascii="Times New Roman"/>
                <w:sz w:val="20"/>
              </w:rPr>
            </w:pPr>
          </w:p>
          <w:p>
            <w:pPr>
              <w:pStyle w:val="TableParagraph"/>
              <w:spacing w:before="120"/>
              <w:jc w:val="center"/>
              <w:rPr>
                <w:sz w:val="20"/>
              </w:rPr>
            </w:pPr>
            <w:r>
              <w:rPr>
                <w:w w:val="99"/>
                <w:sz w:val="20"/>
              </w:rPr>
              <w:t>1</w:t>
            </w:r>
          </w:p>
        </w:tc>
        <w:tc>
          <w:tcPr>
            <w:tcW w:w="1522"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9"/>
              </w:rPr>
            </w:pPr>
          </w:p>
          <w:p>
            <w:pPr>
              <w:pStyle w:val="TableParagraph"/>
              <w:spacing w:before="1"/>
              <w:ind w:left="124" w:right="121" w:hanging="1"/>
              <w:jc w:val="center"/>
              <w:rPr>
                <w:b/>
                <w:sz w:val="22"/>
              </w:rPr>
            </w:pPr>
            <w:r>
              <w:rPr>
                <w:b/>
                <w:sz w:val="22"/>
              </w:rPr>
              <w:t>Έλεγχος πληρότητας και    επιλεξιμότη- τας πρότασης</w:t>
            </w:r>
          </w:p>
        </w:tc>
        <w:tc>
          <w:tcPr>
            <w:tcW w:w="4606" w:type="dxa"/>
          </w:tcPr>
          <w:p>
            <w:pPr>
              <w:pStyle w:val="TableParagraph"/>
              <w:spacing w:line="276" w:lineRule="auto"/>
              <w:ind w:left="103" w:right="103"/>
              <w:jc w:val="both"/>
              <w:rPr>
                <w:sz w:val="20"/>
              </w:rPr>
            </w:pPr>
            <w:r>
              <w:rPr>
                <w:sz w:val="20"/>
              </w:rPr>
              <w:t>Δικαιούχος που εμπίπτει στην πρόσκληση και  έχει την ιδιότητα της Μικρομεσαίας Επιχείρησης σύμφωνα με τον Ορισμό των ΜΜΕ της σύστασης της ΕΕ 2003/361/ΕΚ, λαμβανομένων υπόψη των όρων  για τη διατήρηση της ιδιότητας</w:t>
            </w:r>
            <w:r>
              <w:rPr>
                <w:spacing w:val="-10"/>
                <w:sz w:val="20"/>
              </w:rPr>
              <w:t> </w:t>
            </w:r>
            <w:r>
              <w:rPr>
                <w:sz w:val="20"/>
              </w:rPr>
              <w:t>αυτής.</w:t>
            </w:r>
          </w:p>
        </w:tc>
        <w:tc>
          <w:tcPr>
            <w:tcW w:w="3997" w:type="dxa"/>
          </w:tcPr>
          <w:p>
            <w:pPr>
              <w:pStyle w:val="TableParagraph"/>
              <w:spacing w:before="1"/>
              <w:rPr>
                <w:rFonts w:ascii="Times New Roman"/>
                <w:sz w:val="29"/>
              </w:rPr>
            </w:pPr>
          </w:p>
          <w:p>
            <w:pPr>
              <w:pStyle w:val="TableParagraph"/>
              <w:ind w:left="103" w:right="108"/>
              <w:jc w:val="both"/>
              <w:rPr>
                <w:sz w:val="20"/>
              </w:rPr>
            </w:pPr>
            <w:r>
              <w:rPr>
                <w:sz w:val="20"/>
              </w:rPr>
              <w:t>Βεβαιώνεται με έγγραφο του Δικαιούχου, το οποίο περιλαμβάνεται στα συνημμένα αρχεία της πρόσκλησης</w:t>
            </w:r>
          </w:p>
        </w:tc>
        <w:tc>
          <w:tcPr>
            <w:tcW w:w="1248" w:type="dxa"/>
          </w:tcPr>
          <w:p>
            <w:pPr>
              <w:pStyle w:val="TableParagraph"/>
              <w:rPr>
                <w:rFonts w:ascii="Times New Roman"/>
                <w:sz w:val="22"/>
              </w:rPr>
            </w:pPr>
          </w:p>
          <w:p>
            <w:pPr>
              <w:pStyle w:val="TableParagraph"/>
              <w:spacing w:before="2"/>
              <w:rPr>
                <w:rFonts w:ascii="Times New Roman"/>
                <w:sz w:val="27"/>
              </w:rPr>
            </w:pPr>
          </w:p>
          <w:p>
            <w:pPr>
              <w:pStyle w:val="TableParagraph"/>
              <w:ind w:left="281" w:right="278"/>
              <w:jc w:val="center"/>
              <w:rPr>
                <w:sz w:val="22"/>
              </w:rPr>
            </w:pPr>
            <w:r>
              <w:rPr>
                <w:sz w:val="22"/>
              </w:rPr>
              <w:t>ναι/όχι</w:t>
            </w:r>
          </w:p>
        </w:tc>
        <w:tc>
          <w:tcPr>
            <w:tcW w:w="1277" w:type="dxa"/>
          </w:tcPr>
          <w:p>
            <w:pPr/>
          </w:p>
        </w:tc>
        <w:tc>
          <w:tcPr>
            <w:tcW w:w="1104" w:type="dxa"/>
          </w:tcPr>
          <w:p>
            <w:pPr/>
          </w:p>
        </w:tc>
      </w:tr>
      <w:tr>
        <w:trPr>
          <w:trHeight w:val="1694" w:hRule="exact"/>
        </w:trPr>
        <w:tc>
          <w:tcPr>
            <w:tcW w:w="531" w:type="dxa"/>
          </w:tcPr>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22"/>
              </w:rPr>
            </w:pPr>
          </w:p>
          <w:p>
            <w:pPr>
              <w:pStyle w:val="TableParagraph"/>
              <w:jc w:val="center"/>
              <w:rPr>
                <w:sz w:val="20"/>
              </w:rPr>
            </w:pPr>
            <w:r>
              <w:rPr>
                <w:w w:val="99"/>
                <w:sz w:val="20"/>
              </w:rPr>
              <w:t>2</w:t>
            </w:r>
          </w:p>
        </w:tc>
        <w:tc>
          <w:tcPr>
            <w:tcW w:w="1522" w:type="dxa"/>
            <w:vMerge/>
          </w:tcPr>
          <w:p>
            <w:pPr/>
          </w:p>
        </w:tc>
        <w:tc>
          <w:tcPr>
            <w:tcW w:w="4606" w:type="dxa"/>
          </w:tcPr>
          <w:p>
            <w:pPr>
              <w:pStyle w:val="TableParagraph"/>
              <w:spacing w:line="276" w:lineRule="auto" w:before="1"/>
              <w:ind w:left="103" w:right="103"/>
              <w:jc w:val="both"/>
              <w:rPr>
                <w:sz w:val="20"/>
              </w:rPr>
            </w:pPr>
            <w:r>
              <w:rPr>
                <w:sz w:val="20"/>
              </w:rPr>
              <w:t>Η πρόταση εμπίπτει στους Κωδικούς Αριθμούς Δραστηριότητας (ΚΑΔ), όπως αναλυτικά παρουσιάζονται στο Παράρτημα «Πίνακας Επιλέξιμων ΚΑΔ» της Πρόσκλησης. Οι επιχειρήσεις διαθέτουν τον ΚΑΔ επένδυσης κατά την υποβολή της πρότασης.</w:t>
            </w:r>
          </w:p>
        </w:tc>
        <w:tc>
          <w:tcPr>
            <w:tcW w:w="3997" w:type="dxa"/>
          </w:tcPr>
          <w:p>
            <w:pPr>
              <w:pStyle w:val="TableParagraph"/>
              <w:spacing w:before="1"/>
              <w:ind w:left="103" w:right="104"/>
              <w:jc w:val="both"/>
              <w:rPr>
                <w:sz w:val="20"/>
              </w:rPr>
            </w:pPr>
            <w:r>
              <w:rPr>
                <w:sz w:val="20"/>
              </w:rPr>
              <w:t>Εξετάζεται εάν η επιχείρηση έχει τον αναφερόμενο ΚΑΔ. Εξετάζεται εάν πρόταση εμπίπτει στους Κωδικούς Αριθμούς Δραστηριότητας (ΚΑΔ), όπως αναλυτικά παρουσιάζονται στο Παράρτημα «Πίνακας Επιλέξιμων ΚΑΔ» της Πρόσκλησης.</w:t>
            </w:r>
          </w:p>
        </w:tc>
        <w:tc>
          <w:tcPr>
            <w:tcW w:w="1248" w:type="dxa"/>
          </w:tcPr>
          <w:p>
            <w:pPr>
              <w:pStyle w:val="TableParagraph"/>
              <w:rPr>
                <w:rFonts w:ascii="Times New Roman"/>
                <w:sz w:val="22"/>
              </w:rPr>
            </w:pPr>
          </w:p>
          <w:p>
            <w:pPr>
              <w:pStyle w:val="TableParagraph"/>
              <w:rPr>
                <w:rFonts w:ascii="Times New Roman"/>
                <w:sz w:val="22"/>
              </w:rPr>
            </w:pPr>
          </w:p>
          <w:p>
            <w:pPr>
              <w:pStyle w:val="TableParagraph"/>
              <w:spacing w:before="5"/>
              <w:rPr>
                <w:rFonts w:ascii="Times New Roman"/>
                <w:sz w:val="17"/>
              </w:rPr>
            </w:pPr>
          </w:p>
          <w:p>
            <w:pPr>
              <w:pStyle w:val="TableParagraph"/>
              <w:spacing w:before="1"/>
              <w:ind w:left="281" w:right="278"/>
              <w:jc w:val="center"/>
              <w:rPr>
                <w:sz w:val="22"/>
              </w:rPr>
            </w:pPr>
            <w:r>
              <w:rPr>
                <w:sz w:val="22"/>
              </w:rPr>
              <w:t>ναι/όχι</w:t>
            </w:r>
          </w:p>
        </w:tc>
        <w:tc>
          <w:tcPr>
            <w:tcW w:w="1277" w:type="dxa"/>
          </w:tcPr>
          <w:p>
            <w:pPr/>
          </w:p>
        </w:tc>
        <w:tc>
          <w:tcPr>
            <w:tcW w:w="1104" w:type="dxa"/>
          </w:tcPr>
          <w:p>
            <w:pPr/>
          </w:p>
        </w:tc>
      </w:tr>
      <w:tr>
        <w:trPr>
          <w:trHeight w:val="1395" w:hRule="exact"/>
        </w:trPr>
        <w:tc>
          <w:tcPr>
            <w:tcW w:w="531" w:type="dxa"/>
          </w:tcPr>
          <w:p>
            <w:pPr>
              <w:pStyle w:val="TableParagraph"/>
              <w:rPr>
                <w:rFonts w:ascii="Times New Roman"/>
                <w:sz w:val="22"/>
              </w:rPr>
            </w:pPr>
          </w:p>
          <w:p>
            <w:pPr>
              <w:pStyle w:val="TableParagraph"/>
              <w:spacing w:before="4"/>
              <w:rPr>
                <w:rFonts w:ascii="Times New Roman"/>
                <w:sz w:val="26"/>
              </w:rPr>
            </w:pPr>
          </w:p>
          <w:p>
            <w:pPr>
              <w:pStyle w:val="TableParagraph"/>
              <w:ind w:right="1"/>
              <w:jc w:val="center"/>
              <w:rPr>
                <w:sz w:val="22"/>
              </w:rPr>
            </w:pPr>
            <w:r>
              <w:rPr>
                <w:w w:val="100"/>
                <w:sz w:val="22"/>
              </w:rPr>
              <w:t>3</w:t>
            </w:r>
          </w:p>
        </w:tc>
        <w:tc>
          <w:tcPr>
            <w:tcW w:w="1522" w:type="dxa"/>
            <w:vMerge/>
          </w:tcPr>
          <w:p>
            <w:pPr/>
          </w:p>
        </w:tc>
        <w:tc>
          <w:tcPr>
            <w:tcW w:w="4606" w:type="dxa"/>
          </w:tcPr>
          <w:p>
            <w:pPr>
              <w:pStyle w:val="TableParagraph"/>
              <w:rPr>
                <w:rFonts w:ascii="Times New Roman"/>
                <w:sz w:val="20"/>
              </w:rPr>
            </w:pPr>
          </w:p>
          <w:p>
            <w:pPr>
              <w:pStyle w:val="TableParagraph"/>
              <w:spacing w:before="9"/>
              <w:rPr>
                <w:rFonts w:ascii="Times New Roman"/>
                <w:sz w:val="15"/>
              </w:rPr>
            </w:pPr>
          </w:p>
          <w:p>
            <w:pPr>
              <w:pStyle w:val="TableParagraph"/>
              <w:spacing w:line="276" w:lineRule="auto" w:before="1"/>
              <w:ind w:left="103" w:right="105"/>
              <w:rPr>
                <w:sz w:val="20"/>
              </w:rPr>
            </w:pPr>
            <w:r>
              <w:rPr>
                <w:sz w:val="20"/>
              </w:rPr>
              <w:t>Το προτεινόμενο επενδυτικό σχέδιο χωροθετείται αποκλειστικά στην Περιφέρεια Θεσσαλίας.</w:t>
            </w:r>
          </w:p>
        </w:tc>
        <w:tc>
          <w:tcPr>
            <w:tcW w:w="3997" w:type="dxa"/>
          </w:tcPr>
          <w:p>
            <w:pPr>
              <w:pStyle w:val="TableParagraph"/>
              <w:tabs>
                <w:tab w:pos="1628" w:val="left" w:leader="none"/>
                <w:tab w:pos="2784" w:val="left" w:leader="none"/>
              </w:tabs>
              <w:spacing w:before="1"/>
              <w:ind w:left="103" w:right="105"/>
              <w:jc w:val="both"/>
              <w:rPr>
                <w:sz w:val="20"/>
              </w:rPr>
            </w:pPr>
            <w:r>
              <w:rPr>
                <w:sz w:val="20"/>
              </w:rPr>
              <w:t>Βεβαιώνεται με έγγραφο, σύμφωνα με τα ζητούμενα δικαιολογητικά. Εξετάζεται εάν το επενδυτικό</w:t>
              <w:tab/>
              <w:t>σχέδιο</w:t>
              <w:tab/>
            </w:r>
            <w:r>
              <w:rPr>
                <w:w w:val="95"/>
                <w:sz w:val="20"/>
              </w:rPr>
              <w:t>χωροθετείται </w:t>
            </w:r>
            <w:r>
              <w:rPr>
                <w:sz w:val="20"/>
              </w:rPr>
              <w:t>αποκλειστικά στην Περιφέρεια</w:t>
            </w:r>
            <w:r>
              <w:rPr>
                <w:spacing w:val="-12"/>
                <w:sz w:val="20"/>
              </w:rPr>
              <w:t> </w:t>
            </w:r>
            <w:r>
              <w:rPr>
                <w:sz w:val="20"/>
              </w:rPr>
              <w:t>Θεσσαλίας.</w:t>
            </w:r>
          </w:p>
        </w:tc>
        <w:tc>
          <w:tcPr>
            <w:tcW w:w="1248" w:type="dxa"/>
          </w:tcPr>
          <w:p>
            <w:pPr>
              <w:pStyle w:val="TableParagraph"/>
              <w:rPr>
                <w:rFonts w:ascii="Times New Roman"/>
                <w:sz w:val="22"/>
              </w:rPr>
            </w:pPr>
          </w:p>
          <w:p>
            <w:pPr>
              <w:pStyle w:val="TableParagraph"/>
              <w:spacing w:before="4"/>
              <w:rPr>
                <w:rFonts w:ascii="Times New Roman"/>
                <w:sz w:val="26"/>
              </w:rPr>
            </w:pPr>
          </w:p>
          <w:p>
            <w:pPr>
              <w:pStyle w:val="TableParagraph"/>
              <w:ind w:left="281" w:right="278"/>
              <w:jc w:val="center"/>
              <w:rPr>
                <w:sz w:val="22"/>
              </w:rPr>
            </w:pPr>
            <w:r>
              <w:rPr>
                <w:sz w:val="22"/>
              </w:rPr>
              <w:t>ναι/όχι</w:t>
            </w:r>
          </w:p>
        </w:tc>
        <w:tc>
          <w:tcPr>
            <w:tcW w:w="1277" w:type="dxa"/>
          </w:tcPr>
          <w:p>
            <w:pPr/>
          </w:p>
        </w:tc>
        <w:tc>
          <w:tcPr>
            <w:tcW w:w="1104" w:type="dxa"/>
          </w:tcPr>
          <w:p>
            <w:pPr/>
          </w:p>
        </w:tc>
      </w:tr>
      <w:tr>
        <w:trPr>
          <w:trHeight w:val="1414" w:hRule="exact"/>
        </w:trPr>
        <w:tc>
          <w:tcPr>
            <w:tcW w:w="531" w:type="dxa"/>
          </w:tcPr>
          <w:p>
            <w:pPr>
              <w:pStyle w:val="TableParagraph"/>
              <w:rPr>
                <w:rFonts w:ascii="Times New Roman"/>
                <w:sz w:val="22"/>
              </w:rPr>
            </w:pPr>
          </w:p>
          <w:p>
            <w:pPr>
              <w:pStyle w:val="TableParagraph"/>
              <w:spacing w:before="2"/>
              <w:rPr>
                <w:rFonts w:ascii="Times New Roman"/>
                <w:sz w:val="27"/>
              </w:rPr>
            </w:pPr>
          </w:p>
          <w:p>
            <w:pPr>
              <w:pStyle w:val="TableParagraph"/>
              <w:ind w:right="1"/>
              <w:jc w:val="center"/>
              <w:rPr>
                <w:sz w:val="22"/>
              </w:rPr>
            </w:pPr>
            <w:r>
              <w:rPr>
                <w:w w:val="100"/>
                <w:sz w:val="22"/>
              </w:rPr>
              <w:t>4</w:t>
            </w:r>
          </w:p>
        </w:tc>
        <w:tc>
          <w:tcPr>
            <w:tcW w:w="1522" w:type="dxa"/>
            <w:vMerge/>
          </w:tcPr>
          <w:p>
            <w:pPr/>
          </w:p>
        </w:tc>
        <w:tc>
          <w:tcPr>
            <w:tcW w:w="4606" w:type="dxa"/>
          </w:tcPr>
          <w:p>
            <w:pPr>
              <w:pStyle w:val="TableParagraph"/>
              <w:spacing w:line="276" w:lineRule="auto"/>
              <w:ind w:left="103" w:right="104"/>
              <w:jc w:val="both"/>
              <w:rPr>
                <w:sz w:val="20"/>
              </w:rPr>
            </w:pPr>
            <w:r>
              <w:rPr>
                <w:sz w:val="20"/>
              </w:rPr>
              <w:t>Η υφιστάμενη επιχείρηση χρησιμοποιεί διπλογραφικό ή απλογραφικό λογιστικό σύστημα (τηρεί βιβλία Β΄ ή Γ' κατηγορίας) και μέχρι τις 31/12/2018 έχει κλεισμένες τουλάχιστον τρεις διαχειριστικές χρήσεις.</w:t>
            </w:r>
          </w:p>
        </w:tc>
        <w:tc>
          <w:tcPr>
            <w:tcW w:w="3997" w:type="dxa"/>
          </w:tcPr>
          <w:p>
            <w:pPr>
              <w:pStyle w:val="TableParagraph"/>
              <w:rPr>
                <w:rFonts w:ascii="Times New Roman"/>
                <w:sz w:val="20"/>
              </w:rPr>
            </w:pPr>
          </w:p>
          <w:p>
            <w:pPr>
              <w:pStyle w:val="TableParagraph"/>
              <w:spacing w:before="9"/>
              <w:rPr>
                <w:rFonts w:ascii="Times New Roman"/>
                <w:sz w:val="19"/>
              </w:rPr>
            </w:pPr>
          </w:p>
          <w:p>
            <w:pPr>
              <w:pStyle w:val="TableParagraph"/>
              <w:ind w:left="103"/>
              <w:rPr>
                <w:sz w:val="20"/>
              </w:rPr>
            </w:pPr>
            <w:r>
              <w:rPr>
                <w:sz w:val="20"/>
              </w:rPr>
              <w:t>Βεβαιώνεται με έγγραφο, σύμφωνα με τα ζητούμενα δικαιολογητικά.</w:t>
            </w:r>
          </w:p>
        </w:tc>
        <w:tc>
          <w:tcPr>
            <w:tcW w:w="1248" w:type="dxa"/>
          </w:tcPr>
          <w:p>
            <w:pPr>
              <w:pStyle w:val="TableParagraph"/>
              <w:rPr>
                <w:rFonts w:ascii="Times New Roman"/>
                <w:sz w:val="22"/>
              </w:rPr>
            </w:pPr>
          </w:p>
          <w:p>
            <w:pPr>
              <w:pStyle w:val="TableParagraph"/>
              <w:spacing w:before="2"/>
              <w:rPr>
                <w:rFonts w:ascii="Times New Roman"/>
                <w:sz w:val="27"/>
              </w:rPr>
            </w:pPr>
          </w:p>
          <w:p>
            <w:pPr>
              <w:pStyle w:val="TableParagraph"/>
              <w:ind w:left="281" w:right="278"/>
              <w:jc w:val="center"/>
              <w:rPr>
                <w:sz w:val="22"/>
              </w:rPr>
            </w:pPr>
            <w:r>
              <w:rPr>
                <w:sz w:val="22"/>
              </w:rPr>
              <w:t>ναι/όχι</w:t>
            </w:r>
          </w:p>
        </w:tc>
        <w:tc>
          <w:tcPr>
            <w:tcW w:w="1277" w:type="dxa"/>
          </w:tcPr>
          <w:p>
            <w:pPr/>
          </w:p>
        </w:tc>
        <w:tc>
          <w:tcPr>
            <w:tcW w:w="1104" w:type="dxa"/>
          </w:tcPr>
          <w:p>
            <w:pPr/>
          </w:p>
        </w:tc>
      </w:tr>
      <w:tr>
        <w:trPr>
          <w:trHeight w:val="1694" w:hRule="exact"/>
        </w:trPr>
        <w:tc>
          <w:tcPr>
            <w:tcW w:w="531"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7"/>
              </w:rPr>
            </w:pPr>
          </w:p>
          <w:p>
            <w:pPr>
              <w:pStyle w:val="TableParagraph"/>
              <w:ind w:right="1"/>
              <w:jc w:val="center"/>
              <w:rPr>
                <w:sz w:val="22"/>
              </w:rPr>
            </w:pPr>
            <w:r>
              <w:rPr>
                <w:w w:val="100"/>
                <w:sz w:val="22"/>
              </w:rPr>
              <w:t>5</w:t>
            </w:r>
          </w:p>
        </w:tc>
        <w:tc>
          <w:tcPr>
            <w:tcW w:w="1522" w:type="dxa"/>
            <w:vMerge/>
          </w:tcPr>
          <w:p>
            <w:pPr/>
          </w:p>
        </w:tc>
        <w:tc>
          <w:tcPr>
            <w:tcW w:w="4606" w:type="dxa"/>
          </w:tcPr>
          <w:p>
            <w:pPr>
              <w:pStyle w:val="TableParagraph"/>
              <w:spacing w:line="276" w:lineRule="auto"/>
              <w:ind w:left="103" w:right="105"/>
              <w:jc w:val="both"/>
              <w:rPr>
                <w:sz w:val="20"/>
              </w:rPr>
            </w:pPr>
            <w:r>
              <w:rPr>
                <w:sz w:val="20"/>
              </w:rPr>
              <w:t>Η ιδιωτική συμμετοχή της επιχείρησης στο επενδυτικό σχέδιο δεν υπερβαίνει ανά έτος το 50% του μέσου όρου των κύκλων εργασιών της για  τα τρία (3) τελευταία έτη, όπως αυτός προκύπτει από τους δημοσιευμένους ισολογισμούς της ή ισοδύναμα οικονομικά στοιχεία.</w:t>
            </w:r>
          </w:p>
        </w:tc>
        <w:tc>
          <w:tcPr>
            <w:tcW w:w="3997" w:type="dxa"/>
          </w:tcPr>
          <w:p>
            <w:pPr>
              <w:pStyle w:val="TableParagraph"/>
              <w:rPr>
                <w:rFonts w:ascii="Times New Roman"/>
                <w:sz w:val="20"/>
              </w:rPr>
            </w:pPr>
          </w:p>
          <w:p>
            <w:pPr>
              <w:pStyle w:val="TableParagraph"/>
              <w:rPr>
                <w:rFonts w:ascii="Times New Roman"/>
                <w:sz w:val="20"/>
              </w:rPr>
            </w:pPr>
          </w:p>
          <w:p>
            <w:pPr>
              <w:pStyle w:val="TableParagraph"/>
              <w:spacing w:before="137"/>
              <w:ind w:left="103"/>
              <w:rPr>
                <w:sz w:val="20"/>
              </w:rPr>
            </w:pPr>
            <w:r>
              <w:rPr>
                <w:sz w:val="20"/>
              </w:rPr>
              <w:t>Βεβαιώνεται με έγγραφο, σύμφωνα με τα ζητούμενα δικαιολογητικά.</w:t>
            </w:r>
          </w:p>
        </w:tc>
        <w:tc>
          <w:tcPr>
            <w:tcW w:w="1248"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7"/>
              </w:rPr>
            </w:pPr>
          </w:p>
          <w:p>
            <w:pPr>
              <w:pStyle w:val="TableParagraph"/>
              <w:ind w:left="281" w:right="278"/>
              <w:jc w:val="center"/>
              <w:rPr>
                <w:sz w:val="22"/>
              </w:rPr>
            </w:pPr>
            <w:r>
              <w:rPr>
                <w:sz w:val="22"/>
              </w:rPr>
              <w:t>ναι/όχι</w:t>
            </w:r>
          </w:p>
        </w:tc>
        <w:tc>
          <w:tcPr>
            <w:tcW w:w="1277" w:type="dxa"/>
          </w:tcPr>
          <w:p>
            <w:pPr/>
          </w:p>
        </w:tc>
        <w:tc>
          <w:tcPr>
            <w:tcW w:w="1104" w:type="dxa"/>
          </w:tcPr>
          <w:p>
            <w:pPr/>
          </w:p>
        </w:tc>
      </w:tr>
    </w:tbl>
    <w:p>
      <w:pPr>
        <w:spacing w:after="0"/>
        <w:sectPr>
          <w:pgSz w:w="16840" w:h="11910" w:orient="landscape"/>
          <w:pgMar w:header="748" w:footer="734" w:top="1180" w:bottom="920" w:left="1160" w:right="116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1522"/>
        <w:gridCol w:w="4606"/>
        <w:gridCol w:w="3997"/>
        <w:gridCol w:w="1248"/>
        <w:gridCol w:w="1277"/>
        <w:gridCol w:w="1104"/>
      </w:tblGrid>
      <w:tr>
        <w:trPr>
          <w:trHeight w:val="1414" w:hRule="exact"/>
        </w:trPr>
        <w:tc>
          <w:tcPr>
            <w:tcW w:w="531" w:type="dxa"/>
          </w:tcPr>
          <w:p>
            <w:pPr>
              <w:pStyle w:val="TableParagraph"/>
              <w:rPr>
                <w:rFonts w:ascii="Times New Roman"/>
                <w:sz w:val="22"/>
              </w:rPr>
            </w:pPr>
          </w:p>
          <w:p>
            <w:pPr>
              <w:pStyle w:val="TableParagraph"/>
              <w:spacing w:before="11"/>
              <w:rPr>
                <w:rFonts w:ascii="Times New Roman"/>
                <w:sz w:val="26"/>
              </w:rPr>
            </w:pPr>
          </w:p>
          <w:p>
            <w:pPr>
              <w:pStyle w:val="TableParagraph"/>
              <w:ind w:right="1"/>
              <w:jc w:val="center"/>
              <w:rPr>
                <w:sz w:val="22"/>
              </w:rPr>
            </w:pPr>
            <w:r>
              <w:rPr>
                <w:w w:val="100"/>
                <w:sz w:val="22"/>
              </w:rPr>
              <w:t>6</w:t>
            </w:r>
          </w:p>
        </w:tc>
        <w:tc>
          <w:tcPr>
            <w:tcW w:w="1522" w:type="dxa"/>
            <w:vMerge w:val="restart"/>
          </w:tcPr>
          <w:p>
            <w:pPr/>
          </w:p>
        </w:tc>
        <w:tc>
          <w:tcPr>
            <w:tcW w:w="4606" w:type="dxa"/>
          </w:tcPr>
          <w:p>
            <w:pPr>
              <w:pStyle w:val="TableParagraph"/>
              <w:spacing w:line="276" w:lineRule="auto"/>
              <w:ind w:left="103" w:right="103"/>
              <w:jc w:val="both"/>
              <w:rPr>
                <w:sz w:val="20"/>
              </w:rPr>
            </w:pPr>
            <w:r>
              <w:rPr>
                <w:sz w:val="20"/>
              </w:rPr>
              <w:t>Η επιχείρηση λειτουργεί αποκλειστικά με μία από τις ακόλουθες μορφές επιχείρησης εταιρικού / εμπορικού χαρακτήρα: ΑΕ, ΕΠΕ, ΟΕ, ΕΕ, Ι.Κ.Ε, Ατομική Επιχείρηση, Συνεταιρισμός, ΚΟΙΝΣΕΠ, Ναυτιλιακή Εταιρεία Πλοίων Αναψυχής (Ν.Ε.Π.Α.).</w:t>
            </w:r>
          </w:p>
        </w:tc>
        <w:tc>
          <w:tcPr>
            <w:tcW w:w="3997" w:type="dxa"/>
          </w:tcPr>
          <w:p>
            <w:pPr>
              <w:pStyle w:val="TableParagraph"/>
              <w:spacing w:before="1"/>
              <w:rPr>
                <w:rFonts w:ascii="Times New Roman"/>
                <w:sz w:val="29"/>
              </w:rPr>
            </w:pPr>
          </w:p>
          <w:p>
            <w:pPr>
              <w:pStyle w:val="TableParagraph"/>
              <w:ind w:left="103" w:right="108"/>
              <w:jc w:val="both"/>
              <w:rPr>
                <w:sz w:val="20"/>
              </w:rPr>
            </w:pPr>
            <w:r>
              <w:rPr>
                <w:sz w:val="20"/>
              </w:rPr>
              <w:t>Βεβαιώνεται με έγγραφο του Δικαιούχου, το οποίο περιλαμβάνεται στα συνημμένα αρχεία της πρόσκλησης.</w:t>
            </w:r>
          </w:p>
        </w:tc>
        <w:tc>
          <w:tcPr>
            <w:tcW w:w="1248" w:type="dxa"/>
          </w:tcPr>
          <w:p>
            <w:pPr>
              <w:pStyle w:val="TableParagraph"/>
              <w:rPr>
                <w:rFonts w:ascii="Times New Roman"/>
                <w:sz w:val="22"/>
              </w:rPr>
            </w:pPr>
          </w:p>
          <w:p>
            <w:pPr>
              <w:pStyle w:val="TableParagraph"/>
              <w:spacing w:before="11"/>
              <w:rPr>
                <w:rFonts w:ascii="Times New Roman"/>
                <w:sz w:val="26"/>
              </w:rPr>
            </w:pPr>
          </w:p>
          <w:p>
            <w:pPr>
              <w:pStyle w:val="TableParagraph"/>
              <w:ind w:left="281" w:right="278"/>
              <w:jc w:val="center"/>
              <w:rPr>
                <w:sz w:val="22"/>
              </w:rPr>
            </w:pPr>
            <w:r>
              <w:rPr>
                <w:sz w:val="22"/>
              </w:rPr>
              <w:t>ναι/όχι</w:t>
            </w:r>
          </w:p>
        </w:tc>
        <w:tc>
          <w:tcPr>
            <w:tcW w:w="1277" w:type="dxa"/>
          </w:tcPr>
          <w:p>
            <w:pPr/>
          </w:p>
        </w:tc>
        <w:tc>
          <w:tcPr>
            <w:tcW w:w="1104" w:type="dxa"/>
          </w:tcPr>
          <w:p>
            <w:pPr/>
          </w:p>
        </w:tc>
      </w:tr>
      <w:tr>
        <w:trPr>
          <w:trHeight w:val="1414" w:hRule="exact"/>
        </w:trPr>
        <w:tc>
          <w:tcPr>
            <w:tcW w:w="531" w:type="dxa"/>
          </w:tcPr>
          <w:p>
            <w:pPr>
              <w:pStyle w:val="TableParagraph"/>
              <w:rPr>
                <w:rFonts w:ascii="Times New Roman"/>
                <w:sz w:val="22"/>
              </w:rPr>
            </w:pPr>
          </w:p>
          <w:p>
            <w:pPr>
              <w:pStyle w:val="TableParagraph"/>
              <w:spacing w:before="2"/>
              <w:rPr>
                <w:rFonts w:ascii="Times New Roman"/>
                <w:sz w:val="27"/>
              </w:rPr>
            </w:pPr>
          </w:p>
          <w:p>
            <w:pPr>
              <w:pStyle w:val="TableParagraph"/>
              <w:ind w:right="1"/>
              <w:jc w:val="center"/>
              <w:rPr>
                <w:sz w:val="22"/>
              </w:rPr>
            </w:pPr>
            <w:r>
              <w:rPr>
                <w:w w:val="100"/>
                <w:sz w:val="22"/>
              </w:rPr>
              <w:t>7</w:t>
            </w:r>
          </w:p>
        </w:tc>
        <w:tc>
          <w:tcPr>
            <w:tcW w:w="1522" w:type="dxa"/>
            <w:vMerge/>
          </w:tcPr>
          <w:p>
            <w:pPr/>
          </w:p>
        </w:tc>
        <w:tc>
          <w:tcPr>
            <w:tcW w:w="4606" w:type="dxa"/>
          </w:tcPr>
          <w:p>
            <w:pPr>
              <w:pStyle w:val="TableParagraph"/>
              <w:spacing w:line="276" w:lineRule="auto"/>
              <w:ind w:left="103" w:right="102"/>
              <w:jc w:val="both"/>
              <w:rPr>
                <w:sz w:val="20"/>
              </w:rPr>
            </w:pPr>
            <w:r>
              <w:rPr>
                <w:sz w:val="20"/>
              </w:rPr>
              <w:t>Η επιχείρηση έχει την - κατά περίπτωση - απαιτούμενη εν ισχύ άδεια λειτουργία ή την υποβληθείσα στον αρμόδιο φορέα αίτηση έκδοσης ή ανανέωσης αυτής για τη/ις δραστηριότητα/ες  στην/ις οποία/ες</w:t>
            </w:r>
            <w:r>
              <w:rPr>
                <w:spacing w:val="-12"/>
                <w:sz w:val="20"/>
              </w:rPr>
              <w:t> </w:t>
            </w:r>
            <w:r>
              <w:rPr>
                <w:sz w:val="20"/>
              </w:rPr>
              <w:t>δραστηριοποιείται.</w:t>
            </w:r>
          </w:p>
        </w:tc>
        <w:tc>
          <w:tcPr>
            <w:tcW w:w="3997" w:type="dxa"/>
          </w:tcPr>
          <w:p>
            <w:pPr>
              <w:pStyle w:val="TableParagraph"/>
              <w:ind w:left="103"/>
              <w:rPr>
                <w:sz w:val="20"/>
              </w:rPr>
            </w:pPr>
            <w:r>
              <w:rPr>
                <w:sz w:val="20"/>
              </w:rPr>
              <w:t>Βεβαιώνεται με έγγραφο, σύμφωνα με τα ζητούμενα δικαιολογητικά.</w:t>
            </w:r>
          </w:p>
        </w:tc>
        <w:tc>
          <w:tcPr>
            <w:tcW w:w="1248" w:type="dxa"/>
          </w:tcPr>
          <w:p>
            <w:pPr>
              <w:pStyle w:val="TableParagraph"/>
              <w:rPr>
                <w:rFonts w:ascii="Times New Roman"/>
                <w:sz w:val="22"/>
              </w:rPr>
            </w:pPr>
          </w:p>
          <w:p>
            <w:pPr>
              <w:pStyle w:val="TableParagraph"/>
              <w:spacing w:before="2"/>
              <w:rPr>
                <w:rFonts w:ascii="Times New Roman"/>
                <w:sz w:val="27"/>
              </w:rPr>
            </w:pPr>
          </w:p>
          <w:p>
            <w:pPr>
              <w:pStyle w:val="TableParagraph"/>
              <w:ind w:left="281" w:right="278"/>
              <w:jc w:val="center"/>
              <w:rPr>
                <w:sz w:val="22"/>
              </w:rPr>
            </w:pPr>
            <w:r>
              <w:rPr>
                <w:sz w:val="22"/>
              </w:rPr>
              <w:t>ναι/όχι</w:t>
            </w:r>
          </w:p>
        </w:tc>
        <w:tc>
          <w:tcPr>
            <w:tcW w:w="1277" w:type="dxa"/>
          </w:tcPr>
          <w:p>
            <w:pPr/>
          </w:p>
        </w:tc>
        <w:tc>
          <w:tcPr>
            <w:tcW w:w="1104" w:type="dxa"/>
          </w:tcPr>
          <w:p>
            <w:pPr/>
          </w:p>
        </w:tc>
      </w:tr>
      <w:tr>
        <w:trPr>
          <w:trHeight w:val="852" w:hRule="exact"/>
        </w:trPr>
        <w:tc>
          <w:tcPr>
            <w:tcW w:w="531" w:type="dxa"/>
          </w:tcPr>
          <w:p>
            <w:pPr>
              <w:pStyle w:val="TableParagraph"/>
              <w:spacing w:before="8"/>
              <w:rPr>
                <w:rFonts w:ascii="Times New Roman"/>
                <w:sz w:val="24"/>
              </w:rPr>
            </w:pPr>
          </w:p>
          <w:p>
            <w:pPr>
              <w:pStyle w:val="TableParagraph"/>
              <w:spacing w:before="1"/>
              <w:ind w:right="1"/>
              <w:jc w:val="center"/>
              <w:rPr>
                <w:sz w:val="22"/>
              </w:rPr>
            </w:pPr>
            <w:r>
              <w:rPr>
                <w:w w:val="100"/>
                <w:sz w:val="22"/>
              </w:rPr>
              <w:t>8</w:t>
            </w:r>
          </w:p>
        </w:tc>
        <w:tc>
          <w:tcPr>
            <w:tcW w:w="1522" w:type="dxa"/>
            <w:vMerge/>
          </w:tcPr>
          <w:p>
            <w:pPr/>
          </w:p>
        </w:tc>
        <w:tc>
          <w:tcPr>
            <w:tcW w:w="4606" w:type="dxa"/>
          </w:tcPr>
          <w:p>
            <w:pPr>
              <w:pStyle w:val="TableParagraph"/>
              <w:spacing w:line="276" w:lineRule="auto"/>
              <w:ind w:left="103" w:right="106"/>
              <w:jc w:val="both"/>
              <w:rPr>
                <w:sz w:val="20"/>
              </w:rPr>
            </w:pPr>
            <w:r>
              <w:rPr>
                <w:sz w:val="20"/>
              </w:rPr>
              <w:t>Η επιχείρηση υποβάλλει μόνο μία πρόταση στην Πρόσκληση, (ένα και μοναδικό επενδυτικό σχέδιο ανά Α.Φ.Μ.).</w:t>
            </w:r>
          </w:p>
        </w:tc>
        <w:tc>
          <w:tcPr>
            <w:tcW w:w="3997" w:type="dxa"/>
          </w:tcPr>
          <w:p>
            <w:pPr>
              <w:pStyle w:val="TableParagraph"/>
              <w:ind w:left="103"/>
              <w:rPr>
                <w:sz w:val="20"/>
              </w:rPr>
            </w:pPr>
            <w:r>
              <w:rPr>
                <w:sz w:val="20"/>
              </w:rPr>
              <w:t>Εξετάζεται η τήρηση της προϋπόθεσης της πρόσκλησης στην αίτηση χρηματοδότησης</w:t>
            </w:r>
          </w:p>
        </w:tc>
        <w:tc>
          <w:tcPr>
            <w:tcW w:w="1248" w:type="dxa"/>
          </w:tcPr>
          <w:p>
            <w:pPr>
              <w:pStyle w:val="TableParagraph"/>
              <w:spacing w:before="8"/>
              <w:rPr>
                <w:rFonts w:ascii="Times New Roman"/>
                <w:sz w:val="24"/>
              </w:rPr>
            </w:pPr>
          </w:p>
          <w:p>
            <w:pPr>
              <w:pStyle w:val="TableParagraph"/>
              <w:spacing w:before="1"/>
              <w:ind w:left="281" w:right="278"/>
              <w:jc w:val="center"/>
              <w:rPr>
                <w:sz w:val="22"/>
              </w:rPr>
            </w:pPr>
            <w:r>
              <w:rPr>
                <w:sz w:val="22"/>
              </w:rPr>
              <w:t>ναι/όχι</w:t>
            </w:r>
          </w:p>
        </w:tc>
        <w:tc>
          <w:tcPr>
            <w:tcW w:w="1277" w:type="dxa"/>
          </w:tcPr>
          <w:p>
            <w:pPr/>
          </w:p>
        </w:tc>
        <w:tc>
          <w:tcPr>
            <w:tcW w:w="1104" w:type="dxa"/>
          </w:tcPr>
          <w:p>
            <w:pPr/>
          </w:p>
        </w:tc>
      </w:tr>
      <w:tr>
        <w:trPr>
          <w:trHeight w:val="1695" w:hRule="exact"/>
        </w:trPr>
        <w:tc>
          <w:tcPr>
            <w:tcW w:w="531"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7"/>
              </w:rPr>
            </w:pPr>
          </w:p>
          <w:p>
            <w:pPr>
              <w:pStyle w:val="TableParagraph"/>
              <w:ind w:right="1"/>
              <w:jc w:val="center"/>
              <w:rPr>
                <w:sz w:val="22"/>
              </w:rPr>
            </w:pPr>
            <w:r>
              <w:rPr>
                <w:w w:val="100"/>
                <w:sz w:val="22"/>
              </w:rPr>
              <w:t>9</w:t>
            </w:r>
          </w:p>
        </w:tc>
        <w:tc>
          <w:tcPr>
            <w:tcW w:w="1522" w:type="dxa"/>
            <w:vMerge/>
          </w:tcPr>
          <w:p>
            <w:pPr/>
          </w:p>
        </w:tc>
        <w:tc>
          <w:tcPr>
            <w:tcW w:w="4606" w:type="dxa"/>
          </w:tcPr>
          <w:p>
            <w:pPr>
              <w:pStyle w:val="TableParagraph"/>
              <w:spacing w:line="276" w:lineRule="auto"/>
              <w:ind w:left="103" w:right="104"/>
              <w:jc w:val="both"/>
              <w:rPr>
                <w:sz w:val="20"/>
              </w:rPr>
            </w:pPr>
            <w:r>
              <w:rPr>
                <w:sz w:val="20"/>
              </w:rPr>
              <w:t>Το συγκεκριμένο επενδυτικό σχέδιο ή μέρος αυτού καθώς και οι δαπάνες που περιλαμβάνει δεν έχουν χρηματοδοτηθεί, ενταχθεί και δεν θα υποβληθούν προς έγκριση χρηματοδότησης σε άλλο πρόγραμμα που χρηματοδοτείται από εθνικούς ή κοινοτικούς πόρους.</w:t>
            </w:r>
          </w:p>
        </w:tc>
        <w:tc>
          <w:tcPr>
            <w:tcW w:w="3997" w:type="dxa"/>
          </w:tcPr>
          <w:p>
            <w:pPr>
              <w:pStyle w:val="TableParagraph"/>
              <w:spacing w:before="2"/>
              <w:rPr>
                <w:rFonts w:ascii="Times New Roman"/>
                <w:sz w:val="20"/>
              </w:rPr>
            </w:pPr>
          </w:p>
          <w:p>
            <w:pPr>
              <w:pStyle w:val="TableParagraph"/>
              <w:ind w:left="103" w:right="105"/>
              <w:jc w:val="both"/>
              <w:rPr>
                <w:sz w:val="20"/>
              </w:rPr>
            </w:pPr>
            <w:r>
              <w:rPr>
                <w:sz w:val="20"/>
              </w:rPr>
              <w:t>Βεβαιώνεται η μη χρηματοδότηση δαπανών του Ε.Σ. με την Υπεύθυνη δήλωση υπογεγραμμένη από τον νόμιμο εκπρόσωπο του Δικαιούχου, όπως περιλαμβάνεται στα συνημμένα αρχεία της πρόσκλησης.</w:t>
            </w:r>
          </w:p>
        </w:tc>
        <w:tc>
          <w:tcPr>
            <w:tcW w:w="1248" w:type="dxa"/>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7"/>
              </w:rPr>
            </w:pPr>
          </w:p>
          <w:p>
            <w:pPr>
              <w:pStyle w:val="TableParagraph"/>
              <w:ind w:left="281" w:right="278"/>
              <w:jc w:val="center"/>
              <w:rPr>
                <w:sz w:val="22"/>
              </w:rPr>
            </w:pPr>
            <w:r>
              <w:rPr>
                <w:sz w:val="22"/>
              </w:rPr>
              <w:t>ναι/όχι</w:t>
            </w:r>
          </w:p>
        </w:tc>
        <w:tc>
          <w:tcPr>
            <w:tcW w:w="1277" w:type="dxa"/>
          </w:tcPr>
          <w:p>
            <w:pPr/>
          </w:p>
        </w:tc>
        <w:tc>
          <w:tcPr>
            <w:tcW w:w="1104" w:type="dxa"/>
          </w:tcPr>
          <w:p>
            <w:pPr/>
          </w:p>
        </w:tc>
      </w:tr>
      <w:tr>
        <w:trPr>
          <w:trHeight w:val="1414" w:hRule="exact"/>
        </w:trPr>
        <w:tc>
          <w:tcPr>
            <w:tcW w:w="531" w:type="dxa"/>
          </w:tcPr>
          <w:p>
            <w:pPr>
              <w:pStyle w:val="TableParagraph"/>
              <w:rPr>
                <w:rFonts w:ascii="Times New Roman"/>
                <w:sz w:val="22"/>
              </w:rPr>
            </w:pPr>
          </w:p>
          <w:p>
            <w:pPr>
              <w:pStyle w:val="TableParagraph"/>
              <w:spacing w:before="2"/>
              <w:rPr>
                <w:rFonts w:ascii="Times New Roman"/>
                <w:sz w:val="27"/>
              </w:rPr>
            </w:pPr>
          </w:p>
          <w:p>
            <w:pPr>
              <w:pStyle w:val="TableParagraph"/>
              <w:ind w:left="129" w:right="128"/>
              <w:jc w:val="center"/>
              <w:rPr>
                <w:sz w:val="22"/>
              </w:rPr>
            </w:pPr>
            <w:r>
              <w:rPr>
                <w:sz w:val="22"/>
              </w:rPr>
              <w:t>10</w:t>
            </w:r>
          </w:p>
        </w:tc>
        <w:tc>
          <w:tcPr>
            <w:tcW w:w="1522" w:type="dxa"/>
            <w:vMerge/>
          </w:tcPr>
          <w:p>
            <w:pPr/>
          </w:p>
        </w:tc>
        <w:tc>
          <w:tcPr>
            <w:tcW w:w="4606" w:type="dxa"/>
          </w:tcPr>
          <w:p>
            <w:pPr>
              <w:pStyle w:val="TableParagraph"/>
              <w:spacing w:line="276" w:lineRule="auto"/>
              <w:ind w:left="103" w:right="104"/>
              <w:jc w:val="both"/>
              <w:rPr>
                <w:sz w:val="20"/>
              </w:rPr>
            </w:pPr>
            <w:r>
              <w:rPr>
                <w:sz w:val="20"/>
              </w:rPr>
              <w:t>Να μην εκκρεμεί σε βάρος της επιχείρησης ανάκτηση κρατικής ενίσχυσης έπειτα από απόφαση της Ευρωπαϊκής Επιτροπής με την οποία μια ενίσχυση κηρύσσεται παράνομη και ασυμβίβαστη με την εσωτερική αγορά.</w:t>
            </w:r>
          </w:p>
        </w:tc>
        <w:tc>
          <w:tcPr>
            <w:tcW w:w="3997" w:type="dxa"/>
          </w:tcPr>
          <w:p>
            <w:pPr>
              <w:pStyle w:val="TableParagraph"/>
              <w:spacing w:before="1"/>
              <w:rPr>
                <w:rFonts w:ascii="Times New Roman"/>
                <w:sz w:val="29"/>
              </w:rPr>
            </w:pPr>
          </w:p>
          <w:p>
            <w:pPr>
              <w:pStyle w:val="TableParagraph"/>
              <w:ind w:left="103" w:right="106"/>
              <w:jc w:val="both"/>
              <w:rPr>
                <w:sz w:val="20"/>
              </w:rPr>
            </w:pPr>
            <w:r>
              <w:rPr>
                <w:sz w:val="20"/>
              </w:rPr>
              <w:t>Βεβαιώνεται με έγγραφο του Δικαιούχου, το οποίο περιλαμβάνεται στα συνημμένα αρχεία της πρόσκλησης.</w:t>
            </w:r>
          </w:p>
        </w:tc>
        <w:tc>
          <w:tcPr>
            <w:tcW w:w="1248" w:type="dxa"/>
          </w:tcPr>
          <w:p>
            <w:pPr>
              <w:pStyle w:val="TableParagraph"/>
              <w:rPr>
                <w:rFonts w:ascii="Times New Roman"/>
                <w:sz w:val="22"/>
              </w:rPr>
            </w:pPr>
          </w:p>
          <w:p>
            <w:pPr>
              <w:pStyle w:val="TableParagraph"/>
              <w:spacing w:before="2"/>
              <w:rPr>
                <w:rFonts w:ascii="Times New Roman"/>
                <w:sz w:val="27"/>
              </w:rPr>
            </w:pPr>
          </w:p>
          <w:p>
            <w:pPr>
              <w:pStyle w:val="TableParagraph"/>
              <w:ind w:left="281" w:right="278"/>
              <w:jc w:val="center"/>
              <w:rPr>
                <w:sz w:val="22"/>
              </w:rPr>
            </w:pPr>
            <w:r>
              <w:rPr>
                <w:sz w:val="22"/>
              </w:rPr>
              <w:t>ναι/όχι</w:t>
            </w:r>
          </w:p>
        </w:tc>
        <w:tc>
          <w:tcPr>
            <w:tcW w:w="1277" w:type="dxa"/>
          </w:tcPr>
          <w:p>
            <w:pPr/>
          </w:p>
        </w:tc>
        <w:tc>
          <w:tcPr>
            <w:tcW w:w="1104" w:type="dxa"/>
          </w:tcPr>
          <w:p>
            <w:pPr/>
          </w:p>
        </w:tc>
      </w:tr>
      <w:tr>
        <w:trPr>
          <w:trHeight w:val="745" w:hRule="exact"/>
        </w:trPr>
        <w:tc>
          <w:tcPr>
            <w:tcW w:w="531" w:type="dxa"/>
          </w:tcPr>
          <w:p>
            <w:pPr>
              <w:pStyle w:val="TableParagraph"/>
              <w:spacing w:before="11"/>
              <w:rPr>
                <w:rFonts w:ascii="Times New Roman"/>
                <w:sz w:val="19"/>
              </w:rPr>
            </w:pPr>
          </w:p>
          <w:p>
            <w:pPr>
              <w:pStyle w:val="TableParagraph"/>
              <w:ind w:left="129" w:right="128"/>
              <w:jc w:val="center"/>
              <w:rPr>
                <w:sz w:val="22"/>
              </w:rPr>
            </w:pPr>
            <w:r>
              <w:rPr>
                <w:sz w:val="22"/>
              </w:rPr>
              <w:t>11</w:t>
            </w:r>
          </w:p>
        </w:tc>
        <w:tc>
          <w:tcPr>
            <w:tcW w:w="1522" w:type="dxa"/>
            <w:vMerge/>
          </w:tcPr>
          <w:p>
            <w:pPr/>
          </w:p>
        </w:tc>
        <w:tc>
          <w:tcPr>
            <w:tcW w:w="4606" w:type="dxa"/>
          </w:tcPr>
          <w:p>
            <w:pPr>
              <w:pStyle w:val="TableParagraph"/>
              <w:tabs>
                <w:tab w:pos="441" w:val="left" w:leader="none"/>
                <w:tab w:pos="1565" w:val="left" w:leader="none"/>
                <w:tab w:pos="2064" w:val="left" w:leader="none"/>
                <w:tab w:pos="3074" w:val="left" w:leader="none"/>
                <w:tab w:pos="3611" w:val="left" w:leader="none"/>
              </w:tabs>
              <w:spacing w:line="276" w:lineRule="auto" w:before="85"/>
              <w:ind w:left="103" w:right="105"/>
              <w:rPr>
                <w:sz w:val="20"/>
              </w:rPr>
            </w:pPr>
            <w:r>
              <w:rPr>
                <w:sz w:val="20"/>
              </w:rPr>
              <w:t>Η</w:t>
              <w:tab/>
              <w:t>επιχείρηση</w:t>
              <w:tab/>
              <w:t>δεν</w:t>
              <w:tab/>
              <w:t>βρίσκεται</w:t>
              <w:tab/>
              <w:t>υπό</w:t>
              <w:tab/>
              <w:t>πτώχευση, εκκαθάριση ή αναγκαστική</w:t>
            </w:r>
            <w:r>
              <w:rPr>
                <w:spacing w:val="-11"/>
                <w:sz w:val="20"/>
              </w:rPr>
              <w:t> </w:t>
            </w:r>
            <w:r>
              <w:rPr>
                <w:sz w:val="20"/>
              </w:rPr>
              <w:t>διαχείριση.</w:t>
            </w:r>
          </w:p>
        </w:tc>
        <w:tc>
          <w:tcPr>
            <w:tcW w:w="3997" w:type="dxa"/>
          </w:tcPr>
          <w:p>
            <w:pPr>
              <w:pStyle w:val="TableParagraph"/>
              <w:ind w:left="103" w:right="108"/>
              <w:jc w:val="both"/>
              <w:rPr>
                <w:sz w:val="20"/>
              </w:rPr>
            </w:pPr>
            <w:r>
              <w:rPr>
                <w:sz w:val="20"/>
              </w:rPr>
              <w:t>Βεβαιώνεται με έγγραφο του Δικαιούχου, το οποίο περιλαμβάνεται στα συνημμένα αρχεία της πρόσκλησης.</w:t>
            </w:r>
          </w:p>
        </w:tc>
        <w:tc>
          <w:tcPr>
            <w:tcW w:w="1248" w:type="dxa"/>
          </w:tcPr>
          <w:p>
            <w:pPr>
              <w:pStyle w:val="TableParagraph"/>
              <w:spacing w:before="11"/>
              <w:rPr>
                <w:rFonts w:ascii="Times New Roman"/>
                <w:sz w:val="19"/>
              </w:rPr>
            </w:pPr>
          </w:p>
          <w:p>
            <w:pPr>
              <w:pStyle w:val="TableParagraph"/>
              <w:ind w:left="281" w:right="278"/>
              <w:jc w:val="center"/>
              <w:rPr>
                <w:sz w:val="22"/>
              </w:rPr>
            </w:pPr>
            <w:r>
              <w:rPr>
                <w:sz w:val="22"/>
              </w:rPr>
              <w:t>ναι/όχι</w:t>
            </w:r>
          </w:p>
        </w:tc>
        <w:tc>
          <w:tcPr>
            <w:tcW w:w="1277" w:type="dxa"/>
          </w:tcPr>
          <w:p>
            <w:pPr/>
          </w:p>
        </w:tc>
        <w:tc>
          <w:tcPr>
            <w:tcW w:w="1104" w:type="dxa"/>
          </w:tcPr>
          <w:p>
            <w:pPr/>
          </w:p>
        </w:tc>
      </w:tr>
      <w:tr>
        <w:trPr>
          <w:trHeight w:val="742" w:hRule="exact"/>
        </w:trPr>
        <w:tc>
          <w:tcPr>
            <w:tcW w:w="531" w:type="dxa"/>
          </w:tcPr>
          <w:p>
            <w:pPr>
              <w:pStyle w:val="TableParagraph"/>
              <w:spacing w:before="8"/>
              <w:rPr>
                <w:rFonts w:ascii="Times New Roman"/>
                <w:sz w:val="19"/>
              </w:rPr>
            </w:pPr>
          </w:p>
          <w:p>
            <w:pPr>
              <w:pStyle w:val="TableParagraph"/>
              <w:spacing w:before="1"/>
              <w:ind w:left="129" w:right="128"/>
              <w:jc w:val="center"/>
              <w:rPr>
                <w:sz w:val="22"/>
              </w:rPr>
            </w:pPr>
            <w:r>
              <w:rPr>
                <w:sz w:val="22"/>
              </w:rPr>
              <w:t>12</w:t>
            </w:r>
          </w:p>
        </w:tc>
        <w:tc>
          <w:tcPr>
            <w:tcW w:w="1522" w:type="dxa"/>
            <w:vMerge/>
          </w:tcPr>
          <w:p>
            <w:pPr/>
          </w:p>
        </w:tc>
        <w:tc>
          <w:tcPr>
            <w:tcW w:w="4606" w:type="dxa"/>
          </w:tcPr>
          <w:p>
            <w:pPr>
              <w:pStyle w:val="TableParagraph"/>
              <w:spacing w:before="6"/>
              <w:rPr>
                <w:rFonts w:ascii="Times New Roman"/>
                <w:sz w:val="19"/>
              </w:rPr>
            </w:pPr>
          </w:p>
          <w:p>
            <w:pPr>
              <w:pStyle w:val="TableParagraph"/>
              <w:ind w:left="103"/>
              <w:rPr>
                <w:sz w:val="20"/>
              </w:rPr>
            </w:pPr>
            <w:r>
              <w:rPr>
                <w:sz w:val="20"/>
              </w:rPr>
              <w:t>Η επιχείρηση δεν είναι προβληματική</w:t>
            </w:r>
          </w:p>
        </w:tc>
        <w:tc>
          <w:tcPr>
            <w:tcW w:w="3997" w:type="dxa"/>
          </w:tcPr>
          <w:p>
            <w:pPr>
              <w:pStyle w:val="TableParagraph"/>
              <w:ind w:left="103" w:right="108"/>
              <w:jc w:val="both"/>
              <w:rPr>
                <w:sz w:val="20"/>
              </w:rPr>
            </w:pPr>
            <w:r>
              <w:rPr>
                <w:sz w:val="20"/>
              </w:rPr>
              <w:t>Βεβαιώνεται με έγγραφο του Δικαιούχου, το οποίο περιλαμβάνεται στα συνημμένα αρχεία της πρόσκλησης.</w:t>
            </w:r>
          </w:p>
        </w:tc>
        <w:tc>
          <w:tcPr>
            <w:tcW w:w="1248" w:type="dxa"/>
          </w:tcPr>
          <w:p>
            <w:pPr>
              <w:pStyle w:val="TableParagraph"/>
              <w:spacing w:before="8"/>
              <w:rPr>
                <w:rFonts w:ascii="Times New Roman"/>
                <w:sz w:val="19"/>
              </w:rPr>
            </w:pPr>
          </w:p>
          <w:p>
            <w:pPr>
              <w:pStyle w:val="TableParagraph"/>
              <w:spacing w:before="1"/>
              <w:ind w:left="281" w:right="278"/>
              <w:jc w:val="center"/>
              <w:rPr>
                <w:sz w:val="22"/>
              </w:rPr>
            </w:pPr>
            <w:r>
              <w:rPr>
                <w:sz w:val="22"/>
              </w:rPr>
              <w:t>ναι/όχι</w:t>
            </w:r>
          </w:p>
        </w:tc>
        <w:tc>
          <w:tcPr>
            <w:tcW w:w="1277" w:type="dxa"/>
          </w:tcPr>
          <w:p>
            <w:pPr/>
          </w:p>
        </w:tc>
        <w:tc>
          <w:tcPr>
            <w:tcW w:w="1104" w:type="dxa"/>
          </w:tcPr>
          <w:p>
            <w:pPr/>
          </w:p>
        </w:tc>
      </w:tr>
    </w:tbl>
    <w:p>
      <w:pPr>
        <w:spacing w:after="0"/>
        <w:sectPr>
          <w:pgSz w:w="16840" w:h="11910" w:orient="landscape"/>
          <w:pgMar w:header="748" w:footer="734" w:top="1180" w:bottom="920" w:left="1160" w:right="116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1522"/>
        <w:gridCol w:w="4606"/>
        <w:gridCol w:w="3997"/>
        <w:gridCol w:w="1248"/>
        <w:gridCol w:w="1277"/>
        <w:gridCol w:w="1104"/>
      </w:tblGrid>
      <w:tr>
        <w:trPr>
          <w:trHeight w:val="5907" w:hRule="exact"/>
        </w:trPr>
        <w:tc>
          <w:tcPr>
            <w:tcW w:w="53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24"/>
              </w:rPr>
            </w:pPr>
          </w:p>
          <w:p>
            <w:pPr>
              <w:pStyle w:val="TableParagraph"/>
              <w:ind w:left="129" w:right="128"/>
              <w:jc w:val="center"/>
              <w:rPr>
                <w:sz w:val="22"/>
              </w:rPr>
            </w:pPr>
            <w:r>
              <w:rPr>
                <w:sz w:val="22"/>
              </w:rPr>
              <w:t>13</w:t>
            </w:r>
          </w:p>
        </w:tc>
        <w:tc>
          <w:tcPr>
            <w:tcW w:w="1522" w:type="dxa"/>
            <w:vMerge w:val="restart"/>
          </w:tcPr>
          <w:p>
            <w:pPr/>
          </w:p>
        </w:tc>
        <w:tc>
          <w:tcPr>
            <w:tcW w:w="4606" w:type="dxa"/>
          </w:tcPr>
          <w:p>
            <w:pPr>
              <w:pStyle w:val="TableParagraph"/>
              <w:spacing w:line="276" w:lineRule="auto"/>
              <w:ind w:left="103" w:right="102"/>
              <w:jc w:val="both"/>
              <w:rPr>
                <w:sz w:val="20"/>
              </w:rPr>
            </w:pPr>
            <w:r>
              <w:rPr>
                <w:sz w:val="20"/>
              </w:rPr>
              <w:t>Να διαθέτουν ή να δεσμευτούν με υπεύθυνη  δήλωση του Νόμιμου Εκπροσώπου ότι μέχρι την ολοκλήρωση της επένδυσης θα μεριμνήσουν για τις κατάλληλες υποδομές και υπηρεσίες γι΄ αυτήν, με σκοπό την ελαχιστοποίηση των εμποδίων και τη διευκόλυνση της πρόσβασης σε αυτές, όπου αυτό είναι απαραίτητο και αναγκαίο, ατόμων με αναπηρία, σύμφωνα με τα προβλεπόμενα στο</w:t>
            </w:r>
            <w:r>
              <w:rPr>
                <w:spacing w:val="14"/>
                <w:sz w:val="20"/>
              </w:rPr>
              <w:t> </w:t>
            </w:r>
            <w:r>
              <w:rPr>
                <w:sz w:val="20"/>
              </w:rPr>
              <w:t>άρθρο</w:t>
            </w:r>
          </w:p>
          <w:p>
            <w:pPr>
              <w:pStyle w:val="TableParagraph"/>
              <w:spacing w:line="276" w:lineRule="auto"/>
              <w:ind w:left="103" w:right="102"/>
              <w:jc w:val="both"/>
              <w:rPr>
                <w:sz w:val="20"/>
              </w:rPr>
            </w:pPr>
            <w:r>
              <w:rPr>
                <w:sz w:val="20"/>
              </w:rPr>
              <w:t>7 του Κανονισμού (ΕΕ) αριθ. 1303/2013 του Ευρωπαϊκού Κοινοβουλίου και του Συμβουλίου, της 17ης Δεκεμβρίου 2013,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1083/2006. Ως υποδομές νοούνται τόσο οι κτιριακές υποδομές, όσο και οι ηλεκτρονικές εφαρμογές που απευθύνονται στο πελατειακό κοινό (π.χ. ιστοσελίδες και λοιπές ηλεκτρονικές εφαρμογές, όπως ηλεκτρονικά σημεία πληροφόρησης ή/και εξυπηρέτησης κ.λ.π.) σύμφωνα με τις οδηγίες του ΕΣΑμεΑ.</w:t>
            </w:r>
          </w:p>
        </w:tc>
        <w:tc>
          <w:tcPr>
            <w:tcW w:w="3997"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ind w:left="103" w:right="105"/>
              <w:jc w:val="both"/>
              <w:rPr>
                <w:sz w:val="20"/>
              </w:rPr>
            </w:pPr>
            <w:r>
              <w:rPr>
                <w:sz w:val="20"/>
              </w:rPr>
              <w:t>Βεβαιώνεται με την Υπεύθυνη δήλωση υπογεγραμμένη από τον νόμιμο εκπρόσωπο του Δικαιούχου, όπως περιλαμβάνεται στα συνημμένα αρχεία της πρόσκλησης.</w:t>
            </w:r>
          </w:p>
        </w:tc>
        <w:tc>
          <w:tcPr>
            <w:tcW w:w="1248"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4"/>
              <w:rPr>
                <w:rFonts w:ascii="Times New Roman"/>
                <w:sz w:val="24"/>
              </w:rPr>
            </w:pPr>
          </w:p>
          <w:p>
            <w:pPr>
              <w:pStyle w:val="TableParagraph"/>
              <w:ind w:left="281" w:right="278"/>
              <w:jc w:val="center"/>
              <w:rPr>
                <w:sz w:val="22"/>
              </w:rPr>
            </w:pPr>
            <w:r>
              <w:rPr>
                <w:sz w:val="22"/>
              </w:rPr>
              <w:t>ναι/όχι</w:t>
            </w:r>
          </w:p>
        </w:tc>
        <w:tc>
          <w:tcPr>
            <w:tcW w:w="1277" w:type="dxa"/>
          </w:tcPr>
          <w:p>
            <w:pPr/>
          </w:p>
        </w:tc>
        <w:tc>
          <w:tcPr>
            <w:tcW w:w="1104" w:type="dxa"/>
          </w:tcPr>
          <w:p>
            <w:pPr/>
          </w:p>
        </w:tc>
      </w:tr>
      <w:tr>
        <w:trPr>
          <w:trHeight w:val="2537" w:hRule="exact"/>
        </w:trPr>
        <w:tc>
          <w:tcPr>
            <w:tcW w:w="53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31"/>
              </w:rPr>
            </w:pPr>
          </w:p>
          <w:p>
            <w:pPr>
              <w:pStyle w:val="TableParagraph"/>
              <w:ind w:left="129" w:right="128"/>
              <w:jc w:val="center"/>
              <w:rPr>
                <w:sz w:val="22"/>
              </w:rPr>
            </w:pPr>
            <w:r>
              <w:rPr>
                <w:sz w:val="22"/>
              </w:rPr>
              <w:t>14</w:t>
            </w:r>
          </w:p>
        </w:tc>
        <w:tc>
          <w:tcPr>
            <w:tcW w:w="1522" w:type="dxa"/>
            <w:vMerge/>
          </w:tcPr>
          <w:p>
            <w:pPr/>
          </w:p>
        </w:tc>
        <w:tc>
          <w:tcPr>
            <w:tcW w:w="4606" w:type="dxa"/>
          </w:tcPr>
          <w:p>
            <w:pPr>
              <w:pStyle w:val="TableParagraph"/>
              <w:spacing w:line="276" w:lineRule="auto"/>
              <w:ind w:left="103" w:right="102"/>
              <w:jc w:val="both"/>
              <w:rPr>
                <w:sz w:val="20"/>
              </w:rPr>
            </w:pPr>
            <w:r>
              <w:rPr>
                <w:sz w:val="20"/>
              </w:rPr>
              <w:t>Η επιχείρηση δεν εντάσσεται σε ήδη οργανωμένο ομοιόμορφο δίκτυο διανομής προϊόντων ή παροχής υπηρεσιών η οποία εκμεταλλεύεται  κατόπιν σχετικών συμβάσεων άδειες εκμετάλλευσης δικαιωμάτων διανοητικής ιδιοκτησίας, που αφορούν συνήθως εμπορικά σήματα ή διακριτικούς τίτλους και τεχνογνωσία για την χρήση και τη διανομή αγαθών ή υπηρεσιών (π.χ. franchising, shop in shop, δίκτυο</w:t>
            </w:r>
            <w:r>
              <w:rPr>
                <w:spacing w:val="-5"/>
                <w:sz w:val="20"/>
              </w:rPr>
              <w:t> </w:t>
            </w:r>
            <w:r>
              <w:rPr>
                <w:sz w:val="20"/>
              </w:rPr>
              <w:t>πρακτόρευσης).</w:t>
            </w:r>
          </w:p>
        </w:tc>
        <w:tc>
          <w:tcPr>
            <w:tcW w:w="3997" w:type="dxa"/>
          </w:tcPr>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7"/>
              </w:rPr>
            </w:pPr>
          </w:p>
          <w:p>
            <w:pPr>
              <w:pStyle w:val="TableParagraph"/>
              <w:spacing w:before="1"/>
              <w:ind w:left="103" w:right="105"/>
              <w:jc w:val="both"/>
              <w:rPr>
                <w:sz w:val="20"/>
              </w:rPr>
            </w:pPr>
            <w:r>
              <w:rPr>
                <w:sz w:val="20"/>
              </w:rPr>
              <w:t>Βεβαιώνεται με την Υπεύθυνη δήλωση υπογεγραμμένη από τον νόμιμο εκπρόσωπο του Δικαιούχου, όπως περιλαμβάνεται στα συνημμένα αρχεία της πρόσκλησης.</w:t>
            </w:r>
          </w:p>
        </w:tc>
        <w:tc>
          <w:tcPr>
            <w:tcW w:w="1248"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19"/>
              </w:rPr>
            </w:pPr>
          </w:p>
          <w:p>
            <w:pPr>
              <w:pStyle w:val="TableParagraph"/>
              <w:ind w:left="277" w:right="278"/>
              <w:jc w:val="center"/>
              <w:rPr>
                <w:sz w:val="20"/>
              </w:rPr>
            </w:pPr>
            <w:r>
              <w:rPr>
                <w:sz w:val="20"/>
              </w:rPr>
              <w:t>ναι/όχι</w:t>
            </w:r>
          </w:p>
        </w:tc>
        <w:tc>
          <w:tcPr>
            <w:tcW w:w="1277" w:type="dxa"/>
          </w:tcPr>
          <w:p>
            <w:pPr/>
          </w:p>
        </w:tc>
        <w:tc>
          <w:tcPr>
            <w:tcW w:w="1104" w:type="dxa"/>
          </w:tcPr>
          <w:p>
            <w:pPr/>
          </w:p>
        </w:tc>
      </w:tr>
    </w:tbl>
    <w:p>
      <w:pPr>
        <w:spacing w:after="0"/>
        <w:sectPr>
          <w:pgSz w:w="16840" w:h="11910" w:orient="landscape"/>
          <w:pgMar w:header="748" w:footer="734" w:top="1180" w:bottom="920" w:left="1160" w:right="116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1522"/>
        <w:gridCol w:w="4606"/>
        <w:gridCol w:w="3997"/>
        <w:gridCol w:w="1248"/>
        <w:gridCol w:w="1277"/>
        <w:gridCol w:w="1104"/>
      </w:tblGrid>
      <w:tr>
        <w:trPr>
          <w:trHeight w:val="1474" w:hRule="exact"/>
        </w:trPr>
        <w:tc>
          <w:tcPr>
            <w:tcW w:w="531" w:type="dxa"/>
          </w:tcPr>
          <w:p>
            <w:pPr>
              <w:pStyle w:val="TableParagraph"/>
              <w:rPr>
                <w:rFonts w:ascii="Times New Roman"/>
                <w:sz w:val="22"/>
              </w:rPr>
            </w:pPr>
          </w:p>
          <w:p>
            <w:pPr>
              <w:pStyle w:val="TableParagraph"/>
              <w:spacing w:before="8"/>
              <w:rPr>
                <w:rFonts w:ascii="Times New Roman"/>
                <w:sz w:val="29"/>
              </w:rPr>
            </w:pPr>
          </w:p>
          <w:p>
            <w:pPr>
              <w:pStyle w:val="TableParagraph"/>
              <w:ind w:left="129" w:right="128"/>
              <w:jc w:val="center"/>
              <w:rPr>
                <w:sz w:val="22"/>
              </w:rPr>
            </w:pPr>
            <w:r>
              <w:rPr>
                <w:sz w:val="22"/>
              </w:rPr>
              <w:t>15</w:t>
            </w:r>
          </w:p>
        </w:tc>
        <w:tc>
          <w:tcPr>
            <w:tcW w:w="1522" w:type="dxa"/>
            <w:vMerge w:val="restart"/>
          </w:tcPr>
          <w:p>
            <w:pPr/>
          </w:p>
        </w:tc>
        <w:tc>
          <w:tcPr>
            <w:tcW w:w="4606" w:type="dxa"/>
          </w:tcPr>
          <w:p>
            <w:pPr>
              <w:pStyle w:val="TableParagraph"/>
              <w:rPr>
                <w:rFonts w:ascii="Times New Roman"/>
                <w:sz w:val="27"/>
              </w:rPr>
            </w:pPr>
          </w:p>
          <w:p>
            <w:pPr>
              <w:pStyle w:val="TableParagraph"/>
              <w:spacing w:line="276" w:lineRule="auto"/>
              <w:ind w:left="103" w:right="107"/>
              <w:jc w:val="both"/>
              <w:rPr>
                <w:sz w:val="20"/>
              </w:rPr>
            </w:pPr>
            <w:r>
              <w:rPr>
                <w:sz w:val="20"/>
              </w:rPr>
              <w:t>Η περίοδος υλοποίησης του επενδυτικού σχεδίου είναι εντός της περιόδου επιλεξιμότητας της Προγραμματικής Περιόδου και της Πρόσκλησης.</w:t>
            </w:r>
          </w:p>
        </w:tc>
        <w:tc>
          <w:tcPr>
            <w:tcW w:w="3997" w:type="dxa"/>
          </w:tcPr>
          <w:p>
            <w:pPr>
              <w:pStyle w:val="TableParagraph"/>
              <w:ind w:left="103" w:right="105"/>
              <w:jc w:val="both"/>
              <w:rPr>
                <w:sz w:val="20"/>
              </w:rPr>
            </w:pPr>
            <w:r>
              <w:rPr>
                <w:sz w:val="20"/>
              </w:rPr>
              <w:t>Βεβαιώνεται με την Υπεύθυνη δήλωση υπογεγραμμένη από τον νόμιμο εκπρόσωπο του Δικαιούχου, όπως περιλαμβάνεται στα συνημμένα αρχεία της πρόσκλησης, και εξετάζεται το Επενδυτικό Σχέδιο ως προς το χρονοδιάγραμμά του.</w:t>
            </w:r>
          </w:p>
        </w:tc>
        <w:tc>
          <w:tcPr>
            <w:tcW w:w="1248" w:type="dxa"/>
          </w:tcPr>
          <w:p>
            <w:pPr>
              <w:pStyle w:val="TableParagraph"/>
              <w:rPr>
                <w:rFonts w:ascii="Times New Roman"/>
                <w:sz w:val="20"/>
              </w:rPr>
            </w:pPr>
          </w:p>
          <w:p>
            <w:pPr>
              <w:pStyle w:val="TableParagraph"/>
              <w:rPr>
                <w:rFonts w:ascii="Times New Roman"/>
                <w:sz w:val="20"/>
              </w:rPr>
            </w:pPr>
          </w:p>
          <w:p>
            <w:pPr>
              <w:pStyle w:val="TableParagraph"/>
              <w:spacing w:before="149"/>
              <w:ind w:left="277" w:right="278"/>
              <w:jc w:val="center"/>
              <w:rPr>
                <w:sz w:val="20"/>
              </w:rPr>
            </w:pPr>
            <w:r>
              <w:rPr>
                <w:sz w:val="20"/>
              </w:rPr>
              <w:t>ναι/όχι</w:t>
            </w:r>
          </w:p>
        </w:tc>
        <w:tc>
          <w:tcPr>
            <w:tcW w:w="1277" w:type="dxa"/>
          </w:tcPr>
          <w:p>
            <w:pPr/>
          </w:p>
        </w:tc>
        <w:tc>
          <w:tcPr>
            <w:tcW w:w="1104" w:type="dxa"/>
          </w:tcPr>
          <w:p>
            <w:pPr/>
          </w:p>
        </w:tc>
      </w:tr>
      <w:tr>
        <w:trPr>
          <w:trHeight w:val="1940" w:hRule="exact"/>
        </w:trPr>
        <w:tc>
          <w:tcPr>
            <w:tcW w:w="531" w:type="dxa"/>
          </w:tcPr>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7"/>
              </w:rPr>
            </w:pPr>
          </w:p>
          <w:p>
            <w:pPr>
              <w:pStyle w:val="TableParagraph"/>
              <w:ind w:left="129" w:right="128"/>
              <w:jc w:val="center"/>
              <w:rPr>
                <w:sz w:val="22"/>
              </w:rPr>
            </w:pPr>
            <w:r>
              <w:rPr>
                <w:sz w:val="22"/>
              </w:rPr>
              <w:t>16</w:t>
            </w:r>
          </w:p>
        </w:tc>
        <w:tc>
          <w:tcPr>
            <w:tcW w:w="1522" w:type="dxa"/>
            <w:vMerge/>
          </w:tcPr>
          <w:p>
            <w:pPr/>
          </w:p>
        </w:tc>
        <w:tc>
          <w:tcPr>
            <w:tcW w:w="4606" w:type="dxa"/>
          </w:tcPr>
          <w:p>
            <w:pPr>
              <w:pStyle w:val="TableParagraph"/>
              <w:spacing w:line="276" w:lineRule="auto"/>
              <w:ind w:left="103" w:right="105"/>
              <w:jc w:val="both"/>
              <w:rPr>
                <w:sz w:val="20"/>
              </w:rPr>
            </w:pPr>
            <w:r>
              <w:rPr>
                <w:sz w:val="20"/>
              </w:rPr>
              <w:t>Η πρόταση είναι εναρμονισμένη και υπακούει στους περιορισμούς σχετικά με τη σώρευση ενισχύσεων που προβλέπουν οι Κανονισμοί που την διέπουν. Η ενίσχυση που χορηγείται δυνάμει της παρούσας πρόσκλησης με τον Καν. (Ε.Ε.) 1407/2013 και πληροί όλες τις προϋποθέσεις του Κανονισμού αυτού.</w:t>
            </w:r>
          </w:p>
        </w:tc>
        <w:tc>
          <w:tcPr>
            <w:tcW w:w="3997" w:type="dxa"/>
          </w:tcPr>
          <w:p>
            <w:pPr>
              <w:pStyle w:val="TableParagraph"/>
              <w:rPr>
                <w:rFonts w:ascii="Times New Roman"/>
                <w:sz w:val="20"/>
              </w:rPr>
            </w:pPr>
          </w:p>
          <w:p>
            <w:pPr>
              <w:pStyle w:val="TableParagraph"/>
              <w:rPr>
                <w:rFonts w:ascii="Times New Roman"/>
                <w:sz w:val="20"/>
              </w:rPr>
            </w:pPr>
          </w:p>
          <w:p>
            <w:pPr>
              <w:pStyle w:val="TableParagraph"/>
              <w:spacing w:before="139"/>
              <w:ind w:left="103" w:right="104"/>
              <w:jc w:val="both"/>
              <w:rPr>
                <w:sz w:val="20"/>
              </w:rPr>
            </w:pPr>
            <w:r>
              <w:rPr>
                <w:sz w:val="20"/>
              </w:rPr>
              <w:t>Εξετάζεται η τήρηση όλων  των προϋποθέσεων σχετικά με την πλήρωση των προϋποθέσεων του Καν. Ε.Ε. 1407/2013</w:t>
            </w:r>
          </w:p>
        </w:tc>
        <w:tc>
          <w:tcPr>
            <w:tcW w:w="1248"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52"/>
              <w:ind w:left="277" w:right="278"/>
              <w:jc w:val="center"/>
              <w:rPr>
                <w:sz w:val="20"/>
              </w:rPr>
            </w:pPr>
            <w:r>
              <w:rPr>
                <w:sz w:val="20"/>
              </w:rPr>
              <w:t>ναι/όχι</w:t>
            </w:r>
          </w:p>
        </w:tc>
        <w:tc>
          <w:tcPr>
            <w:tcW w:w="1277" w:type="dxa"/>
          </w:tcPr>
          <w:p>
            <w:pPr/>
          </w:p>
        </w:tc>
        <w:tc>
          <w:tcPr>
            <w:tcW w:w="1104" w:type="dxa"/>
          </w:tcPr>
          <w:p>
            <w:pPr/>
          </w:p>
        </w:tc>
      </w:tr>
      <w:tr>
        <w:trPr>
          <w:trHeight w:val="1476" w:hRule="exact"/>
        </w:trPr>
        <w:tc>
          <w:tcPr>
            <w:tcW w:w="531" w:type="dxa"/>
          </w:tcPr>
          <w:p>
            <w:pPr>
              <w:pStyle w:val="TableParagraph"/>
              <w:rPr>
                <w:rFonts w:ascii="Times New Roman"/>
                <w:sz w:val="22"/>
              </w:rPr>
            </w:pPr>
          </w:p>
          <w:p>
            <w:pPr>
              <w:pStyle w:val="TableParagraph"/>
              <w:spacing w:before="8"/>
              <w:rPr>
                <w:rFonts w:ascii="Times New Roman"/>
                <w:sz w:val="29"/>
              </w:rPr>
            </w:pPr>
          </w:p>
          <w:p>
            <w:pPr>
              <w:pStyle w:val="TableParagraph"/>
              <w:ind w:left="129" w:right="128"/>
              <w:jc w:val="center"/>
              <w:rPr>
                <w:sz w:val="22"/>
              </w:rPr>
            </w:pPr>
            <w:r>
              <w:rPr>
                <w:sz w:val="22"/>
              </w:rPr>
              <w:t>17</w:t>
            </w:r>
          </w:p>
        </w:tc>
        <w:tc>
          <w:tcPr>
            <w:tcW w:w="1522" w:type="dxa"/>
            <w:vMerge/>
          </w:tcPr>
          <w:p>
            <w:pPr/>
          </w:p>
        </w:tc>
        <w:tc>
          <w:tcPr>
            <w:tcW w:w="4606" w:type="dxa"/>
          </w:tcPr>
          <w:p>
            <w:pPr>
              <w:pStyle w:val="TableParagraph"/>
              <w:rPr>
                <w:rFonts w:ascii="Times New Roman"/>
                <w:sz w:val="27"/>
              </w:rPr>
            </w:pPr>
          </w:p>
          <w:p>
            <w:pPr>
              <w:pStyle w:val="TableParagraph"/>
              <w:spacing w:line="276" w:lineRule="auto"/>
              <w:ind w:left="103" w:right="104"/>
              <w:jc w:val="both"/>
              <w:rPr>
                <w:sz w:val="20"/>
              </w:rPr>
            </w:pPr>
            <w:r>
              <w:rPr>
                <w:sz w:val="20"/>
              </w:rPr>
              <w:t>Το επενδυτικό σχέδιο (φυσικό και οικονομικό αντικείμενο) να μην έχει ολοκληρωθεί, πριν την ημερομηνία υποβολής της πρότασης.</w:t>
            </w:r>
          </w:p>
        </w:tc>
        <w:tc>
          <w:tcPr>
            <w:tcW w:w="3997" w:type="dxa"/>
          </w:tcPr>
          <w:p>
            <w:pPr>
              <w:pStyle w:val="TableParagraph"/>
              <w:ind w:left="103" w:right="105"/>
              <w:jc w:val="both"/>
              <w:rPr>
                <w:sz w:val="20"/>
              </w:rPr>
            </w:pPr>
            <w:r>
              <w:rPr>
                <w:sz w:val="20"/>
              </w:rPr>
              <w:t>Βεβαιώνεται με την Υπεύθυνη δήλωση υπογεγραμμένη από τον νόμιμο εκπρόσωπο του Δικαιούχου, όπως περιλαμβάνεται στα συνημμένα αρχεία της πρόσκλησης, και εξετάζεται το Επενδυτικό Σχέδιο ως προς το χρονοδιάγραμμά του.</w:t>
            </w:r>
          </w:p>
        </w:tc>
        <w:tc>
          <w:tcPr>
            <w:tcW w:w="1248" w:type="dxa"/>
          </w:tcPr>
          <w:p>
            <w:pPr>
              <w:pStyle w:val="TableParagraph"/>
              <w:rPr>
                <w:rFonts w:ascii="Times New Roman"/>
                <w:sz w:val="20"/>
              </w:rPr>
            </w:pPr>
          </w:p>
          <w:p>
            <w:pPr>
              <w:pStyle w:val="TableParagraph"/>
              <w:rPr>
                <w:rFonts w:ascii="Times New Roman"/>
                <w:sz w:val="20"/>
              </w:rPr>
            </w:pPr>
          </w:p>
          <w:p>
            <w:pPr>
              <w:pStyle w:val="TableParagraph"/>
              <w:spacing w:before="151"/>
              <w:ind w:left="277" w:right="278"/>
              <w:jc w:val="center"/>
              <w:rPr>
                <w:sz w:val="20"/>
              </w:rPr>
            </w:pPr>
            <w:r>
              <w:rPr>
                <w:sz w:val="20"/>
              </w:rPr>
              <w:t>ναι/όχι</w:t>
            </w:r>
          </w:p>
        </w:tc>
        <w:tc>
          <w:tcPr>
            <w:tcW w:w="1277" w:type="dxa"/>
          </w:tcPr>
          <w:p>
            <w:pPr/>
          </w:p>
        </w:tc>
        <w:tc>
          <w:tcPr>
            <w:tcW w:w="1104" w:type="dxa"/>
          </w:tcPr>
          <w:p>
            <w:pPr/>
          </w:p>
        </w:tc>
      </w:tr>
      <w:tr>
        <w:trPr>
          <w:trHeight w:val="852" w:hRule="exact"/>
        </w:trPr>
        <w:tc>
          <w:tcPr>
            <w:tcW w:w="531" w:type="dxa"/>
          </w:tcPr>
          <w:p>
            <w:pPr>
              <w:pStyle w:val="TableParagraph"/>
              <w:spacing w:before="6"/>
              <w:rPr>
                <w:rFonts w:ascii="Times New Roman"/>
                <w:sz w:val="24"/>
              </w:rPr>
            </w:pPr>
          </w:p>
          <w:p>
            <w:pPr>
              <w:pStyle w:val="TableParagraph"/>
              <w:ind w:left="129" w:right="128"/>
              <w:jc w:val="center"/>
              <w:rPr>
                <w:sz w:val="22"/>
              </w:rPr>
            </w:pPr>
            <w:r>
              <w:rPr>
                <w:sz w:val="22"/>
              </w:rPr>
              <w:t>18</w:t>
            </w:r>
          </w:p>
        </w:tc>
        <w:tc>
          <w:tcPr>
            <w:tcW w:w="1522" w:type="dxa"/>
            <w:vMerge/>
          </w:tcPr>
          <w:p>
            <w:pPr/>
          </w:p>
        </w:tc>
        <w:tc>
          <w:tcPr>
            <w:tcW w:w="4606" w:type="dxa"/>
          </w:tcPr>
          <w:p>
            <w:pPr>
              <w:pStyle w:val="TableParagraph"/>
              <w:spacing w:line="276" w:lineRule="auto"/>
              <w:ind w:left="103" w:right="104"/>
              <w:jc w:val="both"/>
              <w:rPr>
                <w:sz w:val="20"/>
              </w:rPr>
            </w:pPr>
            <w:r>
              <w:rPr>
                <w:sz w:val="20"/>
              </w:rPr>
              <w:t>Δεν συντρέχουν λόγοι αποκλεισμού της επιχείρησης του άρθρου 40 του Ν. 4488/2017(Α137/13.09.2017), όπως ισχύει.</w:t>
            </w:r>
          </w:p>
        </w:tc>
        <w:tc>
          <w:tcPr>
            <w:tcW w:w="3997" w:type="dxa"/>
          </w:tcPr>
          <w:p>
            <w:pPr>
              <w:pStyle w:val="TableParagraph"/>
              <w:spacing w:line="276" w:lineRule="auto"/>
              <w:ind w:left="103" w:right="108"/>
              <w:jc w:val="both"/>
              <w:rPr>
                <w:sz w:val="20"/>
              </w:rPr>
            </w:pPr>
            <w:r>
              <w:rPr>
                <w:sz w:val="20"/>
              </w:rPr>
              <w:t>Βεβαιώνεται με έγγραφο του Δικαιούχου, το οποίο περιλαμβάνεται στα συνημμένα αρχεία της πρόσκλησης</w:t>
            </w:r>
          </w:p>
        </w:tc>
        <w:tc>
          <w:tcPr>
            <w:tcW w:w="1248" w:type="dxa"/>
          </w:tcPr>
          <w:p>
            <w:pPr>
              <w:pStyle w:val="TableParagraph"/>
              <w:spacing w:before="9"/>
              <w:rPr>
                <w:rFonts w:ascii="Times New Roman"/>
                <w:sz w:val="25"/>
              </w:rPr>
            </w:pPr>
          </w:p>
          <w:p>
            <w:pPr>
              <w:pStyle w:val="TableParagraph"/>
              <w:ind w:left="277" w:right="278"/>
              <w:jc w:val="center"/>
              <w:rPr>
                <w:sz w:val="20"/>
              </w:rPr>
            </w:pPr>
            <w:r>
              <w:rPr>
                <w:sz w:val="20"/>
              </w:rPr>
              <w:t>ναι/όχι</w:t>
            </w:r>
          </w:p>
        </w:tc>
        <w:tc>
          <w:tcPr>
            <w:tcW w:w="1277" w:type="dxa"/>
          </w:tcPr>
          <w:p>
            <w:pPr/>
          </w:p>
        </w:tc>
        <w:tc>
          <w:tcPr>
            <w:tcW w:w="1104" w:type="dxa"/>
          </w:tcPr>
          <w:p>
            <w:pPr/>
          </w:p>
        </w:tc>
      </w:tr>
      <w:tr>
        <w:trPr>
          <w:trHeight w:val="610" w:hRule="exact"/>
        </w:trPr>
        <w:tc>
          <w:tcPr>
            <w:tcW w:w="10656" w:type="dxa"/>
            <w:gridSpan w:val="4"/>
          </w:tcPr>
          <w:p>
            <w:pPr>
              <w:pStyle w:val="TableParagraph"/>
              <w:spacing w:before="162"/>
              <w:ind w:left="103"/>
              <w:rPr>
                <w:sz w:val="22"/>
              </w:rPr>
            </w:pPr>
            <w:r>
              <w:rPr>
                <w:sz w:val="22"/>
              </w:rPr>
              <w:t>Απαιτείται θετική αξιολόγηση (ΝΑΙ) σε όλα τα παραπάνω κριτήρια</w:t>
            </w:r>
          </w:p>
        </w:tc>
        <w:tc>
          <w:tcPr>
            <w:tcW w:w="2525" w:type="dxa"/>
            <w:gridSpan w:val="2"/>
          </w:tcPr>
          <w:p>
            <w:pPr>
              <w:pStyle w:val="TableParagraph"/>
              <w:spacing w:before="28"/>
              <w:ind w:left="604" w:right="587" w:firstLine="165"/>
              <w:rPr>
                <w:b/>
                <w:sz w:val="22"/>
              </w:rPr>
            </w:pPr>
            <w:r>
              <w:rPr>
                <w:b/>
                <w:sz w:val="22"/>
              </w:rPr>
              <w:t>ΣΥΝΟΛΙΚΟ ΑΠΟΤΕΛΕΣΜΑ</w:t>
            </w:r>
          </w:p>
        </w:tc>
        <w:tc>
          <w:tcPr>
            <w:tcW w:w="1104" w:type="dxa"/>
          </w:tcPr>
          <w:p>
            <w:pPr/>
          </w:p>
        </w:tc>
      </w:tr>
    </w:tbl>
    <w:p>
      <w:pPr>
        <w:spacing w:after="0"/>
        <w:sectPr>
          <w:pgSz w:w="16840" w:h="11910" w:orient="landscape"/>
          <w:pgMar w:header="748" w:footer="734" w:top="1180" w:bottom="920" w:left="1160" w:right="116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0"/>
        <w:gridCol w:w="2580"/>
        <w:gridCol w:w="687"/>
        <w:gridCol w:w="1772"/>
        <w:gridCol w:w="520"/>
        <w:gridCol w:w="2668"/>
        <w:gridCol w:w="1841"/>
        <w:gridCol w:w="1277"/>
        <w:gridCol w:w="1277"/>
        <w:gridCol w:w="1104"/>
      </w:tblGrid>
      <w:tr>
        <w:trPr>
          <w:trHeight w:val="866" w:hRule="exact"/>
        </w:trPr>
        <w:tc>
          <w:tcPr>
            <w:tcW w:w="14285" w:type="dxa"/>
            <w:gridSpan w:val="10"/>
            <w:shd w:val="clear" w:color="auto" w:fill="528ED4"/>
          </w:tcPr>
          <w:p>
            <w:pPr>
              <w:pStyle w:val="TableParagraph"/>
              <w:spacing w:before="4"/>
              <w:rPr>
                <w:rFonts w:ascii="Times New Roman"/>
                <w:sz w:val="25"/>
              </w:rPr>
            </w:pPr>
          </w:p>
          <w:p>
            <w:pPr>
              <w:pStyle w:val="TableParagraph"/>
              <w:ind w:left="4335"/>
              <w:rPr>
                <w:b/>
                <w:sz w:val="22"/>
              </w:rPr>
            </w:pPr>
            <w:r>
              <w:rPr>
                <w:b/>
                <w:color w:val="FFFFFF"/>
                <w:sz w:val="22"/>
              </w:rPr>
              <w:t>ΣΤΑΔΙΟ Γ΄ Αξιολόγηση των προτάσεων ανά ομάδα κριτηρίων</w:t>
            </w:r>
          </w:p>
        </w:tc>
      </w:tr>
      <w:tr>
        <w:trPr>
          <w:trHeight w:val="862" w:hRule="exact"/>
        </w:trPr>
        <w:tc>
          <w:tcPr>
            <w:tcW w:w="560" w:type="dxa"/>
          </w:tcPr>
          <w:p>
            <w:pPr/>
          </w:p>
        </w:tc>
        <w:tc>
          <w:tcPr>
            <w:tcW w:w="2580" w:type="dxa"/>
          </w:tcPr>
          <w:p>
            <w:pPr>
              <w:pStyle w:val="TableParagraph"/>
              <w:spacing w:before="2"/>
              <w:rPr>
                <w:rFonts w:ascii="Times New Roman"/>
                <w:sz w:val="25"/>
              </w:rPr>
            </w:pPr>
          </w:p>
          <w:p>
            <w:pPr>
              <w:pStyle w:val="TableParagraph"/>
              <w:ind w:left="386"/>
              <w:rPr>
                <w:b/>
                <w:sz w:val="22"/>
              </w:rPr>
            </w:pPr>
            <w:r>
              <w:rPr>
                <w:b/>
                <w:sz w:val="22"/>
              </w:rPr>
              <w:t>ΟΜΑΔΑ ΚΡΙΤΗΡΙΩΝ</w:t>
            </w:r>
          </w:p>
        </w:tc>
        <w:tc>
          <w:tcPr>
            <w:tcW w:w="2979" w:type="dxa"/>
            <w:gridSpan w:val="3"/>
          </w:tcPr>
          <w:p>
            <w:pPr>
              <w:pStyle w:val="TableParagraph"/>
              <w:spacing w:before="2"/>
              <w:rPr>
                <w:rFonts w:ascii="Times New Roman"/>
                <w:sz w:val="25"/>
              </w:rPr>
            </w:pPr>
          </w:p>
          <w:p>
            <w:pPr>
              <w:pStyle w:val="TableParagraph"/>
              <w:ind w:left="1030" w:right="1030"/>
              <w:jc w:val="center"/>
              <w:rPr>
                <w:b/>
                <w:sz w:val="22"/>
              </w:rPr>
            </w:pPr>
            <w:r>
              <w:rPr>
                <w:b/>
                <w:sz w:val="22"/>
              </w:rPr>
              <w:t>ΚΡΙΤΗΡΙΟ</w:t>
            </w:r>
          </w:p>
        </w:tc>
        <w:tc>
          <w:tcPr>
            <w:tcW w:w="4508" w:type="dxa"/>
            <w:gridSpan w:val="2"/>
          </w:tcPr>
          <w:p>
            <w:pPr>
              <w:pStyle w:val="TableParagraph"/>
              <w:spacing w:before="2"/>
              <w:rPr>
                <w:rFonts w:ascii="Times New Roman"/>
                <w:sz w:val="25"/>
              </w:rPr>
            </w:pPr>
          </w:p>
          <w:p>
            <w:pPr>
              <w:pStyle w:val="TableParagraph"/>
              <w:ind w:left="1654" w:right="1653"/>
              <w:jc w:val="center"/>
              <w:rPr>
                <w:b/>
                <w:sz w:val="22"/>
              </w:rPr>
            </w:pPr>
            <w:r>
              <w:rPr>
                <w:b/>
                <w:sz w:val="22"/>
              </w:rPr>
              <w:t>ΕΞΕΙΔΙΚΕΥΣΗ</w:t>
            </w:r>
          </w:p>
        </w:tc>
        <w:tc>
          <w:tcPr>
            <w:tcW w:w="1277" w:type="dxa"/>
          </w:tcPr>
          <w:p>
            <w:pPr>
              <w:pStyle w:val="TableParagraph"/>
              <w:spacing w:before="21"/>
              <w:ind w:left="225" w:right="223" w:hanging="5"/>
              <w:jc w:val="center"/>
              <w:rPr>
                <w:b/>
                <w:sz w:val="22"/>
              </w:rPr>
            </w:pPr>
            <w:r>
              <w:rPr>
                <w:b/>
                <w:sz w:val="22"/>
              </w:rPr>
              <w:t>ΤΙΜΗ / ΒΑΘΜΟ- ΛΟΓΙΑ</w:t>
            </w:r>
          </w:p>
        </w:tc>
        <w:tc>
          <w:tcPr>
            <w:tcW w:w="1277" w:type="dxa"/>
          </w:tcPr>
          <w:p>
            <w:pPr>
              <w:pStyle w:val="TableParagraph"/>
              <w:spacing w:before="2"/>
              <w:rPr>
                <w:rFonts w:ascii="Times New Roman"/>
                <w:sz w:val="25"/>
              </w:rPr>
            </w:pPr>
          </w:p>
          <w:p>
            <w:pPr>
              <w:pStyle w:val="TableParagraph"/>
              <w:ind w:left="119" w:right="119"/>
              <w:jc w:val="center"/>
              <w:rPr>
                <w:b/>
                <w:sz w:val="22"/>
              </w:rPr>
            </w:pPr>
            <w:r>
              <w:rPr>
                <w:b/>
                <w:sz w:val="22"/>
              </w:rPr>
              <w:t>ΣΤΑΘΜΙΣΗ</w:t>
            </w:r>
          </w:p>
        </w:tc>
        <w:tc>
          <w:tcPr>
            <w:tcW w:w="1104" w:type="dxa"/>
          </w:tcPr>
          <w:p>
            <w:pPr>
              <w:pStyle w:val="TableParagraph"/>
              <w:spacing w:line="266" w:lineRule="exact" w:before="152"/>
              <w:ind w:left="211" w:right="179" w:hanging="20"/>
              <w:rPr>
                <w:b/>
                <w:sz w:val="22"/>
              </w:rPr>
            </w:pPr>
            <w:r>
              <w:rPr>
                <w:b/>
                <w:sz w:val="22"/>
              </w:rPr>
              <w:t>ΑΠΟΤΕ- ΛΕΣΜΑ</w:t>
            </w:r>
          </w:p>
        </w:tc>
      </w:tr>
      <w:tr>
        <w:trPr>
          <w:trHeight w:val="267" w:hRule="exact"/>
        </w:trPr>
        <w:tc>
          <w:tcPr>
            <w:tcW w:w="560" w:type="dxa"/>
            <w:tcBorders>
              <w:bottom w:val="nil"/>
            </w:tcBorders>
          </w:tcPr>
          <w:p>
            <w:pPr/>
          </w:p>
        </w:tc>
        <w:tc>
          <w:tcPr>
            <w:tcW w:w="2580" w:type="dxa"/>
            <w:tcBorders>
              <w:bottom w:val="nil"/>
            </w:tcBorders>
          </w:tcPr>
          <w:p>
            <w:pPr/>
          </w:p>
        </w:tc>
        <w:tc>
          <w:tcPr>
            <w:tcW w:w="687" w:type="dxa"/>
            <w:tcBorders>
              <w:bottom w:val="nil"/>
              <w:right w:val="nil"/>
            </w:tcBorders>
          </w:tcPr>
          <w:p>
            <w:pPr/>
          </w:p>
        </w:tc>
        <w:tc>
          <w:tcPr>
            <w:tcW w:w="2292" w:type="dxa"/>
            <w:gridSpan w:val="2"/>
            <w:tcBorders>
              <w:left w:val="nil"/>
              <w:bottom w:val="nil"/>
            </w:tcBorders>
          </w:tcPr>
          <w:p>
            <w:pPr/>
          </w:p>
        </w:tc>
        <w:tc>
          <w:tcPr>
            <w:tcW w:w="4508" w:type="dxa"/>
            <w:gridSpan w:val="2"/>
            <w:tcBorders>
              <w:bottom w:val="nil"/>
            </w:tcBorders>
          </w:tcPr>
          <w:p>
            <w:pPr>
              <w:pStyle w:val="TableParagraph"/>
              <w:spacing w:line="243" w:lineRule="exact"/>
              <w:ind w:left="103"/>
              <w:rPr>
                <w:b/>
                <w:sz w:val="20"/>
              </w:rPr>
            </w:pPr>
            <w:r>
              <w:rPr>
                <w:b/>
                <w:sz w:val="20"/>
              </w:rPr>
              <w:t>Εξετάζεται    και    αξιολογείται    η    σαφήνεια  και</w:t>
            </w:r>
          </w:p>
        </w:tc>
        <w:tc>
          <w:tcPr>
            <w:tcW w:w="1277" w:type="dxa"/>
            <w:vMerge w:val="restart"/>
          </w:tcPr>
          <w:p>
            <w:pPr/>
          </w:p>
        </w:tc>
        <w:tc>
          <w:tcPr>
            <w:tcW w:w="1277" w:type="dxa"/>
            <w:tcBorders>
              <w:bottom w:val="nil"/>
            </w:tcBorders>
          </w:tcPr>
          <w:p>
            <w:pPr/>
          </w:p>
        </w:tc>
        <w:tc>
          <w:tcPr>
            <w:tcW w:w="1104" w:type="dxa"/>
            <w:vMerge w:val="restart"/>
          </w:tcPr>
          <w:p>
            <w:pPr/>
          </w:p>
        </w:tc>
      </w:tr>
      <w:tr>
        <w:trPr>
          <w:trHeight w:val="226" w:hRule="exact"/>
        </w:trPr>
        <w:tc>
          <w:tcPr>
            <w:tcW w:w="560" w:type="dxa"/>
            <w:tcBorders>
              <w:top w:val="nil"/>
              <w:bottom w:val="nil"/>
            </w:tcBorders>
          </w:tcPr>
          <w:p>
            <w:pPr/>
          </w:p>
        </w:tc>
        <w:tc>
          <w:tcPr>
            <w:tcW w:w="2580" w:type="dxa"/>
            <w:tcBorders>
              <w:top w:val="nil"/>
              <w:bottom w:val="nil"/>
            </w:tcBorders>
          </w:tcPr>
          <w:p>
            <w:pPr/>
          </w:p>
        </w:tc>
        <w:tc>
          <w:tcPr>
            <w:tcW w:w="687" w:type="dxa"/>
            <w:tcBorders>
              <w:top w:val="nil"/>
              <w:bottom w:val="nil"/>
              <w:right w:val="nil"/>
            </w:tcBorders>
          </w:tcPr>
          <w:p>
            <w:pPr/>
          </w:p>
        </w:tc>
        <w:tc>
          <w:tcPr>
            <w:tcW w:w="2292" w:type="dxa"/>
            <w:gridSpan w:val="2"/>
            <w:tcBorders>
              <w:top w:val="nil"/>
              <w:left w:val="nil"/>
              <w:bottom w:val="nil"/>
            </w:tcBorders>
          </w:tcPr>
          <w:p>
            <w:pPr/>
          </w:p>
        </w:tc>
        <w:tc>
          <w:tcPr>
            <w:tcW w:w="4508" w:type="dxa"/>
            <w:gridSpan w:val="2"/>
            <w:tcBorders>
              <w:top w:val="nil"/>
              <w:bottom w:val="nil"/>
            </w:tcBorders>
          </w:tcPr>
          <w:p>
            <w:pPr>
              <w:pStyle w:val="TableParagraph"/>
              <w:spacing w:line="226" w:lineRule="exact"/>
              <w:ind w:left="103"/>
              <w:rPr>
                <w:b/>
                <w:sz w:val="20"/>
              </w:rPr>
            </w:pPr>
            <w:r>
              <w:rPr>
                <w:b/>
                <w:sz w:val="20"/>
              </w:rPr>
              <w:t>πληρότητα    της    περιγραφής    του    επενδυτικού</w:t>
            </w:r>
          </w:p>
        </w:tc>
        <w:tc>
          <w:tcPr>
            <w:tcW w:w="1277" w:type="dxa"/>
            <w:vMerge/>
          </w:tcPr>
          <w:p>
            <w:pPr/>
          </w:p>
        </w:tc>
        <w:tc>
          <w:tcPr>
            <w:tcW w:w="1277" w:type="dxa"/>
            <w:tcBorders>
              <w:top w:val="nil"/>
              <w:bottom w:val="nil"/>
            </w:tcBorders>
          </w:tcPr>
          <w:p>
            <w:pPr/>
          </w:p>
        </w:tc>
        <w:tc>
          <w:tcPr>
            <w:tcW w:w="1104" w:type="dxa"/>
            <w:vMerge/>
          </w:tcPr>
          <w:p>
            <w:pPr/>
          </w:p>
        </w:tc>
      </w:tr>
      <w:tr>
        <w:trPr>
          <w:trHeight w:val="256" w:hRule="exact"/>
        </w:trPr>
        <w:tc>
          <w:tcPr>
            <w:tcW w:w="560" w:type="dxa"/>
            <w:tcBorders>
              <w:top w:val="nil"/>
              <w:bottom w:val="nil"/>
            </w:tcBorders>
          </w:tcPr>
          <w:p>
            <w:pPr/>
          </w:p>
        </w:tc>
        <w:tc>
          <w:tcPr>
            <w:tcW w:w="2580" w:type="dxa"/>
            <w:tcBorders>
              <w:top w:val="nil"/>
              <w:bottom w:val="nil"/>
            </w:tcBorders>
          </w:tcPr>
          <w:p>
            <w:pPr/>
          </w:p>
        </w:tc>
        <w:tc>
          <w:tcPr>
            <w:tcW w:w="687" w:type="dxa"/>
            <w:tcBorders>
              <w:top w:val="nil"/>
              <w:bottom w:val="nil"/>
              <w:right w:val="nil"/>
            </w:tcBorders>
          </w:tcPr>
          <w:p>
            <w:pPr>
              <w:pStyle w:val="TableParagraph"/>
              <w:spacing w:line="229" w:lineRule="exact"/>
              <w:ind w:right="113"/>
              <w:jc w:val="right"/>
              <w:rPr>
                <w:sz w:val="22"/>
              </w:rPr>
            </w:pPr>
            <w:r>
              <w:rPr>
                <w:sz w:val="22"/>
              </w:rPr>
              <w:t>1.1.</w:t>
            </w:r>
          </w:p>
        </w:tc>
        <w:tc>
          <w:tcPr>
            <w:tcW w:w="1772" w:type="dxa"/>
            <w:tcBorders>
              <w:top w:val="nil"/>
              <w:left w:val="nil"/>
              <w:bottom w:val="nil"/>
              <w:right w:val="nil"/>
            </w:tcBorders>
          </w:tcPr>
          <w:p>
            <w:pPr>
              <w:pStyle w:val="TableParagraph"/>
              <w:spacing w:line="229" w:lineRule="exact"/>
              <w:ind w:left="115"/>
              <w:rPr>
                <w:sz w:val="22"/>
              </w:rPr>
            </w:pPr>
            <w:r>
              <w:rPr>
                <w:sz w:val="22"/>
              </w:rPr>
              <w:t>Σαφήνεια</w:t>
            </w:r>
          </w:p>
        </w:tc>
        <w:tc>
          <w:tcPr>
            <w:tcW w:w="520" w:type="dxa"/>
            <w:tcBorders>
              <w:top w:val="nil"/>
              <w:left w:val="nil"/>
              <w:bottom w:val="nil"/>
            </w:tcBorders>
          </w:tcPr>
          <w:p>
            <w:pPr>
              <w:pStyle w:val="TableParagraph"/>
              <w:spacing w:line="229" w:lineRule="exact"/>
              <w:ind w:left="56" w:right="67"/>
              <w:jc w:val="center"/>
              <w:rPr>
                <w:sz w:val="22"/>
              </w:rPr>
            </w:pPr>
            <w:r>
              <w:rPr>
                <w:sz w:val="22"/>
              </w:rPr>
              <w:t>του</w:t>
            </w:r>
          </w:p>
        </w:tc>
        <w:tc>
          <w:tcPr>
            <w:tcW w:w="4508" w:type="dxa"/>
            <w:gridSpan w:val="2"/>
            <w:tcBorders>
              <w:top w:val="nil"/>
              <w:bottom w:val="nil"/>
            </w:tcBorders>
          </w:tcPr>
          <w:p>
            <w:pPr>
              <w:pStyle w:val="TableParagraph"/>
              <w:spacing w:line="243" w:lineRule="exact"/>
              <w:ind w:left="103"/>
              <w:rPr>
                <w:b/>
                <w:sz w:val="20"/>
              </w:rPr>
            </w:pPr>
            <w:r>
              <w:rPr>
                <w:b/>
                <w:sz w:val="20"/>
              </w:rPr>
              <w:t>σχεδίου.</w:t>
            </w:r>
          </w:p>
        </w:tc>
        <w:tc>
          <w:tcPr>
            <w:tcW w:w="1277" w:type="dxa"/>
            <w:vMerge/>
          </w:tcPr>
          <w:p>
            <w:pPr/>
          </w:p>
        </w:tc>
        <w:tc>
          <w:tcPr>
            <w:tcW w:w="1277" w:type="dxa"/>
            <w:tcBorders>
              <w:top w:val="nil"/>
              <w:bottom w:val="nil"/>
            </w:tcBorders>
          </w:tcPr>
          <w:p>
            <w:pPr/>
          </w:p>
        </w:tc>
        <w:tc>
          <w:tcPr>
            <w:tcW w:w="1104" w:type="dxa"/>
            <w:vMerge/>
          </w:tcPr>
          <w:p>
            <w:pPr/>
          </w:p>
        </w:tc>
      </w:tr>
      <w:tr>
        <w:trPr>
          <w:trHeight w:val="256" w:hRule="exact"/>
        </w:trPr>
        <w:tc>
          <w:tcPr>
            <w:tcW w:w="560" w:type="dxa"/>
            <w:tcBorders>
              <w:top w:val="nil"/>
              <w:bottom w:val="nil"/>
            </w:tcBorders>
          </w:tcPr>
          <w:p>
            <w:pPr>
              <w:pStyle w:val="TableParagraph"/>
              <w:spacing w:line="242" w:lineRule="exact"/>
              <w:ind w:right="1"/>
              <w:jc w:val="center"/>
              <w:rPr>
                <w:sz w:val="22"/>
              </w:rPr>
            </w:pPr>
            <w:r>
              <w:rPr>
                <w:w w:val="100"/>
                <w:sz w:val="22"/>
              </w:rPr>
              <w:t>1</w:t>
            </w:r>
          </w:p>
        </w:tc>
        <w:tc>
          <w:tcPr>
            <w:tcW w:w="2580" w:type="dxa"/>
            <w:tcBorders>
              <w:top w:val="nil"/>
              <w:bottom w:val="nil"/>
            </w:tcBorders>
          </w:tcPr>
          <w:p>
            <w:pPr/>
          </w:p>
        </w:tc>
        <w:tc>
          <w:tcPr>
            <w:tcW w:w="687" w:type="dxa"/>
            <w:tcBorders>
              <w:top w:val="nil"/>
              <w:bottom w:val="nil"/>
              <w:right w:val="nil"/>
            </w:tcBorders>
          </w:tcPr>
          <w:p>
            <w:pPr/>
          </w:p>
        </w:tc>
        <w:tc>
          <w:tcPr>
            <w:tcW w:w="1772" w:type="dxa"/>
            <w:tcBorders>
              <w:top w:val="nil"/>
              <w:left w:val="nil"/>
              <w:bottom w:val="nil"/>
              <w:right w:val="nil"/>
            </w:tcBorders>
          </w:tcPr>
          <w:p>
            <w:pPr>
              <w:pStyle w:val="TableParagraph"/>
              <w:spacing w:line="242" w:lineRule="exact"/>
              <w:ind w:left="115"/>
              <w:rPr>
                <w:sz w:val="22"/>
              </w:rPr>
            </w:pPr>
            <w:r>
              <w:rPr>
                <w:sz w:val="22"/>
              </w:rPr>
              <w:t>περιεχομένου</w:t>
            </w:r>
          </w:p>
        </w:tc>
        <w:tc>
          <w:tcPr>
            <w:tcW w:w="520" w:type="dxa"/>
            <w:tcBorders>
              <w:top w:val="nil"/>
              <w:left w:val="nil"/>
              <w:bottom w:val="nil"/>
            </w:tcBorders>
          </w:tcPr>
          <w:p>
            <w:pPr>
              <w:pStyle w:val="TableParagraph"/>
              <w:spacing w:line="242" w:lineRule="exact"/>
              <w:ind w:left="56" w:right="43"/>
              <w:jc w:val="center"/>
              <w:rPr>
                <w:sz w:val="22"/>
              </w:rPr>
            </w:pPr>
            <w:r>
              <w:rPr>
                <w:sz w:val="22"/>
              </w:rPr>
              <w:t>της</w:t>
            </w:r>
          </w:p>
        </w:tc>
        <w:tc>
          <w:tcPr>
            <w:tcW w:w="4508" w:type="dxa"/>
            <w:gridSpan w:val="2"/>
            <w:tcBorders>
              <w:top w:val="nil"/>
              <w:bottom w:val="nil"/>
            </w:tcBorders>
          </w:tcPr>
          <w:p>
            <w:pPr>
              <w:pStyle w:val="TableParagraph"/>
              <w:tabs>
                <w:tab w:pos="1543" w:val="left" w:leader="none"/>
              </w:tabs>
              <w:spacing w:line="232" w:lineRule="exact"/>
              <w:ind w:left="103"/>
              <w:rPr>
                <w:sz w:val="20"/>
              </w:rPr>
            </w:pPr>
            <w:r>
              <w:rPr>
                <w:sz w:val="20"/>
              </w:rPr>
              <w:t>Πολύ</w:t>
            </w:r>
            <w:r>
              <w:rPr>
                <w:spacing w:val="-2"/>
                <w:sz w:val="20"/>
              </w:rPr>
              <w:t> </w:t>
            </w:r>
            <w:r>
              <w:rPr>
                <w:sz w:val="20"/>
              </w:rPr>
              <w:t>Καλή:</w:t>
              <w:tab/>
              <w:t>6 έως</w:t>
            </w:r>
            <w:r>
              <w:rPr>
                <w:spacing w:val="-3"/>
                <w:sz w:val="20"/>
              </w:rPr>
              <w:t> </w:t>
            </w:r>
            <w:r>
              <w:rPr>
                <w:sz w:val="20"/>
              </w:rPr>
              <w:t>8</w:t>
            </w:r>
          </w:p>
        </w:tc>
        <w:tc>
          <w:tcPr>
            <w:tcW w:w="1277" w:type="dxa"/>
            <w:vMerge/>
          </w:tcPr>
          <w:p>
            <w:pPr/>
          </w:p>
        </w:tc>
        <w:tc>
          <w:tcPr>
            <w:tcW w:w="1277" w:type="dxa"/>
            <w:tcBorders>
              <w:top w:val="nil"/>
              <w:bottom w:val="nil"/>
            </w:tcBorders>
          </w:tcPr>
          <w:p>
            <w:pPr/>
          </w:p>
        </w:tc>
        <w:tc>
          <w:tcPr>
            <w:tcW w:w="1104" w:type="dxa"/>
            <w:vMerge/>
          </w:tcPr>
          <w:p>
            <w:pPr/>
          </w:p>
        </w:tc>
      </w:tr>
      <w:tr>
        <w:trPr>
          <w:trHeight w:val="257" w:hRule="exact"/>
        </w:trPr>
        <w:tc>
          <w:tcPr>
            <w:tcW w:w="560" w:type="dxa"/>
            <w:tcBorders>
              <w:top w:val="nil"/>
              <w:bottom w:val="nil"/>
            </w:tcBorders>
          </w:tcPr>
          <w:p>
            <w:pPr/>
          </w:p>
        </w:tc>
        <w:tc>
          <w:tcPr>
            <w:tcW w:w="2580" w:type="dxa"/>
            <w:tcBorders>
              <w:top w:val="nil"/>
              <w:bottom w:val="nil"/>
            </w:tcBorders>
          </w:tcPr>
          <w:p>
            <w:pPr/>
          </w:p>
        </w:tc>
        <w:tc>
          <w:tcPr>
            <w:tcW w:w="687" w:type="dxa"/>
            <w:tcBorders>
              <w:top w:val="nil"/>
              <w:bottom w:val="nil"/>
              <w:right w:val="nil"/>
            </w:tcBorders>
          </w:tcPr>
          <w:p>
            <w:pPr/>
          </w:p>
        </w:tc>
        <w:tc>
          <w:tcPr>
            <w:tcW w:w="2292" w:type="dxa"/>
            <w:gridSpan w:val="2"/>
            <w:tcBorders>
              <w:top w:val="nil"/>
              <w:left w:val="nil"/>
              <w:bottom w:val="nil"/>
            </w:tcBorders>
          </w:tcPr>
          <w:p>
            <w:pPr>
              <w:pStyle w:val="TableParagraph"/>
              <w:spacing w:line="255" w:lineRule="exact"/>
              <w:ind w:left="115"/>
              <w:rPr>
                <w:sz w:val="22"/>
              </w:rPr>
            </w:pPr>
            <w:r>
              <w:rPr>
                <w:sz w:val="22"/>
              </w:rPr>
              <w:t>πρότασης</w:t>
            </w:r>
          </w:p>
        </w:tc>
        <w:tc>
          <w:tcPr>
            <w:tcW w:w="4508" w:type="dxa"/>
            <w:gridSpan w:val="2"/>
            <w:tcBorders>
              <w:top w:val="nil"/>
              <w:bottom w:val="nil"/>
            </w:tcBorders>
          </w:tcPr>
          <w:p>
            <w:pPr>
              <w:pStyle w:val="TableParagraph"/>
              <w:tabs>
                <w:tab w:pos="1543" w:val="left" w:leader="none"/>
              </w:tabs>
              <w:spacing w:line="221" w:lineRule="exact"/>
              <w:ind w:left="103"/>
              <w:rPr>
                <w:sz w:val="20"/>
              </w:rPr>
            </w:pPr>
            <w:r>
              <w:rPr>
                <w:sz w:val="20"/>
              </w:rPr>
              <w:t>Καλή:</w:t>
              <w:tab/>
              <w:t>3 έως</w:t>
            </w:r>
            <w:r>
              <w:rPr>
                <w:spacing w:val="-3"/>
                <w:sz w:val="20"/>
              </w:rPr>
              <w:t> </w:t>
            </w:r>
            <w:r>
              <w:rPr>
                <w:sz w:val="20"/>
              </w:rPr>
              <w:t>5</w:t>
            </w:r>
          </w:p>
        </w:tc>
        <w:tc>
          <w:tcPr>
            <w:tcW w:w="1277" w:type="dxa"/>
            <w:vMerge/>
          </w:tcPr>
          <w:p>
            <w:pPr/>
          </w:p>
        </w:tc>
        <w:tc>
          <w:tcPr>
            <w:tcW w:w="1277" w:type="dxa"/>
            <w:tcBorders>
              <w:top w:val="nil"/>
              <w:bottom w:val="nil"/>
            </w:tcBorders>
          </w:tcPr>
          <w:p>
            <w:pPr/>
          </w:p>
        </w:tc>
        <w:tc>
          <w:tcPr>
            <w:tcW w:w="1104" w:type="dxa"/>
            <w:vMerge/>
          </w:tcPr>
          <w:p>
            <w:pPr/>
          </w:p>
        </w:tc>
      </w:tr>
      <w:tr>
        <w:trPr>
          <w:trHeight w:val="458" w:hRule="exact"/>
        </w:trPr>
        <w:tc>
          <w:tcPr>
            <w:tcW w:w="560" w:type="dxa"/>
            <w:tcBorders>
              <w:top w:val="nil"/>
            </w:tcBorders>
          </w:tcPr>
          <w:p>
            <w:pPr/>
          </w:p>
        </w:tc>
        <w:tc>
          <w:tcPr>
            <w:tcW w:w="2580" w:type="dxa"/>
            <w:tcBorders>
              <w:top w:val="nil"/>
              <w:bottom w:val="nil"/>
            </w:tcBorders>
          </w:tcPr>
          <w:p>
            <w:pPr/>
          </w:p>
        </w:tc>
        <w:tc>
          <w:tcPr>
            <w:tcW w:w="687" w:type="dxa"/>
            <w:tcBorders>
              <w:top w:val="nil"/>
              <w:right w:val="nil"/>
            </w:tcBorders>
          </w:tcPr>
          <w:p>
            <w:pPr/>
          </w:p>
        </w:tc>
        <w:tc>
          <w:tcPr>
            <w:tcW w:w="2292" w:type="dxa"/>
            <w:gridSpan w:val="2"/>
            <w:tcBorders>
              <w:top w:val="nil"/>
              <w:left w:val="nil"/>
            </w:tcBorders>
          </w:tcPr>
          <w:p>
            <w:pPr/>
          </w:p>
        </w:tc>
        <w:tc>
          <w:tcPr>
            <w:tcW w:w="4508" w:type="dxa"/>
            <w:gridSpan w:val="2"/>
            <w:tcBorders>
              <w:top w:val="nil"/>
            </w:tcBorders>
          </w:tcPr>
          <w:p>
            <w:pPr>
              <w:pStyle w:val="TableParagraph"/>
              <w:tabs>
                <w:tab w:pos="1543" w:val="left" w:leader="none"/>
              </w:tabs>
              <w:spacing w:line="209" w:lineRule="exact"/>
              <w:ind w:left="103"/>
              <w:rPr>
                <w:sz w:val="20"/>
              </w:rPr>
            </w:pPr>
            <w:r>
              <w:rPr>
                <w:sz w:val="20"/>
              </w:rPr>
              <w:t>Ανεπαρκής:</w:t>
              <w:tab/>
              <w:t>0 έως</w:t>
            </w:r>
            <w:r>
              <w:rPr>
                <w:spacing w:val="-3"/>
                <w:sz w:val="20"/>
              </w:rPr>
              <w:t> </w:t>
            </w:r>
            <w:r>
              <w:rPr>
                <w:sz w:val="20"/>
              </w:rPr>
              <w:t>2</w:t>
            </w:r>
          </w:p>
        </w:tc>
        <w:tc>
          <w:tcPr>
            <w:tcW w:w="1277" w:type="dxa"/>
            <w:vMerge/>
          </w:tcPr>
          <w:p>
            <w:pPr/>
          </w:p>
        </w:tc>
        <w:tc>
          <w:tcPr>
            <w:tcW w:w="1277" w:type="dxa"/>
            <w:tcBorders>
              <w:top w:val="nil"/>
              <w:bottom w:val="nil"/>
            </w:tcBorders>
          </w:tcPr>
          <w:p>
            <w:pPr/>
          </w:p>
        </w:tc>
        <w:tc>
          <w:tcPr>
            <w:tcW w:w="1104" w:type="dxa"/>
            <w:vMerge/>
          </w:tcPr>
          <w:p>
            <w:pPr/>
          </w:p>
        </w:tc>
      </w:tr>
      <w:tr>
        <w:trPr>
          <w:trHeight w:val="267" w:hRule="exact"/>
        </w:trPr>
        <w:tc>
          <w:tcPr>
            <w:tcW w:w="560" w:type="dxa"/>
            <w:tcBorders>
              <w:bottom w:val="nil"/>
            </w:tcBorders>
          </w:tcPr>
          <w:p>
            <w:pPr/>
          </w:p>
        </w:tc>
        <w:tc>
          <w:tcPr>
            <w:tcW w:w="2580" w:type="dxa"/>
            <w:tcBorders>
              <w:top w:val="nil"/>
              <w:bottom w:val="nil"/>
            </w:tcBorders>
          </w:tcPr>
          <w:p>
            <w:pPr/>
          </w:p>
        </w:tc>
        <w:tc>
          <w:tcPr>
            <w:tcW w:w="687" w:type="dxa"/>
            <w:tcBorders>
              <w:bottom w:val="nil"/>
              <w:right w:val="nil"/>
            </w:tcBorders>
          </w:tcPr>
          <w:p>
            <w:pPr/>
          </w:p>
        </w:tc>
        <w:tc>
          <w:tcPr>
            <w:tcW w:w="2292" w:type="dxa"/>
            <w:gridSpan w:val="2"/>
            <w:tcBorders>
              <w:left w:val="nil"/>
              <w:bottom w:val="nil"/>
            </w:tcBorders>
          </w:tcPr>
          <w:p>
            <w:pPr/>
          </w:p>
        </w:tc>
        <w:tc>
          <w:tcPr>
            <w:tcW w:w="4508" w:type="dxa"/>
            <w:gridSpan w:val="2"/>
            <w:tcBorders>
              <w:bottom w:val="nil"/>
            </w:tcBorders>
          </w:tcPr>
          <w:p>
            <w:pPr>
              <w:pStyle w:val="TableParagraph"/>
              <w:spacing w:line="243" w:lineRule="exact"/>
              <w:ind w:left="103"/>
              <w:rPr>
                <w:b/>
                <w:sz w:val="20"/>
              </w:rPr>
            </w:pPr>
            <w:r>
              <w:rPr>
                <w:b/>
                <w:sz w:val="20"/>
              </w:rPr>
              <w:t>Βαθμολογείται    η    στόχευση    του    επενδυτικού</w:t>
            </w:r>
          </w:p>
        </w:tc>
        <w:tc>
          <w:tcPr>
            <w:tcW w:w="1277" w:type="dxa"/>
            <w:vMerge/>
          </w:tcPr>
          <w:p>
            <w:pPr/>
          </w:p>
        </w:tc>
        <w:tc>
          <w:tcPr>
            <w:tcW w:w="1277" w:type="dxa"/>
            <w:tcBorders>
              <w:top w:val="nil"/>
              <w:bottom w:val="nil"/>
            </w:tcBorders>
          </w:tcPr>
          <w:p>
            <w:pPr/>
          </w:p>
        </w:tc>
        <w:tc>
          <w:tcPr>
            <w:tcW w:w="1104" w:type="dxa"/>
            <w:vMerge/>
          </w:tcPr>
          <w:p>
            <w:pPr/>
          </w:p>
        </w:tc>
      </w:tr>
      <w:tr>
        <w:trPr>
          <w:trHeight w:val="245" w:hRule="exact"/>
        </w:trPr>
        <w:tc>
          <w:tcPr>
            <w:tcW w:w="560" w:type="dxa"/>
            <w:tcBorders>
              <w:top w:val="nil"/>
              <w:bottom w:val="nil"/>
            </w:tcBorders>
          </w:tcPr>
          <w:p>
            <w:pPr/>
          </w:p>
        </w:tc>
        <w:tc>
          <w:tcPr>
            <w:tcW w:w="2580" w:type="dxa"/>
            <w:tcBorders>
              <w:top w:val="nil"/>
              <w:bottom w:val="nil"/>
            </w:tcBorders>
          </w:tcPr>
          <w:p>
            <w:pPr/>
          </w:p>
        </w:tc>
        <w:tc>
          <w:tcPr>
            <w:tcW w:w="687" w:type="dxa"/>
            <w:tcBorders>
              <w:top w:val="nil"/>
              <w:bottom w:val="nil"/>
              <w:right w:val="nil"/>
            </w:tcBorders>
          </w:tcPr>
          <w:p>
            <w:pPr/>
          </w:p>
        </w:tc>
        <w:tc>
          <w:tcPr>
            <w:tcW w:w="2292" w:type="dxa"/>
            <w:gridSpan w:val="2"/>
            <w:tcBorders>
              <w:top w:val="nil"/>
              <w:left w:val="nil"/>
              <w:bottom w:val="nil"/>
            </w:tcBorders>
          </w:tcPr>
          <w:p>
            <w:pPr/>
          </w:p>
        </w:tc>
        <w:tc>
          <w:tcPr>
            <w:tcW w:w="4508" w:type="dxa"/>
            <w:gridSpan w:val="2"/>
            <w:tcBorders>
              <w:top w:val="nil"/>
              <w:bottom w:val="nil"/>
            </w:tcBorders>
          </w:tcPr>
          <w:p>
            <w:pPr>
              <w:pStyle w:val="TableParagraph"/>
              <w:spacing w:line="226" w:lineRule="exact"/>
              <w:ind w:left="103"/>
              <w:rPr>
                <w:b/>
                <w:sz w:val="20"/>
              </w:rPr>
            </w:pPr>
            <w:r>
              <w:rPr>
                <w:b/>
                <w:sz w:val="20"/>
              </w:rPr>
              <w:t>σχεδίου.</w:t>
            </w:r>
          </w:p>
        </w:tc>
        <w:tc>
          <w:tcPr>
            <w:tcW w:w="1277" w:type="dxa"/>
            <w:vMerge/>
          </w:tcPr>
          <w:p>
            <w:pPr/>
          </w:p>
        </w:tc>
        <w:tc>
          <w:tcPr>
            <w:tcW w:w="1277" w:type="dxa"/>
            <w:tcBorders>
              <w:top w:val="nil"/>
              <w:bottom w:val="nil"/>
            </w:tcBorders>
          </w:tcPr>
          <w:p>
            <w:pPr/>
          </w:p>
        </w:tc>
        <w:tc>
          <w:tcPr>
            <w:tcW w:w="1104" w:type="dxa"/>
            <w:vMerge/>
          </w:tcPr>
          <w:p>
            <w:pPr/>
          </w:p>
        </w:tc>
      </w:tr>
      <w:tr>
        <w:trPr>
          <w:trHeight w:val="244" w:hRule="exact"/>
        </w:trPr>
        <w:tc>
          <w:tcPr>
            <w:tcW w:w="560" w:type="dxa"/>
            <w:tcBorders>
              <w:top w:val="nil"/>
              <w:bottom w:val="nil"/>
            </w:tcBorders>
          </w:tcPr>
          <w:p>
            <w:pPr/>
          </w:p>
        </w:tc>
        <w:tc>
          <w:tcPr>
            <w:tcW w:w="2580" w:type="dxa"/>
            <w:tcBorders>
              <w:top w:val="nil"/>
              <w:bottom w:val="nil"/>
            </w:tcBorders>
          </w:tcPr>
          <w:p>
            <w:pPr/>
          </w:p>
        </w:tc>
        <w:tc>
          <w:tcPr>
            <w:tcW w:w="687" w:type="dxa"/>
            <w:tcBorders>
              <w:top w:val="nil"/>
              <w:bottom w:val="nil"/>
              <w:right w:val="nil"/>
            </w:tcBorders>
          </w:tcPr>
          <w:p>
            <w:pPr/>
          </w:p>
        </w:tc>
        <w:tc>
          <w:tcPr>
            <w:tcW w:w="2292" w:type="dxa"/>
            <w:gridSpan w:val="2"/>
            <w:tcBorders>
              <w:top w:val="nil"/>
              <w:left w:val="nil"/>
              <w:bottom w:val="nil"/>
            </w:tcBorders>
          </w:tcPr>
          <w:p>
            <w:pPr/>
          </w:p>
        </w:tc>
        <w:tc>
          <w:tcPr>
            <w:tcW w:w="4508" w:type="dxa"/>
            <w:gridSpan w:val="2"/>
            <w:tcBorders>
              <w:top w:val="nil"/>
              <w:bottom w:val="nil"/>
            </w:tcBorders>
          </w:tcPr>
          <w:p>
            <w:pPr>
              <w:pStyle w:val="TableParagraph"/>
              <w:spacing w:line="226" w:lineRule="exact"/>
              <w:ind w:left="103"/>
              <w:rPr>
                <w:sz w:val="20"/>
              </w:rPr>
            </w:pPr>
            <w:r>
              <w:rPr>
                <w:sz w:val="20"/>
              </w:rPr>
              <w:t>Ανώτατος βαθμός που μπορεί να λάβει στο</w:t>
            </w:r>
          </w:p>
        </w:tc>
        <w:tc>
          <w:tcPr>
            <w:tcW w:w="1277" w:type="dxa"/>
            <w:vMerge/>
          </w:tcPr>
          <w:p>
            <w:pPr/>
          </w:p>
        </w:tc>
        <w:tc>
          <w:tcPr>
            <w:tcW w:w="1277" w:type="dxa"/>
            <w:tcBorders>
              <w:top w:val="nil"/>
              <w:bottom w:val="nil"/>
            </w:tcBorders>
          </w:tcPr>
          <w:p>
            <w:pPr/>
          </w:p>
        </w:tc>
        <w:tc>
          <w:tcPr>
            <w:tcW w:w="1104" w:type="dxa"/>
            <w:vMerge/>
          </w:tcPr>
          <w:p>
            <w:pPr/>
          </w:p>
        </w:tc>
      </w:tr>
      <w:tr>
        <w:trPr>
          <w:trHeight w:val="468" w:hRule="exact"/>
        </w:trPr>
        <w:tc>
          <w:tcPr>
            <w:tcW w:w="560" w:type="dxa"/>
            <w:tcBorders>
              <w:top w:val="nil"/>
              <w:bottom w:val="nil"/>
            </w:tcBorders>
          </w:tcPr>
          <w:p>
            <w:pPr/>
          </w:p>
        </w:tc>
        <w:tc>
          <w:tcPr>
            <w:tcW w:w="2580" w:type="dxa"/>
            <w:tcBorders>
              <w:top w:val="nil"/>
              <w:bottom w:val="nil"/>
            </w:tcBorders>
          </w:tcPr>
          <w:p>
            <w:pPr>
              <w:pStyle w:val="TableParagraph"/>
              <w:spacing w:before="163"/>
              <w:ind w:left="103"/>
              <w:rPr>
                <w:b/>
                <w:sz w:val="22"/>
              </w:rPr>
            </w:pPr>
            <w:r>
              <w:rPr>
                <w:b/>
                <w:sz w:val="22"/>
              </w:rPr>
              <w:t>1</w:t>
            </w:r>
            <w:r>
              <w:rPr>
                <w:b/>
                <w:position w:val="10"/>
                <w:sz w:val="14"/>
              </w:rPr>
              <w:t>η </w:t>
            </w:r>
            <w:r>
              <w:rPr>
                <w:b/>
                <w:sz w:val="22"/>
              </w:rPr>
              <w:t>ΟΜΑΔΑ ΚΡΙΤΗΡΙΩΝ</w:t>
            </w:r>
          </w:p>
        </w:tc>
        <w:tc>
          <w:tcPr>
            <w:tcW w:w="687" w:type="dxa"/>
            <w:tcBorders>
              <w:top w:val="nil"/>
              <w:bottom w:val="nil"/>
              <w:right w:val="nil"/>
            </w:tcBorders>
          </w:tcPr>
          <w:p>
            <w:pPr>
              <w:pStyle w:val="TableParagraph"/>
              <w:spacing w:before="163"/>
              <w:ind w:right="113"/>
              <w:jc w:val="right"/>
              <w:rPr>
                <w:sz w:val="22"/>
              </w:rPr>
            </w:pPr>
            <w:r>
              <w:rPr>
                <w:sz w:val="22"/>
              </w:rPr>
              <w:t>1.2.</w:t>
            </w:r>
          </w:p>
        </w:tc>
        <w:tc>
          <w:tcPr>
            <w:tcW w:w="1772" w:type="dxa"/>
            <w:tcBorders>
              <w:top w:val="nil"/>
              <w:left w:val="nil"/>
              <w:bottom w:val="nil"/>
              <w:right w:val="nil"/>
            </w:tcBorders>
          </w:tcPr>
          <w:p>
            <w:pPr>
              <w:pStyle w:val="TableParagraph"/>
              <w:spacing w:before="163"/>
              <w:ind w:left="115"/>
              <w:rPr>
                <w:sz w:val="22"/>
              </w:rPr>
            </w:pPr>
            <w:r>
              <w:rPr>
                <w:sz w:val="22"/>
              </w:rPr>
              <w:t>Αναγκαιότητα</w:t>
            </w:r>
          </w:p>
        </w:tc>
        <w:tc>
          <w:tcPr>
            <w:tcW w:w="520" w:type="dxa"/>
            <w:tcBorders>
              <w:top w:val="nil"/>
              <w:left w:val="nil"/>
              <w:bottom w:val="nil"/>
            </w:tcBorders>
          </w:tcPr>
          <w:p>
            <w:pPr>
              <w:pStyle w:val="TableParagraph"/>
              <w:spacing w:before="163"/>
              <w:ind w:left="56" w:right="32"/>
              <w:jc w:val="center"/>
              <w:rPr>
                <w:sz w:val="22"/>
              </w:rPr>
            </w:pPr>
            <w:r>
              <w:rPr>
                <w:sz w:val="22"/>
              </w:rPr>
              <w:t>και</w:t>
            </w:r>
          </w:p>
        </w:tc>
        <w:tc>
          <w:tcPr>
            <w:tcW w:w="4508" w:type="dxa"/>
            <w:gridSpan w:val="2"/>
            <w:tcBorders>
              <w:top w:val="nil"/>
              <w:bottom w:val="nil"/>
            </w:tcBorders>
          </w:tcPr>
          <w:p>
            <w:pPr>
              <w:pStyle w:val="TableParagraph"/>
              <w:spacing w:line="225" w:lineRule="exact"/>
              <w:ind w:left="103"/>
              <w:rPr>
                <w:sz w:val="20"/>
              </w:rPr>
            </w:pPr>
            <w:r>
              <w:rPr>
                <w:sz w:val="20"/>
              </w:rPr>
              <w:t>υποκριτήριο είναι 7.</w:t>
            </w:r>
          </w:p>
          <w:p>
            <w:pPr>
              <w:pStyle w:val="TableParagraph"/>
              <w:ind w:left="103"/>
              <w:rPr>
                <w:sz w:val="20"/>
              </w:rPr>
            </w:pPr>
            <w:r>
              <w:rPr>
                <w:sz w:val="20"/>
              </w:rPr>
              <w:t>Επέκταση της επιχείρησης σε νέα/ες</w:t>
            </w:r>
          </w:p>
        </w:tc>
        <w:tc>
          <w:tcPr>
            <w:tcW w:w="1277" w:type="dxa"/>
            <w:vMerge/>
          </w:tcPr>
          <w:p>
            <w:pPr/>
          </w:p>
        </w:tc>
        <w:tc>
          <w:tcPr>
            <w:tcW w:w="1277" w:type="dxa"/>
            <w:tcBorders>
              <w:top w:val="nil"/>
              <w:bottom w:val="nil"/>
            </w:tcBorders>
          </w:tcPr>
          <w:p>
            <w:pPr/>
          </w:p>
        </w:tc>
        <w:tc>
          <w:tcPr>
            <w:tcW w:w="1104" w:type="dxa"/>
            <w:vMerge/>
          </w:tcPr>
          <w:p>
            <w:pPr/>
          </w:p>
        </w:tc>
      </w:tr>
      <w:tr>
        <w:trPr>
          <w:trHeight w:val="263" w:hRule="exact"/>
        </w:trPr>
        <w:tc>
          <w:tcPr>
            <w:tcW w:w="560" w:type="dxa"/>
            <w:tcBorders>
              <w:top w:val="nil"/>
              <w:bottom w:val="nil"/>
            </w:tcBorders>
          </w:tcPr>
          <w:p>
            <w:pPr/>
          </w:p>
        </w:tc>
        <w:tc>
          <w:tcPr>
            <w:tcW w:w="2580" w:type="dxa"/>
            <w:tcBorders>
              <w:top w:val="nil"/>
              <w:bottom w:val="nil"/>
            </w:tcBorders>
          </w:tcPr>
          <w:p>
            <w:pPr>
              <w:pStyle w:val="TableParagraph"/>
              <w:spacing w:line="256" w:lineRule="exact"/>
              <w:ind w:left="103"/>
              <w:rPr>
                <w:b/>
                <w:sz w:val="22"/>
              </w:rPr>
            </w:pPr>
            <w:r>
              <w:rPr>
                <w:b/>
                <w:sz w:val="22"/>
              </w:rPr>
              <w:t>Ποιότητα και πληρότητα</w:t>
            </w:r>
          </w:p>
        </w:tc>
        <w:tc>
          <w:tcPr>
            <w:tcW w:w="687" w:type="dxa"/>
            <w:tcBorders>
              <w:top w:val="nil"/>
              <w:bottom w:val="nil"/>
              <w:right w:val="nil"/>
            </w:tcBorders>
          </w:tcPr>
          <w:p>
            <w:pPr/>
          </w:p>
        </w:tc>
        <w:tc>
          <w:tcPr>
            <w:tcW w:w="1772" w:type="dxa"/>
            <w:tcBorders>
              <w:top w:val="nil"/>
              <w:left w:val="nil"/>
              <w:bottom w:val="nil"/>
              <w:right w:val="nil"/>
            </w:tcBorders>
          </w:tcPr>
          <w:p>
            <w:pPr>
              <w:pStyle w:val="TableParagraph"/>
              <w:spacing w:line="232" w:lineRule="exact"/>
              <w:ind w:left="115"/>
              <w:rPr>
                <w:sz w:val="22"/>
              </w:rPr>
            </w:pPr>
            <w:r>
              <w:rPr>
                <w:sz w:val="22"/>
              </w:rPr>
              <w:t>πληρότητα</w:t>
            </w:r>
          </w:p>
        </w:tc>
        <w:tc>
          <w:tcPr>
            <w:tcW w:w="520" w:type="dxa"/>
            <w:tcBorders>
              <w:top w:val="nil"/>
              <w:left w:val="nil"/>
              <w:bottom w:val="nil"/>
            </w:tcBorders>
          </w:tcPr>
          <w:p>
            <w:pPr>
              <w:pStyle w:val="TableParagraph"/>
              <w:spacing w:line="232" w:lineRule="exact"/>
              <w:ind w:left="56" w:right="82"/>
              <w:jc w:val="center"/>
              <w:rPr>
                <w:sz w:val="22"/>
              </w:rPr>
            </w:pPr>
            <w:r>
              <w:rPr>
                <w:sz w:val="22"/>
              </w:rPr>
              <w:t>των</w:t>
            </w:r>
          </w:p>
        </w:tc>
        <w:tc>
          <w:tcPr>
            <w:tcW w:w="4508" w:type="dxa"/>
            <w:gridSpan w:val="2"/>
            <w:tcBorders>
              <w:top w:val="nil"/>
              <w:bottom w:val="nil"/>
            </w:tcBorders>
          </w:tcPr>
          <w:p>
            <w:pPr>
              <w:pStyle w:val="TableParagraph"/>
              <w:spacing w:before="1"/>
              <w:ind w:left="103"/>
              <w:rPr>
                <w:sz w:val="20"/>
              </w:rPr>
            </w:pPr>
            <w:r>
              <w:rPr>
                <w:sz w:val="20"/>
              </w:rPr>
              <w:t>δραστηριότητα/ες ή νέα προϊόντα: 1</w:t>
            </w:r>
          </w:p>
        </w:tc>
        <w:tc>
          <w:tcPr>
            <w:tcW w:w="1277" w:type="dxa"/>
            <w:vMerge/>
          </w:tcPr>
          <w:p>
            <w:pPr/>
          </w:p>
        </w:tc>
        <w:tc>
          <w:tcPr>
            <w:tcW w:w="1277" w:type="dxa"/>
            <w:tcBorders>
              <w:top w:val="nil"/>
              <w:bottom w:val="nil"/>
            </w:tcBorders>
          </w:tcPr>
          <w:p>
            <w:pPr>
              <w:pStyle w:val="TableParagraph"/>
              <w:spacing w:before="2"/>
              <w:ind w:left="114" w:right="119"/>
              <w:jc w:val="center"/>
              <w:rPr>
                <w:rFonts w:ascii="Tahoma"/>
                <w:sz w:val="20"/>
              </w:rPr>
            </w:pPr>
            <w:r>
              <w:rPr>
                <w:rFonts w:ascii="Tahoma"/>
                <w:sz w:val="20"/>
              </w:rPr>
              <w:t>30%</w:t>
            </w:r>
          </w:p>
        </w:tc>
        <w:tc>
          <w:tcPr>
            <w:tcW w:w="1104" w:type="dxa"/>
            <w:vMerge/>
          </w:tcPr>
          <w:p>
            <w:pPr/>
          </w:p>
        </w:tc>
      </w:tr>
      <w:tr>
        <w:trPr>
          <w:trHeight w:val="263" w:hRule="exact"/>
        </w:trPr>
        <w:tc>
          <w:tcPr>
            <w:tcW w:w="560" w:type="dxa"/>
            <w:tcBorders>
              <w:top w:val="nil"/>
              <w:bottom w:val="nil"/>
            </w:tcBorders>
          </w:tcPr>
          <w:p>
            <w:pPr>
              <w:pStyle w:val="TableParagraph"/>
              <w:spacing w:line="236" w:lineRule="exact"/>
              <w:ind w:right="1"/>
              <w:jc w:val="center"/>
              <w:rPr>
                <w:sz w:val="22"/>
              </w:rPr>
            </w:pPr>
            <w:r>
              <w:rPr>
                <w:w w:val="100"/>
                <w:sz w:val="22"/>
              </w:rPr>
              <w:t>2</w:t>
            </w:r>
          </w:p>
        </w:tc>
        <w:tc>
          <w:tcPr>
            <w:tcW w:w="2580" w:type="dxa"/>
            <w:tcBorders>
              <w:top w:val="nil"/>
              <w:bottom w:val="nil"/>
            </w:tcBorders>
          </w:tcPr>
          <w:p>
            <w:pPr>
              <w:pStyle w:val="TableParagraph"/>
              <w:spacing w:line="262" w:lineRule="exact"/>
              <w:ind w:left="103"/>
              <w:rPr>
                <w:b/>
                <w:sz w:val="22"/>
              </w:rPr>
            </w:pPr>
            <w:r>
              <w:rPr>
                <w:b/>
                <w:sz w:val="22"/>
              </w:rPr>
              <w:t>της πρότασης</w:t>
            </w:r>
          </w:p>
        </w:tc>
        <w:tc>
          <w:tcPr>
            <w:tcW w:w="687" w:type="dxa"/>
            <w:tcBorders>
              <w:top w:val="nil"/>
              <w:bottom w:val="nil"/>
              <w:right w:val="nil"/>
            </w:tcBorders>
          </w:tcPr>
          <w:p>
            <w:pPr/>
          </w:p>
        </w:tc>
        <w:tc>
          <w:tcPr>
            <w:tcW w:w="2292" w:type="dxa"/>
            <w:gridSpan w:val="2"/>
            <w:tcBorders>
              <w:top w:val="nil"/>
              <w:left w:val="nil"/>
              <w:bottom w:val="nil"/>
            </w:tcBorders>
          </w:tcPr>
          <w:p>
            <w:pPr>
              <w:pStyle w:val="TableParagraph"/>
              <w:spacing w:line="236" w:lineRule="exact"/>
              <w:ind w:left="115"/>
              <w:rPr>
                <w:sz w:val="22"/>
              </w:rPr>
            </w:pPr>
            <w:r>
              <w:rPr>
                <w:sz w:val="22"/>
              </w:rPr>
              <w:t>παρεμβάσεων σχετικά</w:t>
            </w:r>
          </w:p>
        </w:tc>
        <w:tc>
          <w:tcPr>
            <w:tcW w:w="4508" w:type="dxa"/>
            <w:gridSpan w:val="2"/>
            <w:tcBorders>
              <w:top w:val="nil"/>
              <w:bottom w:val="nil"/>
            </w:tcBorders>
          </w:tcPr>
          <w:p>
            <w:pPr>
              <w:pStyle w:val="TableParagraph"/>
              <w:spacing w:line="228" w:lineRule="exact"/>
              <w:ind w:left="103"/>
              <w:rPr>
                <w:sz w:val="20"/>
              </w:rPr>
            </w:pPr>
            <w:r>
              <w:rPr>
                <w:sz w:val="20"/>
              </w:rPr>
              <w:t>Αύξηση της παραγωγικής δυναμικότητας της</w:t>
            </w:r>
          </w:p>
        </w:tc>
        <w:tc>
          <w:tcPr>
            <w:tcW w:w="1277" w:type="dxa"/>
            <w:vMerge/>
          </w:tcPr>
          <w:p>
            <w:pPr/>
          </w:p>
        </w:tc>
        <w:tc>
          <w:tcPr>
            <w:tcW w:w="1277" w:type="dxa"/>
            <w:tcBorders>
              <w:top w:val="nil"/>
              <w:bottom w:val="nil"/>
            </w:tcBorders>
          </w:tcPr>
          <w:p>
            <w:pPr/>
          </w:p>
        </w:tc>
        <w:tc>
          <w:tcPr>
            <w:tcW w:w="1104" w:type="dxa"/>
            <w:vMerge/>
          </w:tcPr>
          <w:p>
            <w:pPr/>
          </w:p>
        </w:tc>
      </w:tr>
      <w:tr>
        <w:trPr>
          <w:trHeight w:val="244" w:hRule="exact"/>
        </w:trPr>
        <w:tc>
          <w:tcPr>
            <w:tcW w:w="560" w:type="dxa"/>
            <w:tcBorders>
              <w:top w:val="nil"/>
              <w:bottom w:val="nil"/>
            </w:tcBorders>
          </w:tcPr>
          <w:p>
            <w:pPr/>
          </w:p>
        </w:tc>
        <w:tc>
          <w:tcPr>
            <w:tcW w:w="2580" w:type="dxa"/>
            <w:tcBorders>
              <w:top w:val="nil"/>
              <w:bottom w:val="nil"/>
            </w:tcBorders>
          </w:tcPr>
          <w:p>
            <w:pPr/>
          </w:p>
        </w:tc>
        <w:tc>
          <w:tcPr>
            <w:tcW w:w="687" w:type="dxa"/>
            <w:tcBorders>
              <w:top w:val="nil"/>
              <w:bottom w:val="nil"/>
              <w:right w:val="nil"/>
            </w:tcBorders>
          </w:tcPr>
          <w:p>
            <w:pPr/>
          </w:p>
        </w:tc>
        <w:tc>
          <w:tcPr>
            <w:tcW w:w="1772" w:type="dxa"/>
            <w:tcBorders>
              <w:top w:val="nil"/>
              <w:left w:val="nil"/>
              <w:bottom w:val="nil"/>
              <w:right w:val="nil"/>
            </w:tcBorders>
          </w:tcPr>
          <w:p>
            <w:pPr>
              <w:pStyle w:val="TableParagraph"/>
              <w:spacing w:line="242" w:lineRule="exact"/>
              <w:ind w:left="115"/>
              <w:rPr>
                <w:sz w:val="22"/>
              </w:rPr>
            </w:pPr>
            <w:r>
              <w:rPr>
                <w:sz w:val="22"/>
              </w:rPr>
              <w:t>με    τις   ανάγκες</w:t>
            </w:r>
          </w:p>
        </w:tc>
        <w:tc>
          <w:tcPr>
            <w:tcW w:w="520" w:type="dxa"/>
            <w:tcBorders>
              <w:top w:val="nil"/>
              <w:left w:val="nil"/>
              <w:bottom w:val="nil"/>
            </w:tcBorders>
          </w:tcPr>
          <w:p>
            <w:pPr>
              <w:pStyle w:val="TableParagraph"/>
              <w:spacing w:line="242" w:lineRule="exact"/>
              <w:ind w:left="56" w:right="44"/>
              <w:jc w:val="center"/>
              <w:rPr>
                <w:sz w:val="22"/>
              </w:rPr>
            </w:pPr>
            <w:r>
              <w:rPr>
                <w:sz w:val="22"/>
              </w:rPr>
              <w:t>της</w:t>
            </w:r>
          </w:p>
        </w:tc>
        <w:tc>
          <w:tcPr>
            <w:tcW w:w="4508" w:type="dxa"/>
            <w:gridSpan w:val="2"/>
            <w:tcBorders>
              <w:top w:val="nil"/>
              <w:bottom w:val="nil"/>
            </w:tcBorders>
          </w:tcPr>
          <w:p>
            <w:pPr>
              <w:pStyle w:val="TableParagraph"/>
              <w:spacing w:line="208" w:lineRule="exact"/>
              <w:ind w:left="103"/>
              <w:rPr>
                <w:sz w:val="20"/>
              </w:rPr>
            </w:pPr>
            <w:r>
              <w:rPr>
                <w:sz w:val="20"/>
              </w:rPr>
              <w:t>επιχείρησης: 1</w:t>
            </w:r>
          </w:p>
        </w:tc>
        <w:tc>
          <w:tcPr>
            <w:tcW w:w="1277" w:type="dxa"/>
            <w:vMerge/>
          </w:tcPr>
          <w:p>
            <w:pPr/>
          </w:p>
        </w:tc>
        <w:tc>
          <w:tcPr>
            <w:tcW w:w="1277" w:type="dxa"/>
            <w:tcBorders>
              <w:top w:val="nil"/>
              <w:bottom w:val="nil"/>
            </w:tcBorders>
          </w:tcPr>
          <w:p>
            <w:pPr/>
          </w:p>
        </w:tc>
        <w:tc>
          <w:tcPr>
            <w:tcW w:w="1104" w:type="dxa"/>
            <w:vMerge/>
          </w:tcPr>
          <w:p>
            <w:pPr/>
          </w:p>
        </w:tc>
      </w:tr>
      <w:tr>
        <w:trPr>
          <w:trHeight w:val="471" w:hRule="exact"/>
        </w:trPr>
        <w:tc>
          <w:tcPr>
            <w:tcW w:w="560" w:type="dxa"/>
            <w:tcBorders>
              <w:top w:val="nil"/>
              <w:bottom w:val="nil"/>
            </w:tcBorders>
          </w:tcPr>
          <w:p>
            <w:pPr/>
          </w:p>
        </w:tc>
        <w:tc>
          <w:tcPr>
            <w:tcW w:w="2580" w:type="dxa"/>
            <w:tcBorders>
              <w:top w:val="nil"/>
              <w:bottom w:val="nil"/>
            </w:tcBorders>
          </w:tcPr>
          <w:p>
            <w:pPr/>
          </w:p>
        </w:tc>
        <w:tc>
          <w:tcPr>
            <w:tcW w:w="687" w:type="dxa"/>
            <w:tcBorders>
              <w:top w:val="nil"/>
              <w:bottom w:val="nil"/>
              <w:right w:val="nil"/>
            </w:tcBorders>
          </w:tcPr>
          <w:p>
            <w:pPr/>
          </w:p>
        </w:tc>
        <w:tc>
          <w:tcPr>
            <w:tcW w:w="2292" w:type="dxa"/>
            <w:gridSpan w:val="2"/>
            <w:tcBorders>
              <w:top w:val="nil"/>
              <w:left w:val="nil"/>
              <w:bottom w:val="nil"/>
            </w:tcBorders>
          </w:tcPr>
          <w:p>
            <w:pPr>
              <w:pStyle w:val="TableParagraph"/>
              <w:spacing w:line="267" w:lineRule="exact"/>
              <w:ind w:left="115"/>
              <w:rPr>
                <w:sz w:val="22"/>
              </w:rPr>
            </w:pPr>
            <w:r>
              <w:rPr>
                <w:sz w:val="22"/>
              </w:rPr>
              <w:t>επιχείρησης</w:t>
            </w:r>
          </w:p>
        </w:tc>
        <w:tc>
          <w:tcPr>
            <w:tcW w:w="4508" w:type="dxa"/>
            <w:gridSpan w:val="2"/>
            <w:tcBorders>
              <w:top w:val="nil"/>
              <w:bottom w:val="nil"/>
            </w:tcBorders>
          </w:tcPr>
          <w:p>
            <w:pPr>
              <w:pStyle w:val="TableParagraph"/>
              <w:spacing w:line="209" w:lineRule="exact"/>
              <w:ind w:left="103"/>
              <w:rPr>
                <w:sz w:val="20"/>
              </w:rPr>
            </w:pPr>
            <w:r>
              <w:rPr>
                <w:sz w:val="20"/>
              </w:rPr>
              <w:t>Βελτίωση του περιβαλλοντικού αποτυπώματος της</w:t>
            </w:r>
          </w:p>
          <w:p>
            <w:pPr>
              <w:pStyle w:val="TableParagraph"/>
              <w:ind w:left="103"/>
              <w:rPr>
                <w:sz w:val="20"/>
              </w:rPr>
            </w:pPr>
            <w:r>
              <w:rPr>
                <w:sz w:val="20"/>
              </w:rPr>
              <w:t>επιχείρησης/ Εξοικονόμηση Ενέργειας: 1</w:t>
            </w:r>
          </w:p>
        </w:tc>
        <w:tc>
          <w:tcPr>
            <w:tcW w:w="1277" w:type="dxa"/>
            <w:vMerge/>
          </w:tcPr>
          <w:p>
            <w:pPr/>
          </w:p>
        </w:tc>
        <w:tc>
          <w:tcPr>
            <w:tcW w:w="1277" w:type="dxa"/>
            <w:tcBorders>
              <w:top w:val="nil"/>
              <w:bottom w:val="nil"/>
            </w:tcBorders>
          </w:tcPr>
          <w:p>
            <w:pPr/>
          </w:p>
        </w:tc>
        <w:tc>
          <w:tcPr>
            <w:tcW w:w="1104" w:type="dxa"/>
            <w:vMerge/>
          </w:tcPr>
          <w:p>
            <w:pPr/>
          </w:p>
        </w:tc>
      </w:tr>
      <w:tr>
        <w:trPr>
          <w:trHeight w:val="244" w:hRule="exact"/>
        </w:trPr>
        <w:tc>
          <w:tcPr>
            <w:tcW w:w="560" w:type="dxa"/>
            <w:tcBorders>
              <w:top w:val="nil"/>
              <w:bottom w:val="nil"/>
            </w:tcBorders>
          </w:tcPr>
          <w:p>
            <w:pPr/>
          </w:p>
        </w:tc>
        <w:tc>
          <w:tcPr>
            <w:tcW w:w="2580" w:type="dxa"/>
            <w:tcBorders>
              <w:top w:val="nil"/>
              <w:bottom w:val="nil"/>
            </w:tcBorders>
          </w:tcPr>
          <w:p>
            <w:pPr/>
          </w:p>
        </w:tc>
        <w:tc>
          <w:tcPr>
            <w:tcW w:w="687" w:type="dxa"/>
            <w:tcBorders>
              <w:top w:val="nil"/>
              <w:bottom w:val="nil"/>
              <w:right w:val="nil"/>
            </w:tcBorders>
          </w:tcPr>
          <w:p>
            <w:pPr/>
          </w:p>
        </w:tc>
        <w:tc>
          <w:tcPr>
            <w:tcW w:w="2292" w:type="dxa"/>
            <w:gridSpan w:val="2"/>
            <w:tcBorders>
              <w:top w:val="nil"/>
              <w:left w:val="nil"/>
              <w:bottom w:val="nil"/>
            </w:tcBorders>
          </w:tcPr>
          <w:p>
            <w:pPr/>
          </w:p>
        </w:tc>
        <w:tc>
          <w:tcPr>
            <w:tcW w:w="4508" w:type="dxa"/>
            <w:gridSpan w:val="2"/>
            <w:tcBorders>
              <w:top w:val="nil"/>
              <w:bottom w:val="nil"/>
            </w:tcBorders>
          </w:tcPr>
          <w:p>
            <w:pPr>
              <w:pStyle w:val="TableParagraph"/>
              <w:spacing w:line="225" w:lineRule="exact"/>
              <w:ind w:left="103"/>
              <w:rPr>
                <w:sz w:val="20"/>
              </w:rPr>
            </w:pPr>
            <w:r>
              <w:rPr>
                <w:sz w:val="20"/>
              </w:rPr>
              <w:t>Αξιοποίηση πατεντών ή και καινοτομιών: 3</w:t>
            </w:r>
          </w:p>
        </w:tc>
        <w:tc>
          <w:tcPr>
            <w:tcW w:w="1277" w:type="dxa"/>
            <w:vMerge/>
          </w:tcPr>
          <w:p>
            <w:pPr/>
          </w:p>
        </w:tc>
        <w:tc>
          <w:tcPr>
            <w:tcW w:w="1277" w:type="dxa"/>
            <w:tcBorders>
              <w:top w:val="nil"/>
              <w:bottom w:val="nil"/>
            </w:tcBorders>
          </w:tcPr>
          <w:p>
            <w:pPr/>
          </w:p>
        </w:tc>
        <w:tc>
          <w:tcPr>
            <w:tcW w:w="1104" w:type="dxa"/>
            <w:vMerge/>
          </w:tcPr>
          <w:p>
            <w:pPr/>
          </w:p>
        </w:tc>
      </w:tr>
      <w:tr>
        <w:trPr>
          <w:trHeight w:val="477" w:hRule="exact"/>
        </w:trPr>
        <w:tc>
          <w:tcPr>
            <w:tcW w:w="560" w:type="dxa"/>
            <w:tcBorders>
              <w:top w:val="nil"/>
            </w:tcBorders>
          </w:tcPr>
          <w:p>
            <w:pPr/>
          </w:p>
        </w:tc>
        <w:tc>
          <w:tcPr>
            <w:tcW w:w="2580" w:type="dxa"/>
            <w:tcBorders>
              <w:top w:val="nil"/>
              <w:bottom w:val="nil"/>
            </w:tcBorders>
          </w:tcPr>
          <w:p>
            <w:pPr/>
          </w:p>
        </w:tc>
        <w:tc>
          <w:tcPr>
            <w:tcW w:w="687" w:type="dxa"/>
            <w:tcBorders>
              <w:top w:val="nil"/>
              <w:right w:val="nil"/>
            </w:tcBorders>
          </w:tcPr>
          <w:p>
            <w:pPr/>
          </w:p>
        </w:tc>
        <w:tc>
          <w:tcPr>
            <w:tcW w:w="2292" w:type="dxa"/>
            <w:gridSpan w:val="2"/>
            <w:tcBorders>
              <w:top w:val="nil"/>
              <w:left w:val="nil"/>
            </w:tcBorders>
          </w:tcPr>
          <w:p>
            <w:pPr/>
          </w:p>
        </w:tc>
        <w:tc>
          <w:tcPr>
            <w:tcW w:w="4508" w:type="dxa"/>
            <w:gridSpan w:val="2"/>
            <w:tcBorders>
              <w:top w:val="nil"/>
            </w:tcBorders>
          </w:tcPr>
          <w:p>
            <w:pPr>
              <w:pStyle w:val="TableParagraph"/>
              <w:spacing w:line="226" w:lineRule="exact"/>
              <w:ind w:left="103"/>
              <w:rPr>
                <w:sz w:val="20"/>
              </w:rPr>
            </w:pPr>
            <w:r>
              <w:rPr>
                <w:sz w:val="20"/>
              </w:rPr>
              <w:t>Αναβάθμιση ποιότητας παραγόμενου προϊόντος: 1</w:t>
            </w:r>
          </w:p>
        </w:tc>
        <w:tc>
          <w:tcPr>
            <w:tcW w:w="1277" w:type="dxa"/>
            <w:vMerge/>
          </w:tcPr>
          <w:p>
            <w:pPr/>
          </w:p>
        </w:tc>
        <w:tc>
          <w:tcPr>
            <w:tcW w:w="1277" w:type="dxa"/>
            <w:tcBorders>
              <w:top w:val="nil"/>
              <w:bottom w:val="nil"/>
            </w:tcBorders>
          </w:tcPr>
          <w:p>
            <w:pPr/>
          </w:p>
        </w:tc>
        <w:tc>
          <w:tcPr>
            <w:tcW w:w="1104" w:type="dxa"/>
            <w:vMerge/>
          </w:tcPr>
          <w:p>
            <w:pPr/>
          </w:p>
        </w:tc>
      </w:tr>
      <w:tr>
        <w:trPr>
          <w:trHeight w:val="248" w:hRule="exact"/>
        </w:trPr>
        <w:tc>
          <w:tcPr>
            <w:tcW w:w="560" w:type="dxa"/>
            <w:tcBorders>
              <w:bottom w:val="nil"/>
            </w:tcBorders>
          </w:tcPr>
          <w:p>
            <w:pPr/>
          </w:p>
        </w:tc>
        <w:tc>
          <w:tcPr>
            <w:tcW w:w="2580" w:type="dxa"/>
            <w:tcBorders>
              <w:top w:val="nil"/>
              <w:bottom w:val="nil"/>
            </w:tcBorders>
          </w:tcPr>
          <w:p>
            <w:pPr/>
          </w:p>
        </w:tc>
        <w:tc>
          <w:tcPr>
            <w:tcW w:w="687" w:type="dxa"/>
            <w:tcBorders>
              <w:bottom w:val="nil"/>
              <w:right w:val="nil"/>
            </w:tcBorders>
          </w:tcPr>
          <w:p>
            <w:pPr/>
          </w:p>
        </w:tc>
        <w:tc>
          <w:tcPr>
            <w:tcW w:w="2292" w:type="dxa"/>
            <w:gridSpan w:val="2"/>
            <w:tcBorders>
              <w:left w:val="nil"/>
              <w:bottom w:val="nil"/>
            </w:tcBorders>
          </w:tcPr>
          <w:p>
            <w:pPr/>
          </w:p>
        </w:tc>
        <w:tc>
          <w:tcPr>
            <w:tcW w:w="2668" w:type="dxa"/>
            <w:tcBorders>
              <w:bottom w:val="nil"/>
              <w:right w:val="nil"/>
            </w:tcBorders>
          </w:tcPr>
          <w:p>
            <w:pPr>
              <w:pStyle w:val="TableParagraph"/>
              <w:spacing w:line="243" w:lineRule="exact"/>
              <w:ind w:left="103"/>
              <w:rPr>
                <w:sz w:val="20"/>
              </w:rPr>
            </w:pPr>
            <w:r>
              <w:rPr>
                <w:sz w:val="20"/>
              </w:rPr>
              <w:t>Εύλογο:</w:t>
            </w:r>
          </w:p>
        </w:tc>
        <w:tc>
          <w:tcPr>
            <w:tcW w:w="1841" w:type="dxa"/>
            <w:tcBorders>
              <w:left w:val="nil"/>
              <w:bottom w:val="nil"/>
            </w:tcBorders>
          </w:tcPr>
          <w:p>
            <w:pPr>
              <w:pStyle w:val="TableParagraph"/>
              <w:spacing w:line="243" w:lineRule="exact"/>
              <w:ind w:left="320"/>
              <w:rPr>
                <w:sz w:val="20"/>
              </w:rPr>
            </w:pPr>
            <w:r>
              <w:rPr>
                <w:sz w:val="20"/>
              </w:rPr>
              <w:t>4 έως 5</w:t>
            </w:r>
          </w:p>
        </w:tc>
        <w:tc>
          <w:tcPr>
            <w:tcW w:w="1277" w:type="dxa"/>
            <w:vMerge/>
          </w:tcPr>
          <w:p>
            <w:pPr/>
          </w:p>
        </w:tc>
        <w:tc>
          <w:tcPr>
            <w:tcW w:w="1277" w:type="dxa"/>
            <w:tcBorders>
              <w:top w:val="nil"/>
              <w:bottom w:val="nil"/>
            </w:tcBorders>
          </w:tcPr>
          <w:p>
            <w:pPr/>
          </w:p>
        </w:tc>
        <w:tc>
          <w:tcPr>
            <w:tcW w:w="1104" w:type="dxa"/>
            <w:vMerge/>
          </w:tcPr>
          <w:p>
            <w:pPr/>
          </w:p>
        </w:tc>
      </w:tr>
      <w:tr>
        <w:trPr>
          <w:trHeight w:val="256" w:hRule="exact"/>
        </w:trPr>
        <w:tc>
          <w:tcPr>
            <w:tcW w:w="560" w:type="dxa"/>
            <w:tcBorders>
              <w:top w:val="nil"/>
              <w:bottom w:val="nil"/>
            </w:tcBorders>
          </w:tcPr>
          <w:p>
            <w:pPr/>
          </w:p>
        </w:tc>
        <w:tc>
          <w:tcPr>
            <w:tcW w:w="2580" w:type="dxa"/>
            <w:tcBorders>
              <w:top w:val="nil"/>
              <w:bottom w:val="nil"/>
            </w:tcBorders>
          </w:tcPr>
          <w:p>
            <w:pPr/>
          </w:p>
        </w:tc>
        <w:tc>
          <w:tcPr>
            <w:tcW w:w="687" w:type="dxa"/>
            <w:tcBorders>
              <w:top w:val="nil"/>
              <w:bottom w:val="nil"/>
              <w:right w:val="nil"/>
            </w:tcBorders>
          </w:tcPr>
          <w:p>
            <w:pPr>
              <w:pStyle w:val="TableParagraph"/>
              <w:spacing w:line="229" w:lineRule="exact"/>
              <w:ind w:right="113"/>
              <w:jc w:val="right"/>
              <w:rPr>
                <w:sz w:val="22"/>
              </w:rPr>
            </w:pPr>
            <w:r>
              <w:rPr>
                <w:sz w:val="22"/>
              </w:rPr>
              <w:t>1.3.</w:t>
            </w:r>
          </w:p>
        </w:tc>
        <w:tc>
          <w:tcPr>
            <w:tcW w:w="2292" w:type="dxa"/>
            <w:gridSpan w:val="2"/>
            <w:tcBorders>
              <w:top w:val="nil"/>
              <w:left w:val="nil"/>
              <w:bottom w:val="nil"/>
            </w:tcBorders>
          </w:tcPr>
          <w:p>
            <w:pPr>
              <w:pStyle w:val="TableParagraph"/>
              <w:spacing w:line="229" w:lineRule="exact"/>
              <w:ind w:left="115"/>
              <w:rPr>
                <w:sz w:val="22"/>
              </w:rPr>
            </w:pPr>
            <w:r>
              <w:rPr>
                <w:sz w:val="22"/>
              </w:rPr>
              <w:t>Έλεγχος   του  εύλογου</w:t>
            </w:r>
          </w:p>
        </w:tc>
        <w:tc>
          <w:tcPr>
            <w:tcW w:w="2668" w:type="dxa"/>
            <w:tcBorders>
              <w:top w:val="nil"/>
              <w:bottom w:val="nil"/>
              <w:right w:val="nil"/>
            </w:tcBorders>
          </w:tcPr>
          <w:p>
            <w:pPr>
              <w:pStyle w:val="TableParagraph"/>
              <w:spacing w:line="242" w:lineRule="exact"/>
              <w:ind w:left="103"/>
              <w:rPr>
                <w:sz w:val="20"/>
              </w:rPr>
            </w:pPr>
            <w:r>
              <w:rPr>
                <w:sz w:val="20"/>
              </w:rPr>
              <w:t>Εύλογο υπό προϋποθέσεις:</w:t>
            </w:r>
          </w:p>
        </w:tc>
        <w:tc>
          <w:tcPr>
            <w:tcW w:w="1841" w:type="dxa"/>
            <w:tcBorders>
              <w:top w:val="nil"/>
              <w:left w:val="nil"/>
              <w:bottom w:val="nil"/>
            </w:tcBorders>
          </w:tcPr>
          <w:p>
            <w:pPr>
              <w:pStyle w:val="TableParagraph"/>
              <w:spacing w:line="242" w:lineRule="exact"/>
              <w:ind w:left="320"/>
              <w:rPr>
                <w:sz w:val="20"/>
              </w:rPr>
            </w:pPr>
            <w:r>
              <w:rPr>
                <w:sz w:val="20"/>
              </w:rPr>
              <w:t>2 έως 3</w:t>
            </w:r>
          </w:p>
        </w:tc>
        <w:tc>
          <w:tcPr>
            <w:tcW w:w="1277" w:type="dxa"/>
            <w:vMerge/>
          </w:tcPr>
          <w:p>
            <w:pPr/>
          </w:p>
        </w:tc>
        <w:tc>
          <w:tcPr>
            <w:tcW w:w="1277" w:type="dxa"/>
            <w:tcBorders>
              <w:top w:val="nil"/>
              <w:bottom w:val="nil"/>
            </w:tcBorders>
          </w:tcPr>
          <w:p>
            <w:pPr/>
          </w:p>
        </w:tc>
        <w:tc>
          <w:tcPr>
            <w:tcW w:w="1104" w:type="dxa"/>
            <w:vMerge/>
          </w:tcPr>
          <w:p>
            <w:pPr/>
          </w:p>
        </w:tc>
      </w:tr>
      <w:tr>
        <w:trPr>
          <w:trHeight w:val="256" w:hRule="exact"/>
        </w:trPr>
        <w:tc>
          <w:tcPr>
            <w:tcW w:w="560" w:type="dxa"/>
            <w:tcBorders>
              <w:top w:val="nil"/>
              <w:bottom w:val="nil"/>
            </w:tcBorders>
          </w:tcPr>
          <w:p>
            <w:pPr>
              <w:pStyle w:val="TableParagraph"/>
              <w:spacing w:line="242" w:lineRule="exact"/>
              <w:ind w:right="1"/>
              <w:jc w:val="center"/>
              <w:rPr>
                <w:sz w:val="22"/>
              </w:rPr>
            </w:pPr>
            <w:r>
              <w:rPr>
                <w:w w:val="100"/>
                <w:sz w:val="22"/>
              </w:rPr>
              <w:t>3</w:t>
            </w:r>
          </w:p>
        </w:tc>
        <w:tc>
          <w:tcPr>
            <w:tcW w:w="2580" w:type="dxa"/>
            <w:tcBorders>
              <w:top w:val="nil"/>
              <w:bottom w:val="nil"/>
            </w:tcBorders>
          </w:tcPr>
          <w:p>
            <w:pPr/>
          </w:p>
        </w:tc>
        <w:tc>
          <w:tcPr>
            <w:tcW w:w="687" w:type="dxa"/>
            <w:tcBorders>
              <w:top w:val="nil"/>
              <w:bottom w:val="nil"/>
              <w:right w:val="nil"/>
            </w:tcBorders>
          </w:tcPr>
          <w:p>
            <w:pPr/>
          </w:p>
        </w:tc>
        <w:tc>
          <w:tcPr>
            <w:tcW w:w="1772" w:type="dxa"/>
            <w:tcBorders>
              <w:top w:val="nil"/>
              <w:left w:val="nil"/>
              <w:bottom w:val="nil"/>
              <w:right w:val="nil"/>
            </w:tcBorders>
          </w:tcPr>
          <w:p>
            <w:pPr>
              <w:pStyle w:val="TableParagraph"/>
              <w:tabs>
                <w:tab w:pos="791" w:val="left" w:leader="none"/>
              </w:tabs>
              <w:spacing w:line="242" w:lineRule="exact"/>
              <w:ind w:left="115"/>
              <w:rPr>
                <w:sz w:val="22"/>
              </w:rPr>
            </w:pPr>
            <w:r>
              <w:rPr>
                <w:sz w:val="22"/>
              </w:rPr>
              <w:t>του</w:t>
              <w:tab/>
              <w:t>κόστους</w:t>
            </w:r>
          </w:p>
        </w:tc>
        <w:tc>
          <w:tcPr>
            <w:tcW w:w="520" w:type="dxa"/>
            <w:tcBorders>
              <w:top w:val="nil"/>
              <w:left w:val="nil"/>
              <w:bottom w:val="nil"/>
            </w:tcBorders>
          </w:tcPr>
          <w:p>
            <w:pPr>
              <w:pStyle w:val="TableParagraph"/>
              <w:spacing w:line="242" w:lineRule="exact"/>
              <w:ind w:left="56" w:right="43"/>
              <w:jc w:val="center"/>
              <w:rPr>
                <w:sz w:val="22"/>
              </w:rPr>
            </w:pPr>
            <w:r>
              <w:rPr>
                <w:sz w:val="22"/>
              </w:rPr>
              <w:t>της</w:t>
            </w:r>
          </w:p>
        </w:tc>
        <w:tc>
          <w:tcPr>
            <w:tcW w:w="2668" w:type="dxa"/>
            <w:tcBorders>
              <w:top w:val="nil"/>
              <w:bottom w:val="nil"/>
              <w:right w:val="nil"/>
            </w:tcBorders>
          </w:tcPr>
          <w:p>
            <w:pPr>
              <w:pStyle w:val="TableParagraph"/>
              <w:spacing w:line="232" w:lineRule="exact"/>
              <w:ind w:left="103"/>
              <w:rPr>
                <w:sz w:val="20"/>
              </w:rPr>
            </w:pPr>
            <w:r>
              <w:rPr>
                <w:sz w:val="20"/>
              </w:rPr>
              <w:t>Οριακά εύλογο:</w:t>
            </w:r>
          </w:p>
        </w:tc>
        <w:tc>
          <w:tcPr>
            <w:tcW w:w="1841" w:type="dxa"/>
            <w:tcBorders>
              <w:top w:val="nil"/>
              <w:left w:val="nil"/>
              <w:bottom w:val="nil"/>
            </w:tcBorders>
          </w:tcPr>
          <w:p>
            <w:pPr>
              <w:pStyle w:val="TableParagraph"/>
              <w:spacing w:line="232" w:lineRule="exact"/>
              <w:ind w:left="320"/>
              <w:rPr>
                <w:sz w:val="20"/>
              </w:rPr>
            </w:pPr>
            <w:r>
              <w:rPr>
                <w:w w:val="99"/>
                <w:sz w:val="20"/>
              </w:rPr>
              <w:t>1</w:t>
            </w:r>
          </w:p>
        </w:tc>
        <w:tc>
          <w:tcPr>
            <w:tcW w:w="1277" w:type="dxa"/>
            <w:vMerge/>
          </w:tcPr>
          <w:p>
            <w:pPr/>
          </w:p>
        </w:tc>
        <w:tc>
          <w:tcPr>
            <w:tcW w:w="1277" w:type="dxa"/>
            <w:tcBorders>
              <w:top w:val="nil"/>
              <w:bottom w:val="nil"/>
            </w:tcBorders>
          </w:tcPr>
          <w:p>
            <w:pPr/>
          </w:p>
        </w:tc>
        <w:tc>
          <w:tcPr>
            <w:tcW w:w="1104" w:type="dxa"/>
            <w:vMerge/>
          </w:tcPr>
          <w:p>
            <w:pPr/>
          </w:p>
        </w:tc>
      </w:tr>
      <w:tr>
        <w:trPr>
          <w:trHeight w:val="470" w:hRule="exact"/>
        </w:trPr>
        <w:tc>
          <w:tcPr>
            <w:tcW w:w="560" w:type="dxa"/>
            <w:tcBorders>
              <w:top w:val="nil"/>
            </w:tcBorders>
          </w:tcPr>
          <w:p>
            <w:pPr/>
          </w:p>
        </w:tc>
        <w:tc>
          <w:tcPr>
            <w:tcW w:w="2580" w:type="dxa"/>
            <w:tcBorders>
              <w:top w:val="nil"/>
            </w:tcBorders>
          </w:tcPr>
          <w:p>
            <w:pPr/>
          </w:p>
        </w:tc>
        <w:tc>
          <w:tcPr>
            <w:tcW w:w="687" w:type="dxa"/>
            <w:tcBorders>
              <w:top w:val="nil"/>
              <w:right w:val="nil"/>
            </w:tcBorders>
          </w:tcPr>
          <w:p>
            <w:pPr/>
          </w:p>
        </w:tc>
        <w:tc>
          <w:tcPr>
            <w:tcW w:w="2292" w:type="dxa"/>
            <w:gridSpan w:val="2"/>
            <w:tcBorders>
              <w:top w:val="nil"/>
              <w:left w:val="nil"/>
            </w:tcBorders>
          </w:tcPr>
          <w:p>
            <w:pPr>
              <w:pStyle w:val="TableParagraph"/>
              <w:spacing w:line="255" w:lineRule="exact"/>
              <w:ind w:left="115"/>
              <w:rPr>
                <w:sz w:val="22"/>
              </w:rPr>
            </w:pPr>
            <w:r>
              <w:rPr>
                <w:sz w:val="22"/>
              </w:rPr>
              <w:t>επένδυσης</w:t>
            </w:r>
          </w:p>
        </w:tc>
        <w:tc>
          <w:tcPr>
            <w:tcW w:w="2668" w:type="dxa"/>
            <w:tcBorders>
              <w:top w:val="nil"/>
              <w:right w:val="nil"/>
            </w:tcBorders>
          </w:tcPr>
          <w:p>
            <w:pPr>
              <w:pStyle w:val="TableParagraph"/>
              <w:spacing w:line="221" w:lineRule="exact"/>
              <w:ind w:left="103"/>
              <w:rPr>
                <w:sz w:val="20"/>
              </w:rPr>
            </w:pPr>
            <w:r>
              <w:rPr>
                <w:sz w:val="20"/>
              </w:rPr>
              <w:t>Δεν τεκμηριώνεται:</w:t>
            </w:r>
          </w:p>
        </w:tc>
        <w:tc>
          <w:tcPr>
            <w:tcW w:w="1841" w:type="dxa"/>
            <w:tcBorders>
              <w:top w:val="nil"/>
              <w:left w:val="nil"/>
            </w:tcBorders>
          </w:tcPr>
          <w:p>
            <w:pPr>
              <w:pStyle w:val="TableParagraph"/>
              <w:spacing w:line="221" w:lineRule="exact"/>
              <w:ind w:left="320"/>
              <w:rPr>
                <w:sz w:val="20"/>
              </w:rPr>
            </w:pPr>
            <w:r>
              <w:rPr>
                <w:w w:val="99"/>
                <w:sz w:val="20"/>
              </w:rPr>
              <w:t>0</w:t>
            </w:r>
          </w:p>
        </w:tc>
        <w:tc>
          <w:tcPr>
            <w:tcW w:w="1277" w:type="dxa"/>
            <w:vMerge/>
          </w:tcPr>
          <w:p>
            <w:pPr/>
          </w:p>
        </w:tc>
        <w:tc>
          <w:tcPr>
            <w:tcW w:w="1277" w:type="dxa"/>
            <w:tcBorders>
              <w:top w:val="nil"/>
            </w:tcBorders>
          </w:tcPr>
          <w:p>
            <w:pPr/>
          </w:p>
        </w:tc>
        <w:tc>
          <w:tcPr>
            <w:tcW w:w="1104" w:type="dxa"/>
            <w:vMerge/>
          </w:tcPr>
          <w:p>
            <w:pPr/>
          </w:p>
        </w:tc>
      </w:tr>
      <w:tr>
        <w:trPr>
          <w:trHeight w:val="816" w:hRule="exact"/>
        </w:trPr>
        <w:tc>
          <w:tcPr>
            <w:tcW w:w="13180" w:type="dxa"/>
            <w:gridSpan w:val="9"/>
          </w:tcPr>
          <w:p>
            <w:pPr>
              <w:pStyle w:val="TableParagraph"/>
              <w:rPr>
                <w:rFonts w:ascii="Times New Roman"/>
                <w:sz w:val="21"/>
              </w:rPr>
            </w:pPr>
          </w:p>
          <w:p>
            <w:pPr>
              <w:pStyle w:val="TableParagraph"/>
              <w:ind w:right="101"/>
              <w:jc w:val="right"/>
              <w:rPr>
                <w:b/>
                <w:sz w:val="22"/>
              </w:rPr>
            </w:pPr>
            <w:r>
              <w:rPr>
                <w:b/>
                <w:sz w:val="22"/>
              </w:rPr>
              <w:t>ΜΕΡΙΚΟ ΑΠΟΤΕΛΕΣΜΑ 1</w:t>
            </w:r>
            <w:r>
              <w:rPr>
                <w:b/>
                <w:position w:val="10"/>
                <w:sz w:val="14"/>
              </w:rPr>
              <w:t>ης </w:t>
            </w:r>
            <w:r>
              <w:rPr>
                <w:b/>
                <w:sz w:val="22"/>
              </w:rPr>
              <w:t>ΟΜΑΔΑΣ</w:t>
            </w:r>
          </w:p>
        </w:tc>
        <w:tc>
          <w:tcPr>
            <w:tcW w:w="1104" w:type="dxa"/>
          </w:tcPr>
          <w:p>
            <w:pPr/>
          </w:p>
        </w:tc>
      </w:tr>
    </w:tbl>
    <w:p>
      <w:pPr>
        <w:spacing w:after="0"/>
        <w:sectPr>
          <w:pgSz w:w="16840" w:h="11910" w:orient="landscape"/>
          <w:pgMar w:header="748" w:footer="734" w:top="1180" w:bottom="920" w:left="1160" w:right="116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0"/>
        <w:gridCol w:w="2580"/>
        <w:gridCol w:w="2979"/>
        <w:gridCol w:w="4508"/>
        <w:gridCol w:w="1277"/>
        <w:gridCol w:w="1277"/>
        <w:gridCol w:w="1104"/>
      </w:tblGrid>
      <w:tr>
        <w:trPr>
          <w:trHeight w:val="252" w:hRule="exact"/>
        </w:trPr>
        <w:tc>
          <w:tcPr>
            <w:tcW w:w="14285" w:type="dxa"/>
            <w:gridSpan w:val="7"/>
            <w:shd w:val="clear" w:color="auto" w:fill="D7D7D7"/>
          </w:tcPr>
          <w:p>
            <w:pPr/>
          </w:p>
        </w:tc>
      </w:tr>
      <w:tr>
        <w:trPr>
          <w:trHeight w:val="1718" w:hRule="exact"/>
        </w:trPr>
        <w:tc>
          <w:tcPr>
            <w:tcW w:w="560" w:type="dxa"/>
          </w:tcPr>
          <w:p>
            <w:pPr>
              <w:pStyle w:val="TableParagraph"/>
              <w:rPr>
                <w:rFonts w:ascii="Times New Roman"/>
                <w:sz w:val="24"/>
              </w:rPr>
            </w:pPr>
          </w:p>
          <w:p>
            <w:pPr>
              <w:pStyle w:val="TableParagraph"/>
              <w:rPr>
                <w:rFonts w:ascii="Times New Roman"/>
                <w:sz w:val="24"/>
              </w:rPr>
            </w:pPr>
          </w:p>
          <w:p>
            <w:pPr>
              <w:pStyle w:val="TableParagraph"/>
              <w:spacing w:before="179"/>
              <w:jc w:val="center"/>
              <w:rPr>
                <w:rFonts w:ascii="Tahoma"/>
                <w:sz w:val="20"/>
              </w:rPr>
            </w:pPr>
            <w:r>
              <w:rPr>
                <w:rFonts w:ascii="Tahoma"/>
                <w:w w:val="99"/>
                <w:sz w:val="20"/>
              </w:rPr>
              <w:t>1</w:t>
            </w:r>
          </w:p>
        </w:tc>
        <w:tc>
          <w:tcPr>
            <w:tcW w:w="2580" w:type="dxa"/>
            <w:vMerge w:val="restart"/>
          </w:tcPr>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spacing w:before="3"/>
              <w:rPr>
                <w:rFonts w:ascii="Times New Roman"/>
                <w:sz w:val="37"/>
              </w:rPr>
            </w:pPr>
          </w:p>
          <w:p>
            <w:pPr>
              <w:pStyle w:val="TableParagraph"/>
              <w:spacing w:before="1"/>
              <w:ind w:left="103"/>
              <w:rPr>
                <w:b/>
                <w:sz w:val="22"/>
              </w:rPr>
            </w:pPr>
            <w:r>
              <w:rPr>
                <w:b/>
                <w:sz w:val="22"/>
              </w:rPr>
              <w:t>2</w:t>
            </w:r>
            <w:r>
              <w:rPr>
                <w:b/>
                <w:position w:val="10"/>
                <w:sz w:val="14"/>
              </w:rPr>
              <w:t>η </w:t>
            </w:r>
            <w:r>
              <w:rPr>
                <w:b/>
                <w:sz w:val="22"/>
              </w:rPr>
              <w:t>ΟΜΑΔΑ ΚΡΙΤΗΡΙΩΝ</w:t>
            </w:r>
          </w:p>
          <w:p>
            <w:pPr>
              <w:pStyle w:val="TableParagraph"/>
              <w:ind w:left="103" w:right="305"/>
              <w:rPr>
                <w:b/>
                <w:sz w:val="22"/>
              </w:rPr>
            </w:pPr>
            <w:r>
              <w:rPr>
                <w:b/>
                <w:sz w:val="22"/>
              </w:rPr>
              <w:t>Αξιοπιστία υλοποίησης του έργου</w:t>
            </w:r>
          </w:p>
        </w:tc>
        <w:tc>
          <w:tcPr>
            <w:tcW w:w="2979" w:type="dxa"/>
          </w:tcPr>
          <w:p>
            <w:pPr>
              <w:pStyle w:val="TableParagraph"/>
              <w:rPr>
                <w:rFonts w:ascii="Times New Roman"/>
                <w:sz w:val="22"/>
              </w:rPr>
            </w:pPr>
          </w:p>
          <w:p>
            <w:pPr>
              <w:pStyle w:val="TableParagraph"/>
              <w:spacing w:before="7"/>
              <w:rPr>
                <w:rFonts w:ascii="Times New Roman"/>
                <w:sz w:val="28"/>
              </w:rPr>
            </w:pPr>
          </w:p>
          <w:p>
            <w:pPr>
              <w:pStyle w:val="TableParagraph"/>
              <w:ind w:left="168" w:right="940"/>
              <w:rPr>
                <w:sz w:val="22"/>
              </w:rPr>
            </w:pPr>
            <w:r>
              <w:rPr>
                <w:sz w:val="22"/>
              </w:rPr>
              <w:t>2.1. Κερδοφορία της επιχείρησης</w:t>
            </w:r>
          </w:p>
        </w:tc>
        <w:tc>
          <w:tcPr>
            <w:tcW w:w="4508" w:type="dxa"/>
          </w:tcPr>
          <w:p>
            <w:pPr>
              <w:pStyle w:val="TableParagraph"/>
              <w:ind w:left="103" w:right="108"/>
              <w:rPr>
                <w:sz w:val="20"/>
              </w:rPr>
            </w:pPr>
            <w:r>
              <w:rPr>
                <w:sz w:val="20"/>
              </w:rPr>
              <w:t>Αριθμός κερδοφόρων χρήσεων την τελευταία τριετία.</w:t>
            </w:r>
          </w:p>
          <w:p>
            <w:pPr>
              <w:pStyle w:val="TableParagraph"/>
              <w:tabs>
                <w:tab w:pos="2263" w:val="left" w:leader="none"/>
              </w:tabs>
              <w:ind w:left="103"/>
              <w:rPr>
                <w:sz w:val="20"/>
              </w:rPr>
            </w:pPr>
            <w:r>
              <w:rPr>
                <w:sz w:val="20"/>
              </w:rPr>
              <w:t>3</w:t>
            </w:r>
            <w:r>
              <w:rPr>
                <w:spacing w:val="-3"/>
                <w:sz w:val="20"/>
              </w:rPr>
              <w:t> </w:t>
            </w:r>
            <w:r>
              <w:rPr>
                <w:sz w:val="20"/>
              </w:rPr>
              <w:t>κερδοφόρες</w:t>
            </w:r>
            <w:r>
              <w:rPr>
                <w:spacing w:val="-3"/>
                <w:sz w:val="20"/>
              </w:rPr>
              <w:t> </w:t>
            </w:r>
            <w:r>
              <w:rPr>
                <w:sz w:val="20"/>
              </w:rPr>
              <w:t>χρήσεις:</w:t>
              <w:tab/>
              <w:t>10</w:t>
            </w:r>
          </w:p>
          <w:p>
            <w:pPr>
              <w:pStyle w:val="TableParagraph"/>
              <w:tabs>
                <w:tab w:pos="2263" w:val="left" w:leader="none"/>
              </w:tabs>
              <w:ind w:left="103"/>
              <w:rPr>
                <w:sz w:val="20"/>
              </w:rPr>
            </w:pPr>
            <w:r>
              <w:rPr>
                <w:sz w:val="20"/>
              </w:rPr>
              <w:t>2</w:t>
            </w:r>
            <w:r>
              <w:rPr>
                <w:spacing w:val="-3"/>
                <w:sz w:val="20"/>
              </w:rPr>
              <w:t> </w:t>
            </w:r>
            <w:r>
              <w:rPr>
                <w:sz w:val="20"/>
              </w:rPr>
              <w:t>κερδοφόρες</w:t>
            </w:r>
            <w:r>
              <w:rPr>
                <w:spacing w:val="-3"/>
                <w:sz w:val="20"/>
              </w:rPr>
              <w:t> </w:t>
            </w:r>
            <w:r>
              <w:rPr>
                <w:sz w:val="20"/>
              </w:rPr>
              <w:t>χρήσεις:</w:t>
              <w:tab/>
              <w:t>7</w:t>
            </w:r>
          </w:p>
          <w:p>
            <w:pPr>
              <w:pStyle w:val="TableParagraph"/>
              <w:tabs>
                <w:tab w:pos="2364" w:val="right" w:leader="none"/>
              </w:tabs>
              <w:spacing w:line="243" w:lineRule="exact"/>
              <w:ind w:left="103"/>
              <w:rPr>
                <w:sz w:val="20"/>
              </w:rPr>
            </w:pPr>
            <w:r>
              <w:rPr>
                <w:sz w:val="20"/>
              </w:rPr>
              <w:t>1</w:t>
            </w:r>
            <w:r>
              <w:rPr>
                <w:spacing w:val="-2"/>
                <w:sz w:val="20"/>
              </w:rPr>
              <w:t> </w:t>
            </w:r>
            <w:r>
              <w:rPr>
                <w:sz w:val="20"/>
              </w:rPr>
              <w:t>κερδοφόρα</w:t>
            </w:r>
            <w:r>
              <w:rPr>
                <w:spacing w:val="-2"/>
                <w:sz w:val="20"/>
              </w:rPr>
              <w:t> </w:t>
            </w:r>
            <w:r>
              <w:rPr>
                <w:sz w:val="20"/>
              </w:rPr>
              <w:t>χρήση:</w:t>
              <w:tab/>
              <w:t>3</w:t>
            </w:r>
          </w:p>
          <w:p>
            <w:pPr>
              <w:pStyle w:val="TableParagraph"/>
              <w:spacing w:line="243" w:lineRule="exact"/>
              <w:ind w:left="103"/>
              <w:rPr>
                <w:sz w:val="20"/>
              </w:rPr>
            </w:pPr>
            <w:r>
              <w:rPr>
                <w:sz w:val="20"/>
              </w:rPr>
              <w:t>Καμία κερδοφόρα χρήση: 0</w:t>
            </w:r>
          </w:p>
        </w:tc>
        <w:tc>
          <w:tcPr>
            <w:tcW w:w="1277" w:type="dxa"/>
            <w:vMerge w:val="restart"/>
          </w:tcPr>
          <w:p>
            <w:pPr/>
          </w:p>
        </w:tc>
        <w:tc>
          <w:tcPr>
            <w:tcW w:w="1277"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32"/>
              </w:rPr>
            </w:pPr>
          </w:p>
          <w:p>
            <w:pPr>
              <w:pStyle w:val="TableParagraph"/>
              <w:ind w:left="118" w:right="119"/>
              <w:jc w:val="center"/>
              <w:rPr>
                <w:sz w:val="22"/>
              </w:rPr>
            </w:pPr>
            <w:r>
              <w:rPr>
                <w:sz w:val="22"/>
              </w:rPr>
              <w:t>40%</w:t>
            </w:r>
          </w:p>
        </w:tc>
        <w:tc>
          <w:tcPr>
            <w:tcW w:w="1104" w:type="dxa"/>
            <w:vMerge w:val="restart"/>
          </w:tcPr>
          <w:p>
            <w:pPr/>
          </w:p>
        </w:tc>
      </w:tr>
      <w:tr>
        <w:trPr>
          <w:trHeight w:val="1719" w:hRule="exact"/>
        </w:trPr>
        <w:tc>
          <w:tcPr>
            <w:tcW w:w="560" w:type="dxa"/>
          </w:tcPr>
          <w:p>
            <w:pPr>
              <w:pStyle w:val="TableParagraph"/>
              <w:rPr>
                <w:rFonts w:ascii="Times New Roman"/>
                <w:sz w:val="24"/>
              </w:rPr>
            </w:pPr>
          </w:p>
          <w:p>
            <w:pPr>
              <w:pStyle w:val="TableParagraph"/>
              <w:rPr>
                <w:rFonts w:ascii="Times New Roman"/>
                <w:sz w:val="24"/>
              </w:rPr>
            </w:pPr>
          </w:p>
          <w:p>
            <w:pPr>
              <w:pStyle w:val="TableParagraph"/>
              <w:spacing w:before="182"/>
              <w:jc w:val="center"/>
              <w:rPr>
                <w:rFonts w:ascii="Tahoma"/>
                <w:sz w:val="20"/>
              </w:rPr>
            </w:pPr>
            <w:r>
              <w:rPr>
                <w:rFonts w:ascii="Tahoma"/>
                <w:w w:val="99"/>
                <w:sz w:val="20"/>
              </w:rPr>
              <w:t>2</w:t>
            </w:r>
          </w:p>
        </w:tc>
        <w:tc>
          <w:tcPr>
            <w:tcW w:w="2580" w:type="dxa"/>
            <w:vMerge/>
          </w:tcPr>
          <w:p>
            <w:pPr/>
          </w:p>
        </w:tc>
        <w:tc>
          <w:tcPr>
            <w:tcW w:w="2979" w:type="dxa"/>
          </w:tcPr>
          <w:p>
            <w:pPr>
              <w:pStyle w:val="TableParagraph"/>
              <w:rPr>
                <w:rFonts w:ascii="Times New Roman"/>
                <w:sz w:val="22"/>
              </w:rPr>
            </w:pPr>
          </w:p>
          <w:p>
            <w:pPr>
              <w:pStyle w:val="TableParagraph"/>
              <w:spacing w:before="8"/>
              <w:rPr>
                <w:rFonts w:ascii="Times New Roman"/>
                <w:sz w:val="28"/>
              </w:rPr>
            </w:pPr>
          </w:p>
          <w:p>
            <w:pPr>
              <w:pStyle w:val="TableParagraph"/>
              <w:ind w:left="168" w:right="1172"/>
              <w:rPr>
                <w:sz w:val="22"/>
              </w:rPr>
            </w:pPr>
            <w:r>
              <w:rPr>
                <w:sz w:val="22"/>
              </w:rPr>
              <w:t>2.2. Αριθμός Απασχολουμένων</w:t>
            </w:r>
          </w:p>
        </w:tc>
        <w:tc>
          <w:tcPr>
            <w:tcW w:w="4508" w:type="dxa"/>
          </w:tcPr>
          <w:p>
            <w:pPr>
              <w:pStyle w:val="TableParagraph"/>
              <w:ind w:left="103" w:right="2014"/>
              <w:rPr>
                <w:sz w:val="20"/>
              </w:rPr>
            </w:pPr>
            <w:r>
              <w:rPr>
                <w:sz w:val="20"/>
              </w:rPr>
              <w:t>ΕΜΕ έτους 2018 Περισσότερες ή ίσες με 10: 5</w:t>
            </w:r>
          </w:p>
          <w:p>
            <w:pPr>
              <w:pStyle w:val="TableParagraph"/>
              <w:ind w:left="103" w:right="377"/>
              <w:rPr>
                <w:sz w:val="20"/>
              </w:rPr>
            </w:pPr>
            <w:r>
              <w:rPr>
                <w:sz w:val="20"/>
              </w:rPr>
              <w:t>Περισσότερες ή ίσες με 5 και λιγότερες από 10:</w:t>
            </w:r>
            <w:r>
              <w:rPr>
                <w:spacing w:val="-11"/>
                <w:sz w:val="20"/>
              </w:rPr>
              <w:t> </w:t>
            </w:r>
            <w:r>
              <w:rPr>
                <w:sz w:val="20"/>
              </w:rPr>
              <w:t>4 Περισσότερες ή ίσες με 2 και λιγότερες από 5: 3 Περισσότερες από 0 και λιγότερες από 2: 2 Καμία (0) ΕΜΕ:</w:t>
            </w:r>
            <w:r>
              <w:rPr>
                <w:spacing w:val="-7"/>
                <w:sz w:val="20"/>
              </w:rPr>
              <w:t> </w:t>
            </w:r>
            <w:r>
              <w:rPr>
                <w:sz w:val="20"/>
              </w:rPr>
              <w:t>0</w:t>
            </w:r>
          </w:p>
        </w:tc>
        <w:tc>
          <w:tcPr>
            <w:tcW w:w="1277" w:type="dxa"/>
            <w:vMerge/>
          </w:tcPr>
          <w:p>
            <w:pPr/>
          </w:p>
        </w:tc>
        <w:tc>
          <w:tcPr>
            <w:tcW w:w="1277" w:type="dxa"/>
            <w:vMerge/>
          </w:tcPr>
          <w:p>
            <w:pPr/>
          </w:p>
        </w:tc>
        <w:tc>
          <w:tcPr>
            <w:tcW w:w="1104" w:type="dxa"/>
            <w:vMerge/>
          </w:tcPr>
          <w:p>
            <w:pPr/>
          </w:p>
        </w:tc>
      </w:tr>
      <w:tr>
        <w:trPr>
          <w:trHeight w:val="3672" w:hRule="exact"/>
        </w:trPr>
        <w:tc>
          <w:tcPr>
            <w:tcW w:w="56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28"/>
              </w:rPr>
            </w:pPr>
          </w:p>
          <w:p>
            <w:pPr>
              <w:pStyle w:val="TableParagraph"/>
              <w:spacing w:before="1"/>
              <w:jc w:val="center"/>
              <w:rPr>
                <w:rFonts w:ascii="Tahoma"/>
                <w:sz w:val="20"/>
              </w:rPr>
            </w:pPr>
            <w:r>
              <w:rPr>
                <w:rFonts w:ascii="Tahoma"/>
                <w:w w:val="99"/>
                <w:sz w:val="20"/>
              </w:rPr>
              <w:t>3</w:t>
            </w:r>
          </w:p>
        </w:tc>
        <w:tc>
          <w:tcPr>
            <w:tcW w:w="2580" w:type="dxa"/>
            <w:vMerge/>
          </w:tcPr>
          <w:p>
            <w:pPr/>
          </w:p>
        </w:tc>
        <w:tc>
          <w:tcPr>
            <w:tcW w:w="2979"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7"/>
              <w:rPr>
                <w:rFonts w:ascii="Times New Roman"/>
                <w:sz w:val="25"/>
              </w:rPr>
            </w:pPr>
          </w:p>
          <w:p>
            <w:pPr>
              <w:pStyle w:val="TableParagraph"/>
              <w:ind w:left="168" w:right="222"/>
              <w:rPr>
                <w:sz w:val="22"/>
              </w:rPr>
            </w:pPr>
            <w:r>
              <w:rPr>
                <w:sz w:val="22"/>
              </w:rPr>
              <w:t>2.3. Οργανωτική διάρθρωση του δικαιούχου</w:t>
            </w:r>
          </w:p>
        </w:tc>
        <w:tc>
          <w:tcPr>
            <w:tcW w:w="4508" w:type="dxa"/>
          </w:tcPr>
          <w:p>
            <w:pPr>
              <w:pStyle w:val="TableParagraph"/>
              <w:ind w:left="103" w:right="2014"/>
              <w:rPr>
                <w:sz w:val="20"/>
              </w:rPr>
            </w:pPr>
            <w:r>
              <w:rPr>
                <w:sz w:val="20"/>
              </w:rPr>
              <w:t>Αξιολογείται η υφιστάμενη οργάνωση της επιχείρησης,</w:t>
            </w:r>
          </w:p>
          <w:p>
            <w:pPr>
              <w:pStyle w:val="TableParagraph"/>
              <w:ind w:left="103"/>
              <w:rPr>
                <w:sz w:val="20"/>
              </w:rPr>
            </w:pPr>
            <w:r>
              <w:rPr>
                <w:sz w:val="20"/>
              </w:rPr>
              <w:t>εφόσον τεκμηριώνεται από τα δικαιολογητικά της επιχείρησης.</w:t>
            </w:r>
          </w:p>
          <w:p>
            <w:pPr>
              <w:pStyle w:val="TableParagraph"/>
              <w:ind w:left="103" w:right="105"/>
              <w:jc w:val="both"/>
              <w:rPr>
                <w:sz w:val="20"/>
              </w:rPr>
            </w:pPr>
            <w:r>
              <w:rPr>
                <w:sz w:val="20"/>
              </w:rPr>
              <w:t>Για κάθε βαθμολογούμενο στοιχείο που διαθέτει η επιχείρηση ο ανώτατος βαθμός είναι 1. Επομένως ανώτατος βαθμός που μπορεί να λάβει στο υποκριτήριο είναι 5.</w:t>
            </w:r>
          </w:p>
          <w:p>
            <w:pPr>
              <w:pStyle w:val="TableParagraph"/>
              <w:numPr>
                <w:ilvl w:val="0"/>
                <w:numId w:val="76"/>
              </w:numPr>
              <w:tabs>
                <w:tab w:pos="480" w:val="left" w:leader="none"/>
              </w:tabs>
              <w:spacing w:line="240" w:lineRule="auto" w:before="0" w:after="0"/>
              <w:ind w:left="480" w:right="0" w:hanging="360"/>
              <w:jc w:val="both"/>
              <w:rPr>
                <w:sz w:val="20"/>
              </w:rPr>
            </w:pPr>
            <w:r>
              <w:rPr>
                <w:sz w:val="20"/>
              </w:rPr>
              <w:t>Σύστημα Διασφάλισης</w:t>
            </w:r>
            <w:r>
              <w:rPr>
                <w:spacing w:val="-10"/>
                <w:sz w:val="20"/>
              </w:rPr>
              <w:t> </w:t>
            </w:r>
            <w:r>
              <w:rPr>
                <w:sz w:val="20"/>
              </w:rPr>
              <w:t>ποιότητας.</w:t>
            </w:r>
          </w:p>
          <w:p>
            <w:pPr>
              <w:pStyle w:val="TableParagraph"/>
              <w:numPr>
                <w:ilvl w:val="0"/>
                <w:numId w:val="76"/>
              </w:numPr>
              <w:tabs>
                <w:tab w:pos="480" w:val="left" w:leader="none"/>
              </w:tabs>
              <w:spacing w:line="243" w:lineRule="exact" w:before="0" w:after="0"/>
              <w:ind w:left="480" w:right="0" w:hanging="360"/>
              <w:jc w:val="both"/>
              <w:rPr>
                <w:sz w:val="20"/>
              </w:rPr>
            </w:pPr>
            <w:r>
              <w:rPr>
                <w:sz w:val="20"/>
              </w:rPr>
              <w:t>Εμπορικά</w:t>
            </w:r>
            <w:r>
              <w:rPr>
                <w:spacing w:val="-4"/>
                <w:sz w:val="20"/>
              </w:rPr>
              <w:t> </w:t>
            </w:r>
            <w:r>
              <w:rPr>
                <w:sz w:val="20"/>
              </w:rPr>
              <w:t>Σήματα.</w:t>
            </w:r>
          </w:p>
          <w:p>
            <w:pPr>
              <w:pStyle w:val="TableParagraph"/>
              <w:numPr>
                <w:ilvl w:val="0"/>
                <w:numId w:val="76"/>
              </w:numPr>
              <w:tabs>
                <w:tab w:pos="480" w:val="left" w:leader="none"/>
              </w:tabs>
              <w:spacing w:line="243" w:lineRule="exact" w:before="0" w:after="0"/>
              <w:ind w:left="480" w:right="0" w:hanging="360"/>
              <w:jc w:val="both"/>
              <w:rPr>
                <w:sz w:val="20"/>
              </w:rPr>
            </w:pPr>
            <w:r>
              <w:rPr>
                <w:sz w:val="20"/>
              </w:rPr>
              <w:t>Ιστοσελίδα.</w:t>
            </w:r>
          </w:p>
          <w:p>
            <w:pPr>
              <w:pStyle w:val="TableParagraph"/>
              <w:numPr>
                <w:ilvl w:val="0"/>
                <w:numId w:val="76"/>
              </w:numPr>
              <w:tabs>
                <w:tab w:pos="479" w:val="left" w:leader="none"/>
                <w:tab w:pos="480" w:val="left" w:leader="none"/>
              </w:tabs>
              <w:spacing w:line="240" w:lineRule="auto" w:before="0" w:after="0"/>
              <w:ind w:left="480" w:right="411" w:hanging="360"/>
              <w:jc w:val="left"/>
              <w:rPr>
                <w:sz w:val="20"/>
              </w:rPr>
            </w:pPr>
            <w:r>
              <w:rPr>
                <w:sz w:val="20"/>
              </w:rPr>
              <w:t>Οργανωμένη προβολή (σε</w:t>
            </w:r>
            <w:r>
              <w:rPr>
                <w:spacing w:val="-11"/>
                <w:sz w:val="20"/>
              </w:rPr>
              <w:t> </w:t>
            </w:r>
            <w:r>
              <w:rPr>
                <w:sz w:val="20"/>
              </w:rPr>
              <w:t>επαγγελματικούς οδηγούς, μηχανές αναζήτησης,</w:t>
            </w:r>
            <w:r>
              <w:rPr>
                <w:spacing w:val="-9"/>
                <w:sz w:val="20"/>
              </w:rPr>
              <w:t> </w:t>
            </w:r>
            <w:r>
              <w:rPr>
                <w:sz w:val="20"/>
              </w:rPr>
              <w:t>κ.α.).</w:t>
            </w:r>
          </w:p>
          <w:p>
            <w:pPr>
              <w:pStyle w:val="TableParagraph"/>
              <w:numPr>
                <w:ilvl w:val="0"/>
                <w:numId w:val="76"/>
              </w:numPr>
              <w:tabs>
                <w:tab w:pos="480" w:val="left" w:leader="none"/>
              </w:tabs>
              <w:spacing w:line="240" w:lineRule="auto" w:before="0" w:after="0"/>
              <w:ind w:left="480" w:right="0" w:hanging="360"/>
              <w:jc w:val="both"/>
              <w:rPr>
                <w:sz w:val="20"/>
              </w:rPr>
            </w:pPr>
            <w:r>
              <w:rPr>
                <w:sz w:val="20"/>
              </w:rPr>
              <w:t>Άλλο.</w:t>
            </w:r>
          </w:p>
        </w:tc>
        <w:tc>
          <w:tcPr>
            <w:tcW w:w="1277" w:type="dxa"/>
            <w:vMerge/>
          </w:tcPr>
          <w:p>
            <w:pPr/>
          </w:p>
        </w:tc>
        <w:tc>
          <w:tcPr>
            <w:tcW w:w="1277" w:type="dxa"/>
            <w:vMerge/>
          </w:tcPr>
          <w:p>
            <w:pPr/>
          </w:p>
        </w:tc>
        <w:tc>
          <w:tcPr>
            <w:tcW w:w="1104" w:type="dxa"/>
            <w:vMerge/>
          </w:tcPr>
          <w:p>
            <w:pPr/>
          </w:p>
        </w:tc>
      </w:tr>
      <w:tr>
        <w:trPr>
          <w:trHeight w:val="598" w:hRule="exact"/>
        </w:trPr>
        <w:tc>
          <w:tcPr>
            <w:tcW w:w="13180" w:type="dxa"/>
            <w:gridSpan w:val="6"/>
          </w:tcPr>
          <w:p>
            <w:pPr>
              <w:pStyle w:val="TableParagraph"/>
              <w:spacing w:before="134"/>
              <w:ind w:right="101"/>
              <w:jc w:val="right"/>
              <w:rPr>
                <w:b/>
                <w:sz w:val="22"/>
              </w:rPr>
            </w:pPr>
            <w:r>
              <w:rPr>
                <w:b/>
                <w:sz w:val="22"/>
              </w:rPr>
              <w:t>ΜΕΡΙΚΟ ΑΠΟΤΕΛΕΣΜΑ 2</w:t>
            </w:r>
            <w:r>
              <w:rPr>
                <w:b/>
                <w:position w:val="10"/>
                <w:sz w:val="14"/>
              </w:rPr>
              <w:t>ης </w:t>
            </w:r>
            <w:r>
              <w:rPr>
                <w:b/>
                <w:sz w:val="22"/>
              </w:rPr>
              <w:t>ΟΜΑΔΑΣ</w:t>
            </w:r>
          </w:p>
        </w:tc>
        <w:tc>
          <w:tcPr>
            <w:tcW w:w="1104" w:type="dxa"/>
          </w:tcPr>
          <w:p>
            <w:pPr/>
          </w:p>
        </w:tc>
      </w:tr>
    </w:tbl>
    <w:p>
      <w:pPr>
        <w:spacing w:after="0"/>
        <w:sectPr>
          <w:pgSz w:w="16840" w:h="11910" w:orient="landscape"/>
          <w:pgMar w:header="748" w:footer="734" w:top="1180" w:bottom="920" w:left="1160" w:right="116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0"/>
        <w:gridCol w:w="2438"/>
        <w:gridCol w:w="3121"/>
        <w:gridCol w:w="4508"/>
        <w:gridCol w:w="1277"/>
        <w:gridCol w:w="1277"/>
        <w:gridCol w:w="1104"/>
      </w:tblGrid>
      <w:tr>
        <w:trPr>
          <w:trHeight w:val="252" w:hRule="exact"/>
        </w:trPr>
        <w:tc>
          <w:tcPr>
            <w:tcW w:w="14285" w:type="dxa"/>
            <w:gridSpan w:val="7"/>
            <w:shd w:val="clear" w:color="auto" w:fill="D7D7D7"/>
          </w:tcPr>
          <w:p>
            <w:pPr/>
          </w:p>
        </w:tc>
      </w:tr>
      <w:tr>
        <w:trPr>
          <w:trHeight w:val="266" w:hRule="exact"/>
        </w:trPr>
        <w:tc>
          <w:tcPr>
            <w:tcW w:w="560" w:type="dxa"/>
            <w:tcBorders>
              <w:bottom w:val="nil"/>
            </w:tcBorders>
          </w:tcPr>
          <w:p>
            <w:pPr/>
          </w:p>
        </w:tc>
        <w:tc>
          <w:tcPr>
            <w:tcW w:w="2438" w:type="dxa"/>
            <w:tcBorders>
              <w:bottom w:val="nil"/>
            </w:tcBorders>
          </w:tcPr>
          <w:p>
            <w:pPr/>
          </w:p>
        </w:tc>
        <w:tc>
          <w:tcPr>
            <w:tcW w:w="3121" w:type="dxa"/>
            <w:vMerge w:val="restart"/>
          </w:tcPr>
          <w:p>
            <w:pPr>
              <w:pStyle w:val="TableParagraph"/>
              <w:spacing w:before="6"/>
              <w:rPr>
                <w:rFonts w:ascii="Times New Roman"/>
                <w:sz w:val="19"/>
              </w:rPr>
            </w:pPr>
          </w:p>
          <w:p>
            <w:pPr>
              <w:pStyle w:val="TableParagraph"/>
              <w:ind w:left="424" w:right="269" w:hanging="322"/>
              <w:rPr>
                <w:sz w:val="22"/>
              </w:rPr>
            </w:pPr>
            <w:r>
              <w:rPr>
                <w:sz w:val="22"/>
              </w:rPr>
              <w:t>3.1 Επιπτώσεις της επένδυσης στην επιχείρηση και στην περιφερειακή οικονομία</w:t>
            </w:r>
          </w:p>
        </w:tc>
        <w:tc>
          <w:tcPr>
            <w:tcW w:w="4508" w:type="dxa"/>
            <w:tcBorders>
              <w:bottom w:val="nil"/>
            </w:tcBorders>
          </w:tcPr>
          <w:p>
            <w:pPr>
              <w:pStyle w:val="TableParagraph"/>
              <w:tabs>
                <w:tab w:pos="2263" w:val="left" w:leader="none"/>
              </w:tabs>
              <w:spacing w:line="243" w:lineRule="exact"/>
              <w:ind w:left="103"/>
              <w:rPr>
                <w:sz w:val="20"/>
              </w:rPr>
            </w:pPr>
            <w:r>
              <w:rPr>
                <w:sz w:val="20"/>
              </w:rPr>
              <w:t>Πολύ</w:t>
            </w:r>
            <w:r>
              <w:rPr>
                <w:spacing w:val="-2"/>
                <w:sz w:val="20"/>
              </w:rPr>
              <w:t> </w:t>
            </w:r>
            <w:r>
              <w:rPr>
                <w:sz w:val="20"/>
              </w:rPr>
              <w:t>Σημαντικές:</w:t>
              <w:tab/>
              <w:t>9 έως</w:t>
            </w:r>
            <w:r>
              <w:rPr>
                <w:spacing w:val="-4"/>
                <w:sz w:val="20"/>
              </w:rPr>
              <w:t> </w:t>
            </w:r>
            <w:r>
              <w:rPr>
                <w:sz w:val="20"/>
              </w:rPr>
              <w:t>12</w:t>
            </w:r>
          </w:p>
        </w:tc>
        <w:tc>
          <w:tcPr>
            <w:tcW w:w="1277" w:type="dxa"/>
            <w:vMerge w:val="restart"/>
          </w:tcPr>
          <w:p>
            <w:pPr/>
          </w:p>
        </w:tc>
        <w:tc>
          <w:tcPr>
            <w:tcW w:w="1277" w:type="dxa"/>
            <w:tcBorders>
              <w:bottom w:val="nil"/>
            </w:tcBorders>
          </w:tcPr>
          <w:p>
            <w:pPr/>
          </w:p>
        </w:tc>
        <w:tc>
          <w:tcPr>
            <w:tcW w:w="1104" w:type="dxa"/>
            <w:vMerge w:val="restart"/>
          </w:tcPr>
          <w:p>
            <w:pPr/>
          </w:p>
        </w:tc>
      </w:tr>
      <w:tr>
        <w:trPr>
          <w:trHeight w:val="244" w:hRule="exact"/>
        </w:trPr>
        <w:tc>
          <w:tcPr>
            <w:tcW w:w="560" w:type="dxa"/>
            <w:tcBorders>
              <w:top w:val="nil"/>
              <w:bottom w:val="nil"/>
            </w:tcBorders>
          </w:tcPr>
          <w:p>
            <w:pPr/>
          </w:p>
        </w:tc>
        <w:tc>
          <w:tcPr>
            <w:tcW w:w="2438" w:type="dxa"/>
            <w:tcBorders>
              <w:top w:val="nil"/>
              <w:bottom w:val="nil"/>
            </w:tcBorders>
          </w:tcPr>
          <w:p>
            <w:pPr/>
          </w:p>
        </w:tc>
        <w:tc>
          <w:tcPr>
            <w:tcW w:w="3121" w:type="dxa"/>
            <w:vMerge/>
          </w:tcPr>
          <w:p>
            <w:pPr/>
          </w:p>
        </w:tc>
        <w:tc>
          <w:tcPr>
            <w:tcW w:w="4508" w:type="dxa"/>
            <w:tcBorders>
              <w:top w:val="nil"/>
              <w:bottom w:val="nil"/>
            </w:tcBorders>
          </w:tcPr>
          <w:p>
            <w:pPr>
              <w:pStyle w:val="TableParagraph"/>
              <w:tabs>
                <w:tab w:pos="2263" w:val="left" w:leader="none"/>
              </w:tabs>
              <w:spacing w:line="225" w:lineRule="exact"/>
              <w:ind w:left="103"/>
              <w:rPr>
                <w:sz w:val="20"/>
              </w:rPr>
            </w:pPr>
            <w:r>
              <w:rPr>
                <w:sz w:val="20"/>
              </w:rPr>
              <w:t>Αρκετά</w:t>
            </w:r>
            <w:r>
              <w:rPr>
                <w:spacing w:val="-3"/>
                <w:sz w:val="20"/>
              </w:rPr>
              <w:t> </w:t>
            </w:r>
            <w:r>
              <w:rPr>
                <w:sz w:val="20"/>
              </w:rPr>
              <w:t>Σημαντικές:</w:t>
              <w:tab/>
              <w:t>5 έως</w:t>
            </w:r>
            <w:r>
              <w:rPr>
                <w:spacing w:val="-3"/>
                <w:sz w:val="20"/>
              </w:rPr>
              <w:t> </w:t>
            </w:r>
            <w:r>
              <w:rPr>
                <w:sz w:val="20"/>
              </w:rPr>
              <w:t>8</w:t>
            </w:r>
          </w:p>
        </w:tc>
        <w:tc>
          <w:tcPr>
            <w:tcW w:w="1277" w:type="dxa"/>
            <w:vMerge/>
          </w:tcPr>
          <w:p>
            <w:pPr/>
          </w:p>
        </w:tc>
        <w:tc>
          <w:tcPr>
            <w:tcW w:w="1277" w:type="dxa"/>
            <w:tcBorders>
              <w:top w:val="nil"/>
              <w:bottom w:val="nil"/>
            </w:tcBorders>
          </w:tcPr>
          <w:p>
            <w:pPr/>
          </w:p>
        </w:tc>
        <w:tc>
          <w:tcPr>
            <w:tcW w:w="1104" w:type="dxa"/>
            <w:vMerge/>
          </w:tcPr>
          <w:p>
            <w:pPr/>
          </w:p>
        </w:tc>
      </w:tr>
      <w:tr>
        <w:trPr>
          <w:trHeight w:val="763" w:hRule="exact"/>
        </w:trPr>
        <w:tc>
          <w:tcPr>
            <w:tcW w:w="560" w:type="dxa"/>
            <w:tcBorders>
              <w:top w:val="nil"/>
            </w:tcBorders>
          </w:tcPr>
          <w:p>
            <w:pPr>
              <w:pStyle w:val="TableParagraph"/>
              <w:spacing w:line="258" w:lineRule="exact"/>
              <w:ind w:right="1"/>
              <w:jc w:val="center"/>
              <w:rPr>
                <w:sz w:val="22"/>
              </w:rPr>
            </w:pPr>
            <w:r>
              <w:rPr>
                <w:w w:val="100"/>
                <w:sz w:val="22"/>
              </w:rPr>
              <w:t>1</w:t>
            </w:r>
          </w:p>
        </w:tc>
        <w:tc>
          <w:tcPr>
            <w:tcW w:w="2438" w:type="dxa"/>
            <w:tcBorders>
              <w:top w:val="nil"/>
              <w:bottom w:val="nil"/>
            </w:tcBorders>
          </w:tcPr>
          <w:p>
            <w:pPr/>
          </w:p>
        </w:tc>
        <w:tc>
          <w:tcPr>
            <w:tcW w:w="3121" w:type="dxa"/>
            <w:vMerge/>
          </w:tcPr>
          <w:p>
            <w:pPr/>
          </w:p>
        </w:tc>
        <w:tc>
          <w:tcPr>
            <w:tcW w:w="4508" w:type="dxa"/>
            <w:tcBorders>
              <w:top w:val="nil"/>
            </w:tcBorders>
          </w:tcPr>
          <w:p>
            <w:pPr>
              <w:pStyle w:val="TableParagraph"/>
              <w:tabs>
                <w:tab w:pos="2263" w:val="left" w:leader="none"/>
              </w:tabs>
              <w:spacing w:line="226" w:lineRule="exact"/>
              <w:ind w:left="103"/>
              <w:rPr>
                <w:sz w:val="20"/>
              </w:rPr>
            </w:pPr>
            <w:r>
              <w:rPr>
                <w:sz w:val="20"/>
              </w:rPr>
              <w:t>Ανεπαρκείς</w:t>
            </w:r>
            <w:r>
              <w:rPr>
                <w:spacing w:val="-3"/>
                <w:sz w:val="20"/>
              </w:rPr>
              <w:t> </w:t>
            </w:r>
            <w:r>
              <w:rPr>
                <w:sz w:val="20"/>
              </w:rPr>
              <w:t>επιπτώσεις:</w:t>
              <w:tab/>
              <w:t>0 έως</w:t>
            </w:r>
            <w:r>
              <w:rPr>
                <w:spacing w:val="-3"/>
                <w:sz w:val="20"/>
              </w:rPr>
              <w:t> </w:t>
            </w:r>
            <w:r>
              <w:rPr>
                <w:sz w:val="20"/>
              </w:rPr>
              <w:t>4</w:t>
            </w:r>
          </w:p>
        </w:tc>
        <w:tc>
          <w:tcPr>
            <w:tcW w:w="1277" w:type="dxa"/>
            <w:vMerge/>
          </w:tcPr>
          <w:p>
            <w:pPr/>
          </w:p>
        </w:tc>
        <w:tc>
          <w:tcPr>
            <w:tcW w:w="1277" w:type="dxa"/>
            <w:tcBorders>
              <w:top w:val="nil"/>
              <w:bottom w:val="nil"/>
            </w:tcBorders>
          </w:tcPr>
          <w:p>
            <w:pPr/>
          </w:p>
        </w:tc>
        <w:tc>
          <w:tcPr>
            <w:tcW w:w="1104" w:type="dxa"/>
            <w:vMerge/>
          </w:tcPr>
          <w:p>
            <w:pPr/>
          </w:p>
        </w:tc>
      </w:tr>
      <w:tr>
        <w:trPr>
          <w:trHeight w:val="1277" w:hRule="exact"/>
        </w:trPr>
        <w:tc>
          <w:tcPr>
            <w:tcW w:w="560" w:type="dxa"/>
            <w:tcBorders>
              <w:bottom w:val="nil"/>
            </w:tcBorders>
          </w:tcPr>
          <w:p>
            <w:pPr>
              <w:pStyle w:val="TableParagraph"/>
              <w:rPr>
                <w:rFonts w:ascii="Times New Roman"/>
                <w:sz w:val="22"/>
              </w:rPr>
            </w:pPr>
          </w:p>
          <w:p>
            <w:pPr>
              <w:pStyle w:val="TableParagraph"/>
              <w:spacing w:before="1"/>
              <w:rPr>
                <w:rFonts w:ascii="Times New Roman"/>
                <w:sz w:val="21"/>
              </w:rPr>
            </w:pPr>
          </w:p>
          <w:p>
            <w:pPr>
              <w:pStyle w:val="TableParagraph"/>
              <w:ind w:right="1"/>
              <w:jc w:val="center"/>
              <w:rPr>
                <w:sz w:val="22"/>
              </w:rPr>
            </w:pPr>
            <w:r>
              <w:rPr>
                <w:w w:val="100"/>
                <w:sz w:val="22"/>
              </w:rPr>
              <w:t>2</w:t>
            </w:r>
          </w:p>
        </w:tc>
        <w:tc>
          <w:tcPr>
            <w:tcW w:w="2438" w:type="dxa"/>
            <w:tcBorders>
              <w:top w:val="nil"/>
              <w:bottom w:val="nil"/>
            </w:tcBorders>
          </w:tcPr>
          <w:p>
            <w:pPr>
              <w:pStyle w:val="TableParagraph"/>
              <w:spacing w:before="122"/>
              <w:ind w:left="103"/>
              <w:rPr>
                <w:b/>
                <w:sz w:val="22"/>
              </w:rPr>
            </w:pPr>
            <w:r>
              <w:rPr>
                <w:b/>
                <w:sz w:val="22"/>
              </w:rPr>
              <w:t>3</w:t>
            </w:r>
            <w:r>
              <w:rPr>
                <w:b/>
                <w:position w:val="10"/>
                <w:sz w:val="14"/>
              </w:rPr>
              <w:t>η </w:t>
            </w:r>
            <w:r>
              <w:rPr>
                <w:b/>
                <w:sz w:val="22"/>
              </w:rPr>
              <w:t>ΟΜΑΔΑ ΚΡΙΤΗΡΙΩΝ</w:t>
            </w:r>
          </w:p>
          <w:p>
            <w:pPr>
              <w:pStyle w:val="TableParagraph"/>
              <w:ind w:left="103" w:right="448"/>
              <w:rPr>
                <w:b/>
                <w:sz w:val="22"/>
              </w:rPr>
            </w:pPr>
            <w:r>
              <w:rPr>
                <w:b/>
                <w:sz w:val="22"/>
              </w:rPr>
              <w:t>Επιπτώσεις της επένδυσης στην επιχείρηση και στην</w:t>
            </w:r>
          </w:p>
        </w:tc>
        <w:tc>
          <w:tcPr>
            <w:tcW w:w="3121" w:type="dxa"/>
            <w:tcBorders>
              <w:bottom w:val="nil"/>
            </w:tcBorders>
          </w:tcPr>
          <w:p>
            <w:pPr/>
          </w:p>
        </w:tc>
        <w:tc>
          <w:tcPr>
            <w:tcW w:w="4508" w:type="dxa"/>
            <w:tcBorders>
              <w:bottom w:val="nil"/>
            </w:tcBorders>
          </w:tcPr>
          <w:p>
            <w:pPr>
              <w:pStyle w:val="TableParagraph"/>
              <w:ind w:left="103"/>
              <w:rPr>
                <w:sz w:val="20"/>
              </w:rPr>
            </w:pPr>
            <w:r>
              <w:rPr>
                <w:sz w:val="20"/>
              </w:rPr>
              <w:t>Αύξηση θέσεων εργασίας μεγαλύτερη ή ίση των 2 ΕΜΕ: 8 βαθμοί</w:t>
            </w:r>
          </w:p>
          <w:p>
            <w:pPr>
              <w:pStyle w:val="TableParagraph"/>
              <w:ind w:left="103" w:right="108"/>
              <w:rPr>
                <w:sz w:val="20"/>
              </w:rPr>
            </w:pPr>
            <w:r>
              <w:rPr>
                <w:sz w:val="20"/>
              </w:rPr>
              <w:t>Αύξηση θέσεων εργασίας μεταξύ της 1,5 ΕΜΕ και των 2 ΕΜΕ: 6 βαθμοί</w:t>
            </w:r>
          </w:p>
          <w:p>
            <w:pPr>
              <w:pStyle w:val="TableParagraph"/>
              <w:ind w:left="103"/>
              <w:rPr>
                <w:sz w:val="20"/>
              </w:rPr>
            </w:pPr>
            <w:r>
              <w:rPr>
                <w:sz w:val="20"/>
              </w:rPr>
              <w:t>Αύξηση θέσεων εργασίας μεταξύ της 1 ΕΜΕ και  της</w:t>
            </w:r>
          </w:p>
        </w:tc>
        <w:tc>
          <w:tcPr>
            <w:tcW w:w="1277" w:type="dxa"/>
            <w:vMerge/>
          </w:tcPr>
          <w:p>
            <w:pPr/>
          </w:p>
        </w:tc>
        <w:tc>
          <w:tcPr>
            <w:tcW w:w="1277" w:type="dxa"/>
            <w:tcBorders>
              <w:top w:val="nil"/>
              <w:bottom w:val="nil"/>
            </w:tcBorders>
          </w:tcPr>
          <w:p>
            <w:pPr>
              <w:pStyle w:val="TableParagraph"/>
              <w:rPr>
                <w:rFonts w:ascii="Times New Roman"/>
                <w:sz w:val="24"/>
              </w:rPr>
            </w:pPr>
          </w:p>
          <w:p>
            <w:pPr>
              <w:pStyle w:val="TableParagraph"/>
              <w:rPr>
                <w:rFonts w:ascii="Times New Roman"/>
                <w:sz w:val="24"/>
              </w:rPr>
            </w:pPr>
          </w:p>
          <w:p>
            <w:pPr>
              <w:pStyle w:val="TableParagraph"/>
              <w:spacing w:before="6"/>
              <w:rPr>
                <w:rFonts w:ascii="Times New Roman"/>
                <w:sz w:val="24"/>
              </w:rPr>
            </w:pPr>
          </w:p>
          <w:p>
            <w:pPr>
              <w:pStyle w:val="TableParagraph"/>
              <w:spacing w:before="1"/>
              <w:ind w:left="114" w:right="119"/>
              <w:jc w:val="center"/>
              <w:rPr>
                <w:rFonts w:ascii="Tahoma"/>
                <w:sz w:val="20"/>
              </w:rPr>
            </w:pPr>
            <w:r>
              <w:rPr>
                <w:rFonts w:ascii="Tahoma"/>
                <w:sz w:val="20"/>
              </w:rPr>
              <w:t>20%</w:t>
            </w:r>
          </w:p>
        </w:tc>
        <w:tc>
          <w:tcPr>
            <w:tcW w:w="1104" w:type="dxa"/>
            <w:vMerge/>
          </w:tcPr>
          <w:p>
            <w:pPr/>
          </w:p>
        </w:tc>
      </w:tr>
      <w:tr>
        <w:trPr>
          <w:trHeight w:val="699" w:hRule="exact"/>
        </w:trPr>
        <w:tc>
          <w:tcPr>
            <w:tcW w:w="560" w:type="dxa"/>
            <w:vMerge w:val="restart"/>
          </w:tcPr>
          <w:p>
            <w:pPr>
              <w:pStyle w:val="TableParagraph"/>
              <w:rPr>
                <w:rFonts w:ascii="Times New Roman"/>
                <w:sz w:val="24"/>
              </w:rPr>
            </w:pPr>
          </w:p>
          <w:p>
            <w:pPr>
              <w:pStyle w:val="TableParagraph"/>
              <w:rPr>
                <w:rFonts w:ascii="Times New Roman"/>
                <w:sz w:val="24"/>
              </w:rPr>
            </w:pPr>
          </w:p>
          <w:p>
            <w:pPr>
              <w:pStyle w:val="TableParagraph"/>
              <w:spacing w:before="10"/>
              <w:rPr>
                <w:rFonts w:ascii="Times New Roman"/>
                <w:sz w:val="23"/>
              </w:rPr>
            </w:pPr>
          </w:p>
          <w:p>
            <w:pPr>
              <w:pStyle w:val="TableParagraph"/>
              <w:jc w:val="center"/>
              <w:rPr>
                <w:rFonts w:ascii="Tahoma"/>
                <w:sz w:val="20"/>
              </w:rPr>
            </w:pPr>
            <w:r>
              <w:rPr>
                <w:rFonts w:ascii="Tahoma"/>
                <w:w w:val="99"/>
                <w:sz w:val="20"/>
              </w:rPr>
              <w:t>3</w:t>
            </w:r>
          </w:p>
        </w:tc>
        <w:tc>
          <w:tcPr>
            <w:tcW w:w="2438" w:type="dxa"/>
            <w:tcBorders>
              <w:top w:val="nil"/>
              <w:bottom w:val="nil"/>
            </w:tcBorders>
          </w:tcPr>
          <w:p>
            <w:pPr>
              <w:pStyle w:val="TableParagraph"/>
              <w:spacing w:line="219" w:lineRule="exact"/>
              <w:ind w:left="103"/>
              <w:rPr>
                <w:b/>
                <w:sz w:val="22"/>
              </w:rPr>
            </w:pPr>
            <w:r>
              <w:rPr>
                <w:b/>
                <w:sz w:val="22"/>
              </w:rPr>
              <w:t>περιφερειακή</w:t>
            </w:r>
          </w:p>
          <w:p>
            <w:pPr>
              <w:pStyle w:val="TableParagraph"/>
              <w:ind w:left="103"/>
              <w:rPr>
                <w:b/>
                <w:sz w:val="22"/>
              </w:rPr>
            </w:pPr>
            <w:r>
              <w:rPr>
                <w:b/>
                <w:sz w:val="22"/>
              </w:rPr>
              <w:t>οικονομία</w:t>
            </w:r>
          </w:p>
        </w:tc>
        <w:tc>
          <w:tcPr>
            <w:tcW w:w="3121" w:type="dxa"/>
            <w:tcBorders>
              <w:top w:val="nil"/>
              <w:bottom w:val="nil"/>
            </w:tcBorders>
          </w:tcPr>
          <w:p>
            <w:pPr>
              <w:pStyle w:val="TableParagraph"/>
              <w:spacing w:before="48"/>
              <w:ind w:left="103" w:right="269"/>
              <w:rPr>
                <w:sz w:val="22"/>
              </w:rPr>
            </w:pPr>
            <w:r>
              <w:rPr>
                <w:sz w:val="22"/>
              </w:rPr>
              <w:t>3.2 Δημιουργία νέων θέσεων εργασίας</w:t>
            </w:r>
          </w:p>
        </w:tc>
        <w:tc>
          <w:tcPr>
            <w:tcW w:w="4508" w:type="dxa"/>
            <w:tcBorders>
              <w:top w:val="nil"/>
              <w:bottom w:val="nil"/>
            </w:tcBorders>
          </w:tcPr>
          <w:p>
            <w:pPr>
              <w:pStyle w:val="TableParagraph"/>
              <w:spacing w:line="198" w:lineRule="exact"/>
              <w:ind w:left="103"/>
              <w:rPr>
                <w:sz w:val="20"/>
              </w:rPr>
            </w:pPr>
            <w:r>
              <w:rPr>
                <w:sz w:val="20"/>
              </w:rPr>
              <w:t>1,5 ΕΜΕ: 4 βαθμοί</w:t>
            </w:r>
          </w:p>
          <w:p>
            <w:pPr>
              <w:pStyle w:val="TableParagraph"/>
              <w:ind w:left="103" w:right="108"/>
              <w:rPr>
                <w:sz w:val="20"/>
              </w:rPr>
            </w:pPr>
            <w:r>
              <w:rPr>
                <w:sz w:val="20"/>
              </w:rPr>
              <w:t>Αύξηση θέσεων εργασίας μεταξύ της 0,5 ΕΜΕ και της 1 ΕΜΕ: 2 βαθμοί</w:t>
            </w:r>
          </w:p>
        </w:tc>
        <w:tc>
          <w:tcPr>
            <w:tcW w:w="1277" w:type="dxa"/>
            <w:vMerge/>
          </w:tcPr>
          <w:p>
            <w:pPr/>
          </w:p>
        </w:tc>
        <w:tc>
          <w:tcPr>
            <w:tcW w:w="1277" w:type="dxa"/>
            <w:tcBorders>
              <w:top w:val="nil"/>
              <w:bottom w:val="nil"/>
            </w:tcBorders>
          </w:tcPr>
          <w:p>
            <w:pPr/>
          </w:p>
        </w:tc>
        <w:tc>
          <w:tcPr>
            <w:tcW w:w="1104" w:type="dxa"/>
            <w:vMerge/>
          </w:tcPr>
          <w:p>
            <w:pPr/>
          </w:p>
        </w:tc>
      </w:tr>
      <w:tr>
        <w:trPr>
          <w:trHeight w:val="245" w:hRule="exact"/>
        </w:trPr>
        <w:tc>
          <w:tcPr>
            <w:tcW w:w="560" w:type="dxa"/>
            <w:vMerge/>
          </w:tcPr>
          <w:p>
            <w:pPr/>
          </w:p>
        </w:tc>
        <w:tc>
          <w:tcPr>
            <w:tcW w:w="2438" w:type="dxa"/>
            <w:tcBorders>
              <w:top w:val="nil"/>
              <w:bottom w:val="nil"/>
            </w:tcBorders>
          </w:tcPr>
          <w:p>
            <w:pPr/>
          </w:p>
        </w:tc>
        <w:tc>
          <w:tcPr>
            <w:tcW w:w="3121" w:type="dxa"/>
            <w:tcBorders>
              <w:top w:val="nil"/>
              <w:bottom w:val="nil"/>
            </w:tcBorders>
          </w:tcPr>
          <w:p>
            <w:pPr/>
          </w:p>
        </w:tc>
        <w:tc>
          <w:tcPr>
            <w:tcW w:w="4508" w:type="dxa"/>
            <w:tcBorders>
              <w:top w:val="nil"/>
              <w:bottom w:val="nil"/>
            </w:tcBorders>
          </w:tcPr>
          <w:p>
            <w:pPr>
              <w:pStyle w:val="TableParagraph"/>
              <w:spacing w:line="226" w:lineRule="exact"/>
              <w:ind w:left="103"/>
              <w:rPr>
                <w:sz w:val="20"/>
              </w:rPr>
            </w:pPr>
            <w:r>
              <w:rPr>
                <w:sz w:val="20"/>
              </w:rPr>
              <w:t>Αύξηση θέσεων εργασίας μικρότερη της 0,5 ΕΜΕ:  0</w:t>
            </w:r>
          </w:p>
        </w:tc>
        <w:tc>
          <w:tcPr>
            <w:tcW w:w="1277" w:type="dxa"/>
            <w:vMerge/>
          </w:tcPr>
          <w:p>
            <w:pPr/>
          </w:p>
        </w:tc>
        <w:tc>
          <w:tcPr>
            <w:tcW w:w="1277" w:type="dxa"/>
            <w:tcBorders>
              <w:top w:val="nil"/>
              <w:bottom w:val="nil"/>
            </w:tcBorders>
          </w:tcPr>
          <w:p>
            <w:pPr/>
          </w:p>
        </w:tc>
        <w:tc>
          <w:tcPr>
            <w:tcW w:w="1104" w:type="dxa"/>
            <w:vMerge/>
          </w:tcPr>
          <w:p>
            <w:pPr/>
          </w:p>
        </w:tc>
      </w:tr>
      <w:tr>
        <w:trPr>
          <w:trHeight w:val="244" w:hRule="exact"/>
        </w:trPr>
        <w:tc>
          <w:tcPr>
            <w:tcW w:w="560" w:type="dxa"/>
            <w:vMerge/>
          </w:tcPr>
          <w:p>
            <w:pPr/>
          </w:p>
        </w:tc>
        <w:tc>
          <w:tcPr>
            <w:tcW w:w="2438" w:type="dxa"/>
            <w:tcBorders>
              <w:top w:val="nil"/>
              <w:bottom w:val="nil"/>
            </w:tcBorders>
          </w:tcPr>
          <w:p>
            <w:pPr/>
          </w:p>
        </w:tc>
        <w:tc>
          <w:tcPr>
            <w:tcW w:w="3121" w:type="dxa"/>
            <w:tcBorders>
              <w:top w:val="nil"/>
              <w:bottom w:val="nil"/>
            </w:tcBorders>
          </w:tcPr>
          <w:p>
            <w:pPr/>
          </w:p>
        </w:tc>
        <w:tc>
          <w:tcPr>
            <w:tcW w:w="4508" w:type="dxa"/>
            <w:tcBorders>
              <w:top w:val="nil"/>
              <w:bottom w:val="nil"/>
            </w:tcBorders>
          </w:tcPr>
          <w:p>
            <w:pPr>
              <w:pStyle w:val="TableParagraph"/>
              <w:spacing w:line="226" w:lineRule="exact"/>
              <w:ind w:left="103"/>
              <w:rPr>
                <w:sz w:val="20"/>
              </w:rPr>
            </w:pPr>
            <w:r>
              <w:rPr>
                <w:sz w:val="20"/>
              </w:rPr>
              <w:t>βαθμοί</w:t>
            </w:r>
          </w:p>
        </w:tc>
        <w:tc>
          <w:tcPr>
            <w:tcW w:w="1277" w:type="dxa"/>
            <w:vMerge/>
          </w:tcPr>
          <w:p>
            <w:pPr/>
          </w:p>
        </w:tc>
        <w:tc>
          <w:tcPr>
            <w:tcW w:w="1277" w:type="dxa"/>
            <w:tcBorders>
              <w:top w:val="nil"/>
              <w:bottom w:val="nil"/>
            </w:tcBorders>
          </w:tcPr>
          <w:p>
            <w:pPr/>
          </w:p>
        </w:tc>
        <w:tc>
          <w:tcPr>
            <w:tcW w:w="1104" w:type="dxa"/>
            <w:vMerge/>
          </w:tcPr>
          <w:p>
            <w:pPr/>
          </w:p>
        </w:tc>
      </w:tr>
      <w:tr>
        <w:trPr>
          <w:trHeight w:val="244" w:hRule="exact"/>
        </w:trPr>
        <w:tc>
          <w:tcPr>
            <w:tcW w:w="560" w:type="dxa"/>
            <w:vMerge/>
          </w:tcPr>
          <w:p>
            <w:pPr/>
          </w:p>
        </w:tc>
        <w:tc>
          <w:tcPr>
            <w:tcW w:w="2438" w:type="dxa"/>
            <w:tcBorders>
              <w:top w:val="nil"/>
              <w:bottom w:val="nil"/>
            </w:tcBorders>
          </w:tcPr>
          <w:p>
            <w:pPr/>
          </w:p>
        </w:tc>
        <w:tc>
          <w:tcPr>
            <w:tcW w:w="3121" w:type="dxa"/>
            <w:tcBorders>
              <w:top w:val="nil"/>
              <w:bottom w:val="nil"/>
            </w:tcBorders>
          </w:tcPr>
          <w:p>
            <w:pPr/>
          </w:p>
        </w:tc>
        <w:tc>
          <w:tcPr>
            <w:tcW w:w="4508" w:type="dxa"/>
            <w:tcBorders>
              <w:top w:val="nil"/>
              <w:bottom w:val="nil"/>
            </w:tcBorders>
          </w:tcPr>
          <w:p>
            <w:pPr>
              <w:pStyle w:val="TableParagraph"/>
              <w:spacing w:line="225" w:lineRule="exact"/>
              <w:ind w:left="103"/>
              <w:rPr>
                <w:i/>
                <w:sz w:val="20"/>
              </w:rPr>
            </w:pPr>
            <w:r>
              <w:rPr>
                <w:i/>
                <w:sz w:val="20"/>
              </w:rPr>
              <w:t>Σημείωση:  Οι  πρόσθετες  ΕΜΕ  υπολογίζονται   από</w:t>
            </w:r>
          </w:p>
        </w:tc>
        <w:tc>
          <w:tcPr>
            <w:tcW w:w="1277" w:type="dxa"/>
            <w:vMerge/>
          </w:tcPr>
          <w:p>
            <w:pPr/>
          </w:p>
        </w:tc>
        <w:tc>
          <w:tcPr>
            <w:tcW w:w="1277" w:type="dxa"/>
            <w:tcBorders>
              <w:top w:val="nil"/>
              <w:bottom w:val="nil"/>
            </w:tcBorders>
          </w:tcPr>
          <w:p>
            <w:pPr/>
          </w:p>
        </w:tc>
        <w:tc>
          <w:tcPr>
            <w:tcW w:w="1104" w:type="dxa"/>
            <w:vMerge/>
          </w:tcPr>
          <w:p>
            <w:pPr/>
          </w:p>
        </w:tc>
      </w:tr>
      <w:tr>
        <w:trPr>
          <w:trHeight w:val="245" w:hRule="exact"/>
        </w:trPr>
        <w:tc>
          <w:tcPr>
            <w:tcW w:w="560" w:type="dxa"/>
            <w:vMerge/>
          </w:tcPr>
          <w:p>
            <w:pPr/>
          </w:p>
        </w:tc>
        <w:tc>
          <w:tcPr>
            <w:tcW w:w="2438" w:type="dxa"/>
            <w:tcBorders>
              <w:top w:val="nil"/>
              <w:bottom w:val="nil"/>
            </w:tcBorders>
          </w:tcPr>
          <w:p>
            <w:pPr/>
          </w:p>
        </w:tc>
        <w:tc>
          <w:tcPr>
            <w:tcW w:w="3121" w:type="dxa"/>
            <w:tcBorders>
              <w:top w:val="nil"/>
              <w:bottom w:val="nil"/>
            </w:tcBorders>
          </w:tcPr>
          <w:p>
            <w:pPr/>
          </w:p>
        </w:tc>
        <w:tc>
          <w:tcPr>
            <w:tcW w:w="4508" w:type="dxa"/>
            <w:tcBorders>
              <w:top w:val="nil"/>
              <w:bottom w:val="nil"/>
            </w:tcBorders>
          </w:tcPr>
          <w:p>
            <w:pPr>
              <w:pStyle w:val="TableParagraph"/>
              <w:tabs>
                <w:tab w:pos="594" w:val="left" w:leader="none"/>
                <w:tab w:pos="1793" w:val="left" w:leader="none"/>
                <w:tab w:pos="2671" w:val="left" w:leader="none"/>
                <w:tab w:pos="3158" w:val="left" w:leader="none"/>
              </w:tabs>
              <w:spacing w:line="226" w:lineRule="exact"/>
              <w:ind w:left="103"/>
              <w:rPr>
                <w:i/>
                <w:sz w:val="20"/>
              </w:rPr>
            </w:pPr>
            <w:r>
              <w:rPr>
                <w:i/>
                <w:sz w:val="20"/>
              </w:rPr>
              <w:t>την</w:t>
              <w:tab/>
              <w:t>ημερομηνία</w:t>
              <w:tab/>
              <w:t>έναρξης</w:t>
              <w:tab/>
              <w:t>της</w:t>
              <w:tab/>
              <w:t>επιλεξιμότητας</w:t>
            </w:r>
          </w:p>
        </w:tc>
        <w:tc>
          <w:tcPr>
            <w:tcW w:w="1277" w:type="dxa"/>
            <w:vMerge/>
          </w:tcPr>
          <w:p>
            <w:pPr/>
          </w:p>
        </w:tc>
        <w:tc>
          <w:tcPr>
            <w:tcW w:w="1277" w:type="dxa"/>
            <w:tcBorders>
              <w:top w:val="nil"/>
              <w:bottom w:val="nil"/>
            </w:tcBorders>
          </w:tcPr>
          <w:p>
            <w:pPr/>
          </w:p>
        </w:tc>
        <w:tc>
          <w:tcPr>
            <w:tcW w:w="1104" w:type="dxa"/>
            <w:vMerge/>
          </w:tcPr>
          <w:p>
            <w:pPr/>
          </w:p>
        </w:tc>
      </w:tr>
      <w:tr>
        <w:trPr>
          <w:trHeight w:val="232" w:hRule="exact"/>
        </w:trPr>
        <w:tc>
          <w:tcPr>
            <w:tcW w:w="560" w:type="dxa"/>
            <w:vMerge/>
          </w:tcPr>
          <w:p>
            <w:pPr/>
          </w:p>
        </w:tc>
        <w:tc>
          <w:tcPr>
            <w:tcW w:w="2438" w:type="dxa"/>
            <w:tcBorders>
              <w:top w:val="nil"/>
            </w:tcBorders>
          </w:tcPr>
          <w:p>
            <w:pPr/>
          </w:p>
        </w:tc>
        <w:tc>
          <w:tcPr>
            <w:tcW w:w="3121" w:type="dxa"/>
            <w:tcBorders>
              <w:top w:val="nil"/>
            </w:tcBorders>
          </w:tcPr>
          <w:p>
            <w:pPr/>
          </w:p>
        </w:tc>
        <w:tc>
          <w:tcPr>
            <w:tcW w:w="4508" w:type="dxa"/>
            <w:tcBorders>
              <w:top w:val="nil"/>
            </w:tcBorders>
          </w:tcPr>
          <w:p>
            <w:pPr>
              <w:pStyle w:val="TableParagraph"/>
              <w:spacing w:line="226" w:lineRule="exact"/>
              <w:ind w:left="103"/>
              <w:rPr>
                <w:i/>
                <w:sz w:val="20"/>
              </w:rPr>
            </w:pPr>
            <w:r>
              <w:rPr>
                <w:i/>
                <w:sz w:val="20"/>
              </w:rPr>
              <w:t>δαπανών και μέχρι την λήξη του έργου.</w:t>
            </w:r>
          </w:p>
        </w:tc>
        <w:tc>
          <w:tcPr>
            <w:tcW w:w="1277" w:type="dxa"/>
            <w:vMerge/>
          </w:tcPr>
          <w:p>
            <w:pPr/>
          </w:p>
        </w:tc>
        <w:tc>
          <w:tcPr>
            <w:tcW w:w="1277" w:type="dxa"/>
            <w:tcBorders>
              <w:top w:val="nil"/>
            </w:tcBorders>
          </w:tcPr>
          <w:p>
            <w:pPr/>
          </w:p>
        </w:tc>
        <w:tc>
          <w:tcPr>
            <w:tcW w:w="1104" w:type="dxa"/>
            <w:vMerge/>
          </w:tcPr>
          <w:p>
            <w:pPr/>
          </w:p>
        </w:tc>
      </w:tr>
      <w:tr>
        <w:trPr>
          <w:trHeight w:val="600" w:hRule="exact"/>
        </w:trPr>
        <w:tc>
          <w:tcPr>
            <w:tcW w:w="13180" w:type="dxa"/>
            <w:gridSpan w:val="6"/>
          </w:tcPr>
          <w:p>
            <w:pPr>
              <w:pStyle w:val="TableParagraph"/>
              <w:spacing w:before="134"/>
              <w:ind w:right="101"/>
              <w:jc w:val="right"/>
              <w:rPr>
                <w:b/>
                <w:sz w:val="22"/>
              </w:rPr>
            </w:pPr>
            <w:r>
              <w:rPr>
                <w:b/>
                <w:sz w:val="22"/>
              </w:rPr>
              <w:t>ΜΕΡΙΚΟ ΑΠΟΤΕΛΕΣΜΑ 3</w:t>
            </w:r>
            <w:r>
              <w:rPr>
                <w:b/>
                <w:position w:val="10"/>
                <w:sz w:val="14"/>
              </w:rPr>
              <w:t>ης </w:t>
            </w:r>
            <w:r>
              <w:rPr>
                <w:b/>
                <w:sz w:val="22"/>
              </w:rPr>
              <w:t>ΟΜΑΔΑΣ</w:t>
            </w:r>
          </w:p>
        </w:tc>
        <w:tc>
          <w:tcPr>
            <w:tcW w:w="1104" w:type="dxa"/>
          </w:tcPr>
          <w:p>
            <w:pPr/>
          </w:p>
        </w:tc>
      </w:tr>
    </w:tbl>
    <w:p>
      <w:pPr>
        <w:spacing w:after="0"/>
        <w:sectPr>
          <w:pgSz w:w="16840" w:h="11910" w:orient="landscape"/>
          <w:pgMar w:header="748" w:footer="734" w:top="1180" w:bottom="920" w:left="1160" w:right="1160"/>
        </w:sectPr>
      </w:pPr>
    </w:p>
    <w:p>
      <w:pPr>
        <w:pStyle w:val="BodyText"/>
        <w:spacing w:before="10"/>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0"/>
        <w:gridCol w:w="2438"/>
        <w:gridCol w:w="3121"/>
        <w:gridCol w:w="4508"/>
        <w:gridCol w:w="1277"/>
        <w:gridCol w:w="1277"/>
        <w:gridCol w:w="1104"/>
      </w:tblGrid>
      <w:tr>
        <w:trPr>
          <w:trHeight w:val="252" w:hRule="exact"/>
        </w:trPr>
        <w:tc>
          <w:tcPr>
            <w:tcW w:w="14285" w:type="dxa"/>
            <w:gridSpan w:val="7"/>
            <w:shd w:val="clear" w:color="auto" w:fill="D7D7D7"/>
          </w:tcPr>
          <w:p>
            <w:pPr/>
          </w:p>
        </w:tc>
      </w:tr>
      <w:tr>
        <w:trPr>
          <w:trHeight w:val="1620" w:hRule="exact"/>
        </w:trPr>
        <w:tc>
          <w:tcPr>
            <w:tcW w:w="560" w:type="dxa"/>
          </w:tcPr>
          <w:p>
            <w:pPr>
              <w:pStyle w:val="TableParagraph"/>
              <w:rPr>
                <w:rFonts w:ascii="Times New Roman"/>
                <w:sz w:val="22"/>
              </w:rPr>
            </w:pPr>
          </w:p>
          <w:p>
            <w:pPr>
              <w:pStyle w:val="TableParagraph"/>
              <w:rPr>
                <w:rFonts w:ascii="Times New Roman"/>
                <w:sz w:val="22"/>
              </w:rPr>
            </w:pPr>
          </w:p>
          <w:p>
            <w:pPr>
              <w:pStyle w:val="TableParagraph"/>
              <w:spacing w:before="160"/>
              <w:ind w:left="103"/>
              <w:rPr>
                <w:sz w:val="22"/>
              </w:rPr>
            </w:pPr>
            <w:r>
              <w:rPr>
                <w:w w:val="100"/>
                <w:sz w:val="22"/>
              </w:rPr>
              <w:t>1</w:t>
            </w:r>
          </w:p>
        </w:tc>
        <w:tc>
          <w:tcPr>
            <w:tcW w:w="2438" w:type="dxa"/>
          </w:tcPr>
          <w:p>
            <w:pPr>
              <w:pStyle w:val="TableParagraph"/>
              <w:spacing w:line="265" w:lineRule="exact"/>
              <w:ind w:left="103"/>
              <w:rPr>
                <w:b/>
                <w:sz w:val="22"/>
              </w:rPr>
            </w:pPr>
            <w:r>
              <w:rPr>
                <w:b/>
                <w:sz w:val="22"/>
              </w:rPr>
              <w:t>4</w:t>
            </w:r>
            <w:r>
              <w:rPr>
                <w:b/>
                <w:position w:val="10"/>
                <w:sz w:val="14"/>
              </w:rPr>
              <w:t>η </w:t>
            </w:r>
            <w:r>
              <w:rPr>
                <w:b/>
                <w:sz w:val="22"/>
              </w:rPr>
              <w:t>ΟΜΑΔΑ ΚΡΙΤΗΡΙΩΝ</w:t>
            </w:r>
          </w:p>
          <w:p>
            <w:pPr>
              <w:pStyle w:val="TableParagraph"/>
              <w:ind w:left="103" w:right="103"/>
              <w:rPr>
                <w:b/>
                <w:sz w:val="22"/>
              </w:rPr>
            </w:pPr>
            <w:r>
              <w:rPr>
                <w:sz w:val="22"/>
              </w:rPr>
              <w:t>Το επενδυτικό σχέδιο εμπίπτει </w:t>
            </w:r>
            <w:r>
              <w:rPr>
                <w:b/>
                <w:sz w:val="22"/>
              </w:rPr>
              <w:t>στους τομείς δραστηριότητας της RIS3 Περιφέρειας Θεσσαλίας</w:t>
            </w:r>
          </w:p>
        </w:tc>
        <w:tc>
          <w:tcPr>
            <w:tcW w:w="3121" w:type="dxa"/>
          </w:tcPr>
          <w:p>
            <w:pPr>
              <w:pStyle w:val="TableParagraph"/>
              <w:spacing w:before="1"/>
              <w:rPr>
                <w:rFonts w:ascii="Times New Roman"/>
                <w:sz w:val="23"/>
              </w:rPr>
            </w:pPr>
          </w:p>
          <w:p>
            <w:pPr>
              <w:pStyle w:val="TableParagraph"/>
              <w:ind w:left="103" w:right="225"/>
              <w:rPr>
                <w:sz w:val="22"/>
              </w:rPr>
            </w:pPr>
            <w:r>
              <w:rPr>
                <w:sz w:val="22"/>
              </w:rPr>
              <w:t>Το επενδυτικό σχέδιο εμπίπτει στους τομείς δραστηριότητας της RIS3 Περιφέρειας Θεσσαλίας</w:t>
            </w:r>
          </w:p>
        </w:tc>
        <w:tc>
          <w:tcPr>
            <w:tcW w:w="4508" w:type="dxa"/>
          </w:tcPr>
          <w:p>
            <w:pPr>
              <w:pStyle w:val="TableParagraph"/>
              <w:spacing w:before="71"/>
              <w:ind w:left="103" w:right="104"/>
              <w:jc w:val="both"/>
              <w:rPr>
                <w:sz w:val="20"/>
              </w:rPr>
            </w:pPr>
            <w:r>
              <w:rPr>
                <w:sz w:val="20"/>
              </w:rPr>
              <w:t>Εξετάζεται και αξιολογείται η συνάφεια του επενδυτικού σχεδίου της επιχείρησης με τις θεματικές προτεραιότητες της στρατηγικής έξυπνης εξειδίκευσης της Περιφέρειας.</w:t>
            </w:r>
          </w:p>
          <w:p>
            <w:pPr>
              <w:pStyle w:val="TableParagraph"/>
              <w:ind w:left="103"/>
              <w:jc w:val="both"/>
              <w:rPr>
                <w:sz w:val="20"/>
              </w:rPr>
            </w:pPr>
            <w:r>
              <w:rPr>
                <w:sz w:val="20"/>
              </w:rPr>
              <w:t>Το  επενδυτικό  Σχέδιο  αφορά  ΚΑΔ  τομέα  της RIS3</w:t>
            </w:r>
          </w:p>
          <w:p>
            <w:pPr>
              <w:pStyle w:val="TableParagraph"/>
              <w:ind w:left="103"/>
              <w:jc w:val="both"/>
              <w:rPr>
                <w:sz w:val="20"/>
              </w:rPr>
            </w:pPr>
            <w:r>
              <w:rPr>
                <w:sz w:val="20"/>
              </w:rPr>
              <w:t>της Περιφέρειας Θεσσαλίας.</w:t>
            </w:r>
          </w:p>
        </w:tc>
        <w:tc>
          <w:tcPr>
            <w:tcW w:w="1277" w:type="dxa"/>
          </w:tcPr>
          <w:p>
            <w:pPr>
              <w:pStyle w:val="TableParagraph"/>
              <w:rPr>
                <w:rFonts w:ascii="Times New Roman"/>
                <w:sz w:val="20"/>
              </w:rPr>
            </w:pPr>
          </w:p>
          <w:p>
            <w:pPr>
              <w:pStyle w:val="TableParagraph"/>
              <w:spacing w:before="8"/>
              <w:rPr>
                <w:rFonts w:ascii="Times New Roman"/>
                <w:sz w:val="28"/>
              </w:rPr>
            </w:pPr>
          </w:p>
          <w:p>
            <w:pPr>
              <w:pStyle w:val="TableParagraph"/>
              <w:spacing w:line="243" w:lineRule="exact" w:before="1"/>
              <w:ind w:left="103"/>
              <w:rPr>
                <w:sz w:val="20"/>
              </w:rPr>
            </w:pPr>
            <w:r>
              <w:rPr>
                <w:sz w:val="20"/>
              </w:rPr>
              <w:t>Ναι: 20</w:t>
            </w:r>
          </w:p>
          <w:p>
            <w:pPr>
              <w:pStyle w:val="TableParagraph"/>
              <w:spacing w:line="243" w:lineRule="exact"/>
              <w:ind w:left="103"/>
              <w:rPr>
                <w:sz w:val="20"/>
              </w:rPr>
            </w:pPr>
            <w:r>
              <w:rPr>
                <w:sz w:val="20"/>
              </w:rPr>
              <w:t>Όχι: 0</w:t>
            </w:r>
          </w:p>
        </w:tc>
        <w:tc>
          <w:tcPr>
            <w:tcW w:w="1277" w:type="dxa"/>
          </w:tcPr>
          <w:p>
            <w:pPr>
              <w:pStyle w:val="TableParagraph"/>
              <w:rPr>
                <w:rFonts w:ascii="Times New Roman"/>
                <w:sz w:val="22"/>
              </w:rPr>
            </w:pPr>
          </w:p>
          <w:p>
            <w:pPr>
              <w:pStyle w:val="TableParagraph"/>
              <w:rPr>
                <w:rFonts w:ascii="Times New Roman"/>
                <w:sz w:val="22"/>
              </w:rPr>
            </w:pPr>
          </w:p>
          <w:p>
            <w:pPr>
              <w:pStyle w:val="TableParagraph"/>
              <w:spacing w:before="160"/>
              <w:ind w:left="118" w:right="119"/>
              <w:jc w:val="center"/>
              <w:rPr>
                <w:sz w:val="22"/>
              </w:rPr>
            </w:pPr>
            <w:r>
              <w:rPr>
                <w:sz w:val="22"/>
              </w:rPr>
              <w:t>10%</w:t>
            </w:r>
          </w:p>
        </w:tc>
        <w:tc>
          <w:tcPr>
            <w:tcW w:w="1104" w:type="dxa"/>
          </w:tcPr>
          <w:p>
            <w:pPr/>
          </w:p>
        </w:tc>
      </w:tr>
      <w:tr>
        <w:trPr>
          <w:trHeight w:val="601" w:hRule="exact"/>
        </w:trPr>
        <w:tc>
          <w:tcPr>
            <w:tcW w:w="13180" w:type="dxa"/>
            <w:gridSpan w:val="6"/>
          </w:tcPr>
          <w:p>
            <w:pPr>
              <w:pStyle w:val="TableParagraph"/>
              <w:spacing w:before="134"/>
              <w:ind w:right="101"/>
              <w:jc w:val="right"/>
              <w:rPr>
                <w:b/>
                <w:sz w:val="22"/>
              </w:rPr>
            </w:pPr>
            <w:r>
              <w:rPr>
                <w:b/>
                <w:sz w:val="22"/>
              </w:rPr>
              <w:t>ΜΕΡΙΚΟ ΑΠΟΤΕΛΕΣΜΑ 4</w:t>
            </w:r>
            <w:r>
              <w:rPr>
                <w:b/>
                <w:position w:val="10"/>
                <w:sz w:val="14"/>
              </w:rPr>
              <w:t>ης </w:t>
            </w:r>
            <w:r>
              <w:rPr>
                <w:b/>
                <w:sz w:val="22"/>
              </w:rPr>
              <w:t>ΟΜΑΔΑΣ</w:t>
            </w:r>
          </w:p>
        </w:tc>
        <w:tc>
          <w:tcPr>
            <w:tcW w:w="1104" w:type="dxa"/>
          </w:tcPr>
          <w:p>
            <w:pPr/>
          </w:p>
        </w:tc>
      </w:tr>
      <w:tr>
        <w:trPr>
          <w:trHeight w:val="252" w:hRule="exact"/>
        </w:trPr>
        <w:tc>
          <w:tcPr>
            <w:tcW w:w="14285" w:type="dxa"/>
            <w:gridSpan w:val="7"/>
            <w:shd w:val="clear" w:color="auto" w:fill="D7D7D7"/>
          </w:tcPr>
          <w:p>
            <w:pPr/>
          </w:p>
        </w:tc>
      </w:tr>
      <w:tr>
        <w:trPr>
          <w:trHeight w:val="547" w:hRule="exact"/>
        </w:trPr>
        <w:tc>
          <w:tcPr>
            <w:tcW w:w="10627" w:type="dxa"/>
            <w:gridSpan w:val="4"/>
          </w:tcPr>
          <w:p>
            <w:pPr/>
          </w:p>
        </w:tc>
        <w:tc>
          <w:tcPr>
            <w:tcW w:w="1277" w:type="dxa"/>
          </w:tcPr>
          <w:p>
            <w:pPr>
              <w:pStyle w:val="TableParagraph"/>
              <w:ind w:left="384" w:right="215" w:hanging="152"/>
              <w:rPr>
                <w:b/>
                <w:sz w:val="22"/>
              </w:rPr>
            </w:pPr>
            <w:r>
              <w:rPr>
                <w:b/>
                <w:sz w:val="22"/>
              </w:rPr>
              <w:t>ΜΕΓΙΣΤΗ ΤΙΜΗ</w:t>
            </w:r>
          </w:p>
        </w:tc>
        <w:tc>
          <w:tcPr>
            <w:tcW w:w="1277" w:type="dxa"/>
          </w:tcPr>
          <w:p>
            <w:pPr>
              <w:pStyle w:val="TableParagraph"/>
              <w:spacing w:before="131"/>
              <w:ind w:left="119" w:right="119"/>
              <w:jc w:val="center"/>
              <w:rPr>
                <w:b/>
                <w:sz w:val="22"/>
              </w:rPr>
            </w:pPr>
            <w:r>
              <w:rPr>
                <w:b/>
                <w:sz w:val="22"/>
              </w:rPr>
              <w:t>ΣΤΑΘΜΙΣΗ</w:t>
            </w:r>
          </w:p>
        </w:tc>
        <w:tc>
          <w:tcPr>
            <w:tcW w:w="1104" w:type="dxa"/>
          </w:tcPr>
          <w:p>
            <w:pPr>
              <w:pStyle w:val="TableParagraph"/>
              <w:ind w:left="211" w:right="179" w:hanging="20"/>
              <w:rPr>
                <w:b/>
                <w:sz w:val="22"/>
              </w:rPr>
            </w:pPr>
            <w:r>
              <w:rPr>
                <w:b/>
                <w:sz w:val="22"/>
              </w:rPr>
              <w:t>ΑΠΟΤΕ- ΛΕΣΜΑ</w:t>
            </w:r>
          </w:p>
        </w:tc>
      </w:tr>
      <w:tr>
        <w:trPr>
          <w:trHeight w:val="398" w:hRule="exact"/>
        </w:trPr>
        <w:tc>
          <w:tcPr>
            <w:tcW w:w="10627" w:type="dxa"/>
            <w:gridSpan w:val="4"/>
          </w:tcPr>
          <w:p>
            <w:pPr>
              <w:pStyle w:val="TableParagraph"/>
              <w:spacing w:line="265" w:lineRule="exact"/>
              <w:ind w:left="103"/>
              <w:rPr>
                <w:sz w:val="22"/>
              </w:rPr>
            </w:pPr>
            <w:r>
              <w:rPr>
                <w:sz w:val="22"/>
              </w:rPr>
              <w:t>ΜΕΡΙΚΟ ΑΠΟΤΕΛΕΣΜΑ 1</w:t>
            </w:r>
            <w:r>
              <w:rPr>
                <w:position w:val="10"/>
                <w:sz w:val="14"/>
              </w:rPr>
              <w:t>ης </w:t>
            </w:r>
            <w:r>
              <w:rPr>
                <w:sz w:val="22"/>
              </w:rPr>
              <w:t>ΟΜΑΔΑΣ</w:t>
            </w:r>
          </w:p>
        </w:tc>
        <w:tc>
          <w:tcPr>
            <w:tcW w:w="1277" w:type="dxa"/>
          </w:tcPr>
          <w:p>
            <w:pPr/>
          </w:p>
        </w:tc>
        <w:tc>
          <w:tcPr>
            <w:tcW w:w="1277" w:type="dxa"/>
          </w:tcPr>
          <w:p>
            <w:pPr>
              <w:pStyle w:val="TableParagraph"/>
              <w:spacing w:before="57"/>
              <w:ind w:left="118" w:right="119"/>
              <w:jc w:val="center"/>
              <w:rPr>
                <w:sz w:val="22"/>
              </w:rPr>
            </w:pPr>
            <w:r>
              <w:rPr>
                <w:sz w:val="22"/>
              </w:rPr>
              <w:t>30%</w:t>
            </w:r>
          </w:p>
        </w:tc>
        <w:tc>
          <w:tcPr>
            <w:tcW w:w="1104" w:type="dxa"/>
          </w:tcPr>
          <w:p>
            <w:pPr/>
          </w:p>
        </w:tc>
      </w:tr>
      <w:tr>
        <w:trPr>
          <w:trHeight w:val="365" w:hRule="exact"/>
        </w:trPr>
        <w:tc>
          <w:tcPr>
            <w:tcW w:w="10627" w:type="dxa"/>
            <w:gridSpan w:val="4"/>
          </w:tcPr>
          <w:p>
            <w:pPr>
              <w:pStyle w:val="TableParagraph"/>
              <w:spacing w:line="268" w:lineRule="exact"/>
              <w:ind w:left="103"/>
              <w:rPr>
                <w:sz w:val="22"/>
              </w:rPr>
            </w:pPr>
            <w:r>
              <w:rPr>
                <w:sz w:val="22"/>
              </w:rPr>
              <w:t>ΜΕΡΙΚΟ ΑΠΟΤΕΛΕΣΜΑ 2</w:t>
            </w:r>
            <w:r>
              <w:rPr>
                <w:position w:val="10"/>
                <w:sz w:val="14"/>
              </w:rPr>
              <w:t>ης </w:t>
            </w:r>
            <w:r>
              <w:rPr>
                <w:sz w:val="22"/>
              </w:rPr>
              <w:t>ΟΜΑΔΑΣ</w:t>
            </w:r>
          </w:p>
        </w:tc>
        <w:tc>
          <w:tcPr>
            <w:tcW w:w="1277" w:type="dxa"/>
          </w:tcPr>
          <w:p>
            <w:pPr/>
          </w:p>
        </w:tc>
        <w:tc>
          <w:tcPr>
            <w:tcW w:w="1277" w:type="dxa"/>
          </w:tcPr>
          <w:p>
            <w:pPr>
              <w:pStyle w:val="TableParagraph"/>
              <w:spacing w:before="40"/>
              <w:ind w:left="118" w:right="119"/>
              <w:jc w:val="center"/>
              <w:rPr>
                <w:sz w:val="22"/>
              </w:rPr>
            </w:pPr>
            <w:r>
              <w:rPr>
                <w:sz w:val="22"/>
              </w:rPr>
              <w:t>40%</w:t>
            </w:r>
          </w:p>
        </w:tc>
        <w:tc>
          <w:tcPr>
            <w:tcW w:w="1104" w:type="dxa"/>
          </w:tcPr>
          <w:p>
            <w:pPr/>
          </w:p>
        </w:tc>
      </w:tr>
      <w:tr>
        <w:trPr>
          <w:trHeight w:val="470" w:hRule="exact"/>
        </w:trPr>
        <w:tc>
          <w:tcPr>
            <w:tcW w:w="10627" w:type="dxa"/>
            <w:gridSpan w:val="4"/>
          </w:tcPr>
          <w:p>
            <w:pPr>
              <w:pStyle w:val="TableParagraph"/>
              <w:spacing w:line="265" w:lineRule="exact"/>
              <w:ind w:left="103"/>
              <w:rPr>
                <w:sz w:val="22"/>
              </w:rPr>
            </w:pPr>
            <w:r>
              <w:rPr>
                <w:sz w:val="22"/>
              </w:rPr>
              <w:t>ΜΕΡΙΚΟ ΑΠΟΤΕΛΕΣΜΑ 3</w:t>
            </w:r>
            <w:r>
              <w:rPr>
                <w:position w:val="10"/>
                <w:sz w:val="14"/>
              </w:rPr>
              <w:t>ης </w:t>
            </w:r>
            <w:r>
              <w:rPr>
                <w:sz w:val="22"/>
              </w:rPr>
              <w:t>ΟΜΑΔΑΣ</w:t>
            </w:r>
          </w:p>
        </w:tc>
        <w:tc>
          <w:tcPr>
            <w:tcW w:w="1277" w:type="dxa"/>
          </w:tcPr>
          <w:p>
            <w:pPr/>
          </w:p>
        </w:tc>
        <w:tc>
          <w:tcPr>
            <w:tcW w:w="1277" w:type="dxa"/>
          </w:tcPr>
          <w:p>
            <w:pPr>
              <w:pStyle w:val="TableParagraph"/>
              <w:spacing w:before="93"/>
              <w:ind w:left="118" w:right="119"/>
              <w:jc w:val="center"/>
              <w:rPr>
                <w:sz w:val="22"/>
              </w:rPr>
            </w:pPr>
            <w:r>
              <w:rPr>
                <w:sz w:val="22"/>
              </w:rPr>
              <w:t>20%</w:t>
            </w:r>
          </w:p>
        </w:tc>
        <w:tc>
          <w:tcPr>
            <w:tcW w:w="1104" w:type="dxa"/>
          </w:tcPr>
          <w:p>
            <w:pPr/>
          </w:p>
        </w:tc>
      </w:tr>
      <w:tr>
        <w:trPr>
          <w:trHeight w:val="471" w:hRule="exact"/>
        </w:trPr>
        <w:tc>
          <w:tcPr>
            <w:tcW w:w="10627" w:type="dxa"/>
            <w:gridSpan w:val="4"/>
          </w:tcPr>
          <w:p>
            <w:pPr>
              <w:pStyle w:val="TableParagraph"/>
              <w:spacing w:line="265" w:lineRule="exact"/>
              <w:ind w:left="103"/>
              <w:rPr>
                <w:sz w:val="22"/>
              </w:rPr>
            </w:pPr>
            <w:r>
              <w:rPr>
                <w:sz w:val="22"/>
              </w:rPr>
              <w:t>ΜΕΡΙΚΟ ΑΠΟΤΕΛΕΣΜΑ 4</w:t>
            </w:r>
            <w:r>
              <w:rPr>
                <w:position w:val="10"/>
                <w:sz w:val="14"/>
              </w:rPr>
              <w:t>ης </w:t>
            </w:r>
            <w:r>
              <w:rPr>
                <w:sz w:val="22"/>
              </w:rPr>
              <w:t>ΟΜΑΔΑΣ</w:t>
            </w:r>
          </w:p>
        </w:tc>
        <w:tc>
          <w:tcPr>
            <w:tcW w:w="1277" w:type="dxa"/>
          </w:tcPr>
          <w:p>
            <w:pPr/>
          </w:p>
        </w:tc>
        <w:tc>
          <w:tcPr>
            <w:tcW w:w="1277" w:type="dxa"/>
          </w:tcPr>
          <w:p>
            <w:pPr>
              <w:pStyle w:val="TableParagraph"/>
              <w:spacing w:before="93"/>
              <w:ind w:left="118" w:right="119"/>
              <w:jc w:val="center"/>
              <w:rPr>
                <w:sz w:val="22"/>
              </w:rPr>
            </w:pPr>
            <w:r>
              <w:rPr>
                <w:sz w:val="22"/>
              </w:rPr>
              <w:t>10%</w:t>
            </w:r>
          </w:p>
        </w:tc>
        <w:tc>
          <w:tcPr>
            <w:tcW w:w="1104" w:type="dxa"/>
          </w:tcPr>
          <w:p>
            <w:pPr/>
          </w:p>
        </w:tc>
      </w:tr>
      <w:tr>
        <w:trPr>
          <w:trHeight w:val="600" w:hRule="exact"/>
        </w:trPr>
        <w:tc>
          <w:tcPr>
            <w:tcW w:w="13180" w:type="dxa"/>
            <w:gridSpan w:val="6"/>
          </w:tcPr>
          <w:p>
            <w:pPr>
              <w:pStyle w:val="TableParagraph"/>
              <w:spacing w:before="157"/>
              <w:ind w:right="102"/>
              <w:jc w:val="right"/>
              <w:rPr>
                <w:b/>
                <w:sz w:val="22"/>
              </w:rPr>
            </w:pPr>
            <w:r>
              <w:rPr>
                <w:b/>
                <w:sz w:val="22"/>
              </w:rPr>
              <w:t>ΣΥΝΟΛΙΚΗ ΒΑΘΜΟΛΟΓΙΑ</w:t>
            </w:r>
          </w:p>
        </w:tc>
        <w:tc>
          <w:tcPr>
            <w:tcW w:w="1104" w:type="dxa"/>
          </w:tcPr>
          <w:p>
            <w:pPr/>
          </w:p>
        </w:tc>
      </w:tr>
      <w:tr>
        <w:trPr>
          <w:trHeight w:val="254" w:hRule="exact"/>
        </w:trPr>
        <w:tc>
          <w:tcPr>
            <w:tcW w:w="14285" w:type="dxa"/>
            <w:gridSpan w:val="7"/>
          </w:tcPr>
          <w:p>
            <w:pPr>
              <w:pStyle w:val="TableParagraph"/>
              <w:spacing w:line="243" w:lineRule="exact"/>
              <w:ind w:left="103"/>
              <w:rPr>
                <w:sz w:val="20"/>
              </w:rPr>
            </w:pPr>
            <w:r>
              <w:rPr>
                <w:sz w:val="20"/>
              </w:rPr>
              <w:t>Ελάχιστη συνολική σταθμισμένη βαθμολογία επενδυτικού σχεδίου: </w:t>
            </w:r>
            <w:r>
              <w:rPr>
                <w:b/>
                <w:sz w:val="20"/>
              </w:rPr>
              <w:t>10. </w:t>
            </w:r>
            <w:r>
              <w:rPr>
                <w:sz w:val="20"/>
              </w:rPr>
              <w:t>Η βαθμολογία ανά ομάδα κριτηρίων και συνολικά, υπολογίζεται με έως 2 δεκαδικά ψηφία.</w:t>
            </w:r>
          </w:p>
        </w:tc>
      </w:tr>
    </w:tbl>
    <w:p>
      <w:pPr>
        <w:spacing w:after="0" w:line="243" w:lineRule="exact"/>
        <w:rPr>
          <w:sz w:val="20"/>
        </w:rPr>
        <w:sectPr>
          <w:pgSz w:w="16840" w:h="11910" w:orient="landscape"/>
          <w:pgMar w:header="748" w:footer="734" w:top="1180" w:bottom="920" w:left="1160" w:right="1160"/>
        </w:sectPr>
      </w:pPr>
    </w:p>
    <w:p>
      <w:pPr>
        <w:pStyle w:val="BodyText"/>
        <w:rPr>
          <w:rFonts w:ascii="Times New Roman"/>
          <w:sz w:val="20"/>
        </w:rPr>
      </w:pPr>
    </w:p>
    <w:p>
      <w:pPr>
        <w:pStyle w:val="BodyText"/>
        <w:spacing w:before="6"/>
        <w:rPr>
          <w:rFonts w:ascii="Times New Roman"/>
          <w:sz w:val="19"/>
        </w:rPr>
      </w:pPr>
    </w:p>
    <w:p>
      <w:pPr>
        <w:pStyle w:val="Heading4"/>
        <w:spacing w:before="57"/>
        <w:ind w:left="220"/>
        <w:jc w:val="left"/>
      </w:pPr>
      <w:r>
        <w:rPr/>
        <w:t>ΠΑΡΑΡΤΗΜΑ IX : ΔΙΚΑΙΟΛΟΓΗΤΙΚΑ ΣΥΜΜΕΤΟΧΗΣ</w:t>
      </w:r>
    </w:p>
    <w:p>
      <w:pPr>
        <w:pStyle w:val="BodyText"/>
        <w:rPr>
          <w:b/>
          <w:sz w:val="20"/>
        </w:rPr>
      </w:pPr>
    </w:p>
    <w:p>
      <w:pPr>
        <w:pStyle w:val="BodyText"/>
        <w:spacing w:before="2"/>
        <w:rPr>
          <w:b/>
          <w:sz w:val="20"/>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8862"/>
      </w:tblGrid>
      <w:tr>
        <w:trPr>
          <w:trHeight w:val="1289" w:hRule="exact"/>
        </w:trPr>
        <w:tc>
          <w:tcPr>
            <w:tcW w:w="675" w:type="dxa"/>
          </w:tcPr>
          <w:p>
            <w:pPr>
              <w:pStyle w:val="TableParagraph"/>
              <w:rPr>
                <w:b/>
                <w:sz w:val="22"/>
              </w:rPr>
            </w:pPr>
          </w:p>
          <w:p>
            <w:pPr>
              <w:pStyle w:val="TableParagraph"/>
              <w:spacing w:before="165"/>
              <w:ind w:left="132" w:right="132"/>
              <w:jc w:val="center"/>
              <w:rPr>
                <w:b/>
                <w:sz w:val="22"/>
              </w:rPr>
            </w:pPr>
            <w:r>
              <w:rPr>
                <w:b/>
                <w:sz w:val="22"/>
              </w:rPr>
              <w:t>Α/Α</w:t>
            </w:r>
          </w:p>
        </w:tc>
        <w:tc>
          <w:tcPr>
            <w:tcW w:w="8862" w:type="dxa"/>
          </w:tcPr>
          <w:p>
            <w:pPr>
              <w:pStyle w:val="TableParagraph"/>
              <w:spacing w:before="49"/>
              <w:ind w:left="535" w:right="535"/>
              <w:jc w:val="center"/>
              <w:rPr>
                <w:b/>
                <w:sz w:val="22"/>
              </w:rPr>
            </w:pPr>
            <w:r>
              <w:rPr>
                <w:b/>
                <w:sz w:val="22"/>
              </w:rPr>
              <w:t>ΑΠΑΙΤΟΥΜΕΝΑ ΔΙΚΑΙΟΛΟΓΗΤΙΚΑ ΣΥΜΜΕΤΟΧΗΣ</w:t>
            </w:r>
          </w:p>
          <w:p>
            <w:pPr>
              <w:pStyle w:val="TableParagraph"/>
              <w:spacing w:line="285" w:lineRule="auto" w:before="50"/>
              <w:ind w:left="143" w:right="145" w:firstLine="2"/>
              <w:jc w:val="center"/>
              <w:rPr>
                <w:b/>
                <w:sz w:val="22"/>
              </w:rPr>
            </w:pPr>
            <w:r>
              <w:rPr>
                <w:b/>
                <w:sz w:val="22"/>
              </w:rPr>
              <w:t>Αναρτώνται και Προσκομίζονται σύμφωνα με τα αναφερόμενα στην Πρόσκληση, με αντίγραφο της Αίτησης (Ι.1) από το ΠΣΚΕ, όπως εκτυπώνεται μετά την ηλεκτρονική υποβολή.</w:t>
            </w:r>
          </w:p>
          <w:p>
            <w:pPr>
              <w:pStyle w:val="TableParagraph"/>
              <w:spacing w:before="2"/>
              <w:ind w:left="535" w:right="536"/>
              <w:jc w:val="center"/>
              <w:rPr>
                <w:b/>
                <w:sz w:val="22"/>
              </w:rPr>
            </w:pPr>
            <w:r>
              <w:rPr>
                <w:b/>
                <w:sz w:val="22"/>
              </w:rPr>
              <w:t>Το αντίγραφο της αίτησης υπογράφεται από το νόμιμο εκπρόσωπο της επιχείρησης</w:t>
            </w:r>
          </w:p>
        </w:tc>
      </w:tr>
      <w:tr>
        <w:trPr>
          <w:trHeight w:val="816" w:hRule="exact"/>
        </w:trPr>
        <w:tc>
          <w:tcPr>
            <w:tcW w:w="675" w:type="dxa"/>
          </w:tcPr>
          <w:p>
            <w:pPr>
              <w:pStyle w:val="TableParagraph"/>
              <w:spacing w:before="3"/>
              <w:rPr>
                <w:b/>
                <w:sz w:val="16"/>
              </w:rPr>
            </w:pPr>
          </w:p>
          <w:p>
            <w:pPr>
              <w:pStyle w:val="TableParagraph"/>
              <w:ind w:right="1"/>
              <w:jc w:val="center"/>
              <w:rPr>
                <w:b/>
                <w:sz w:val="22"/>
              </w:rPr>
            </w:pPr>
            <w:r>
              <w:rPr>
                <w:b/>
                <w:w w:val="100"/>
                <w:sz w:val="22"/>
              </w:rPr>
              <w:t>1</w:t>
            </w:r>
          </w:p>
        </w:tc>
        <w:tc>
          <w:tcPr>
            <w:tcW w:w="8862" w:type="dxa"/>
          </w:tcPr>
          <w:p>
            <w:pPr>
              <w:pStyle w:val="TableParagraph"/>
              <w:spacing w:line="360" w:lineRule="auto"/>
              <w:ind w:left="103"/>
              <w:rPr>
                <w:sz w:val="22"/>
              </w:rPr>
            </w:pPr>
            <w:r>
              <w:rPr>
                <w:sz w:val="22"/>
              </w:rPr>
              <w:t>Έντυπο Υποβολής Αίτησης Χρηματοδότησης Μέρος 2 (Παράρτημα Ι.2) με υπογραφή από το νόμιμο εκπρόσωπο της επιχείρησης και σφραγίδα αυτής</w:t>
            </w:r>
          </w:p>
        </w:tc>
      </w:tr>
      <w:tr>
        <w:trPr>
          <w:trHeight w:val="817" w:hRule="exact"/>
        </w:trPr>
        <w:tc>
          <w:tcPr>
            <w:tcW w:w="675" w:type="dxa"/>
          </w:tcPr>
          <w:p>
            <w:pPr>
              <w:pStyle w:val="TableParagraph"/>
              <w:spacing w:before="3"/>
              <w:rPr>
                <w:b/>
                <w:sz w:val="16"/>
              </w:rPr>
            </w:pPr>
          </w:p>
          <w:p>
            <w:pPr>
              <w:pStyle w:val="TableParagraph"/>
              <w:spacing w:before="1"/>
              <w:ind w:right="1"/>
              <w:jc w:val="center"/>
              <w:rPr>
                <w:b/>
                <w:sz w:val="22"/>
              </w:rPr>
            </w:pPr>
            <w:r>
              <w:rPr>
                <w:b/>
                <w:w w:val="100"/>
                <w:sz w:val="22"/>
              </w:rPr>
              <w:t>2</w:t>
            </w:r>
          </w:p>
        </w:tc>
        <w:tc>
          <w:tcPr>
            <w:tcW w:w="8862" w:type="dxa"/>
          </w:tcPr>
          <w:p>
            <w:pPr>
              <w:pStyle w:val="TableParagraph"/>
              <w:spacing w:line="360" w:lineRule="auto"/>
              <w:ind w:left="103"/>
              <w:rPr>
                <w:sz w:val="22"/>
              </w:rPr>
            </w:pPr>
            <w:r>
              <w:rPr>
                <w:sz w:val="22"/>
              </w:rPr>
              <w:t>Φωτοαντίγραφο των δυο όψεων του Ατομικού Δελτίου Ταυτότητας για τον νόμιμο εκπρόσωπο της επιχείρησης</w:t>
            </w:r>
          </w:p>
        </w:tc>
      </w:tr>
      <w:tr>
        <w:trPr>
          <w:trHeight w:val="1217" w:hRule="exact"/>
        </w:trPr>
        <w:tc>
          <w:tcPr>
            <w:tcW w:w="675" w:type="dxa"/>
          </w:tcPr>
          <w:p>
            <w:pPr>
              <w:pStyle w:val="TableParagraph"/>
              <w:spacing w:before="9"/>
              <w:rPr>
                <w:b/>
                <w:sz w:val="32"/>
              </w:rPr>
            </w:pPr>
          </w:p>
          <w:p>
            <w:pPr>
              <w:pStyle w:val="TableParagraph"/>
              <w:ind w:right="1"/>
              <w:jc w:val="center"/>
              <w:rPr>
                <w:b/>
                <w:sz w:val="22"/>
              </w:rPr>
            </w:pPr>
            <w:r>
              <w:rPr>
                <w:b/>
                <w:w w:val="100"/>
                <w:sz w:val="22"/>
              </w:rPr>
              <w:t>3</w:t>
            </w:r>
          </w:p>
        </w:tc>
        <w:tc>
          <w:tcPr>
            <w:tcW w:w="8862" w:type="dxa"/>
          </w:tcPr>
          <w:p>
            <w:pPr>
              <w:pStyle w:val="TableParagraph"/>
              <w:spacing w:line="360" w:lineRule="auto"/>
              <w:ind w:left="103" w:right="100"/>
              <w:jc w:val="both"/>
              <w:rPr>
                <w:sz w:val="22"/>
              </w:rPr>
            </w:pPr>
            <w:r>
              <w:rPr>
                <w:sz w:val="22"/>
              </w:rPr>
              <w:t>Δήλωση Στοιχείων Επιχείρησης σχετικά με την ιδιότητά της ως Μικρομεσαία Επιχείρηση (ΜΜΕ) (σύμφωνα με το Παράρτημα V «ΥΠΟΔΕΙΓΜΑ ΔΗΛΩΣΗΣ ΣΧΕΤΙΚΑ ΜΕ ΤΑ ΣΤΟΙΧΕΙΑ ΠΟΥ ΑΦΟΡΟΥΝ ΤΗΝ ΙΔΙΟΤΗΤΑ ΜΜΕ ΜΙΑΣ ΕΠΙΧΕΙΡΗΣΗΣ»</w:t>
            </w:r>
          </w:p>
        </w:tc>
      </w:tr>
      <w:tr>
        <w:trPr>
          <w:trHeight w:val="816" w:hRule="exact"/>
        </w:trPr>
        <w:tc>
          <w:tcPr>
            <w:tcW w:w="675" w:type="dxa"/>
          </w:tcPr>
          <w:p>
            <w:pPr>
              <w:pStyle w:val="TableParagraph"/>
              <w:spacing w:before="5"/>
              <w:rPr>
                <w:b/>
                <w:sz w:val="16"/>
              </w:rPr>
            </w:pPr>
          </w:p>
          <w:p>
            <w:pPr>
              <w:pStyle w:val="TableParagraph"/>
              <w:ind w:right="1"/>
              <w:jc w:val="center"/>
              <w:rPr>
                <w:b/>
                <w:sz w:val="22"/>
              </w:rPr>
            </w:pPr>
            <w:r>
              <w:rPr>
                <w:b/>
                <w:w w:val="100"/>
                <w:sz w:val="22"/>
              </w:rPr>
              <w:t>4</w:t>
            </w:r>
          </w:p>
        </w:tc>
        <w:tc>
          <w:tcPr>
            <w:tcW w:w="8862" w:type="dxa"/>
          </w:tcPr>
          <w:p>
            <w:pPr>
              <w:pStyle w:val="TableParagraph"/>
              <w:spacing w:line="268" w:lineRule="exact"/>
              <w:ind w:left="103"/>
              <w:rPr>
                <w:sz w:val="22"/>
              </w:rPr>
            </w:pPr>
            <w:r>
              <w:rPr>
                <w:sz w:val="22"/>
              </w:rPr>
              <w:t>Κατάσταση  ενεργών  δραστηριοτήτων  (ΚΑΔ)  της  επιχείρησης  μέσω  της  ιστοσελίδας    gsis.gr</w:t>
            </w:r>
          </w:p>
          <w:p>
            <w:pPr>
              <w:pStyle w:val="TableParagraph"/>
              <w:spacing w:before="132"/>
              <w:ind w:left="103"/>
              <w:rPr>
                <w:sz w:val="22"/>
              </w:rPr>
            </w:pPr>
            <w:r>
              <w:rPr>
                <w:sz w:val="22"/>
              </w:rPr>
              <w:t>(πρόσφατη εκτύπωση – 30 ημέρες πριν την υποβολή της πρότασης).</w:t>
            </w:r>
          </w:p>
        </w:tc>
      </w:tr>
      <w:tr>
        <w:trPr>
          <w:trHeight w:val="6930" w:hRule="exact"/>
        </w:trPr>
        <w:tc>
          <w:tcPr>
            <w:tcW w:w="67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24"/>
              </w:rPr>
            </w:pPr>
          </w:p>
          <w:p>
            <w:pPr>
              <w:pStyle w:val="TableParagraph"/>
              <w:ind w:right="1"/>
              <w:jc w:val="center"/>
              <w:rPr>
                <w:b/>
                <w:sz w:val="22"/>
              </w:rPr>
            </w:pPr>
            <w:r>
              <w:rPr>
                <w:b/>
                <w:w w:val="100"/>
                <w:sz w:val="22"/>
              </w:rPr>
              <w:t>5</w:t>
            </w:r>
          </w:p>
        </w:tc>
        <w:tc>
          <w:tcPr>
            <w:tcW w:w="8862" w:type="dxa"/>
          </w:tcPr>
          <w:p>
            <w:pPr>
              <w:pStyle w:val="TableParagraph"/>
              <w:spacing w:line="268" w:lineRule="exact"/>
              <w:ind w:left="103"/>
              <w:jc w:val="both"/>
              <w:rPr>
                <w:sz w:val="22"/>
              </w:rPr>
            </w:pPr>
            <w:r>
              <w:rPr>
                <w:sz w:val="22"/>
              </w:rPr>
              <w:t>Δικαιολογητικά νόμιμης υπόστασης:</w:t>
            </w:r>
          </w:p>
          <w:p>
            <w:pPr>
              <w:pStyle w:val="TableParagraph"/>
              <w:numPr>
                <w:ilvl w:val="0"/>
                <w:numId w:val="77"/>
              </w:numPr>
              <w:tabs>
                <w:tab w:pos="824" w:val="left" w:leader="none"/>
              </w:tabs>
              <w:spacing w:line="355" w:lineRule="auto" w:before="133" w:after="0"/>
              <w:ind w:left="823" w:right="99" w:hanging="360"/>
              <w:jc w:val="both"/>
              <w:rPr>
                <w:sz w:val="22"/>
              </w:rPr>
            </w:pPr>
            <w:r>
              <w:rPr>
                <w:sz w:val="22"/>
              </w:rPr>
              <w:t>Για Α.Ε.: Πράξη σύστασης, συγκρότησης ΔΣ και Ορισμού Νομίμου Εκπροσώπου σε ισχύ, νομίμως</w:t>
            </w:r>
            <w:r>
              <w:rPr>
                <w:spacing w:val="-7"/>
                <w:sz w:val="22"/>
              </w:rPr>
              <w:t> </w:t>
            </w:r>
            <w:r>
              <w:rPr>
                <w:sz w:val="22"/>
              </w:rPr>
              <w:t>δημοσιευμένα.</w:t>
            </w:r>
          </w:p>
          <w:p>
            <w:pPr>
              <w:pStyle w:val="TableParagraph"/>
              <w:numPr>
                <w:ilvl w:val="0"/>
                <w:numId w:val="77"/>
              </w:numPr>
              <w:tabs>
                <w:tab w:pos="823" w:val="left" w:leader="none"/>
                <w:tab w:pos="824" w:val="left" w:leader="none"/>
              </w:tabs>
              <w:spacing w:line="240" w:lineRule="auto" w:before="6" w:after="0"/>
              <w:ind w:left="823" w:right="0" w:hanging="360"/>
              <w:jc w:val="left"/>
              <w:rPr>
                <w:sz w:val="22"/>
              </w:rPr>
            </w:pPr>
            <w:r>
              <w:rPr>
                <w:sz w:val="22"/>
              </w:rPr>
              <w:t>Για ΕΠΕ: Πράξη σύστασης και εκπροσώπησης σε ισχύ, νομίμως</w:t>
            </w:r>
            <w:r>
              <w:rPr>
                <w:spacing w:val="-18"/>
                <w:sz w:val="22"/>
              </w:rPr>
              <w:t> </w:t>
            </w:r>
            <w:r>
              <w:rPr>
                <w:sz w:val="22"/>
              </w:rPr>
              <w:t>δημοσιευμένα.</w:t>
            </w:r>
          </w:p>
          <w:p>
            <w:pPr>
              <w:pStyle w:val="TableParagraph"/>
              <w:numPr>
                <w:ilvl w:val="0"/>
                <w:numId w:val="77"/>
              </w:numPr>
              <w:tabs>
                <w:tab w:pos="824" w:val="left" w:leader="none"/>
              </w:tabs>
              <w:spacing w:line="357" w:lineRule="auto" w:before="135" w:after="0"/>
              <w:ind w:left="823" w:right="100" w:hanging="360"/>
              <w:jc w:val="both"/>
              <w:rPr>
                <w:sz w:val="22"/>
              </w:rPr>
            </w:pPr>
            <w:r>
              <w:rPr>
                <w:sz w:val="22"/>
              </w:rPr>
              <w:t>Για Ο.Ε./Ε.Ε./ΙΚΕ: Πλέον πρόσφατο καταστατικό επικυρωμένο από την αρμόδια Υπηρεσία (Πρωτοδικείο ή ΓΕΜΗ), στο οποίο θα αποτυπώνεται η Διαχείριση- Εκπροσώπηση.</w:t>
            </w:r>
          </w:p>
          <w:p>
            <w:pPr>
              <w:pStyle w:val="TableParagraph"/>
              <w:numPr>
                <w:ilvl w:val="0"/>
                <w:numId w:val="77"/>
              </w:numPr>
              <w:tabs>
                <w:tab w:pos="823" w:val="left" w:leader="none"/>
                <w:tab w:pos="824" w:val="left" w:leader="none"/>
              </w:tabs>
              <w:spacing w:line="240" w:lineRule="auto" w:before="3" w:after="0"/>
              <w:ind w:left="823" w:right="0" w:hanging="360"/>
              <w:jc w:val="left"/>
              <w:rPr>
                <w:sz w:val="22"/>
              </w:rPr>
            </w:pPr>
            <w:r>
              <w:rPr>
                <w:sz w:val="22"/>
              </w:rPr>
              <w:t>Για Ατομική: Βεβαίωση Έναρξης Εργασιών Ατομικής Επιχείρησης από τη</w:t>
            </w:r>
            <w:r>
              <w:rPr>
                <w:spacing w:val="-12"/>
                <w:sz w:val="22"/>
              </w:rPr>
              <w:t> </w:t>
            </w:r>
            <w:r>
              <w:rPr>
                <w:sz w:val="22"/>
              </w:rPr>
              <w:t>Δ.Ο.Υ.</w:t>
            </w:r>
          </w:p>
          <w:p>
            <w:pPr>
              <w:pStyle w:val="TableParagraph"/>
              <w:numPr>
                <w:ilvl w:val="0"/>
                <w:numId w:val="77"/>
              </w:numPr>
              <w:tabs>
                <w:tab w:pos="824" w:val="left" w:leader="none"/>
              </w:tabs>
              <w:spacing w:line="357" w:lineRule="auto" w:before="135" w:after="0"/>
              <w:ind w:left="823" w:right="100" w:hanging="360"/>
              <w:jc w:val="both"/>
              <w:rPr>
                <w:sz w:val="22"/>
              </w:rPr>
            </w:pPr>
            <w:r>
              <w:rPr>
                <w:sz w:val="22"/>
              </w:rPr>
              <w:t>Για Κοινωνικές Συνεταιριστικές Επιχειρήσεις του Ν. 4019/2011 όπως ισχύει: Πράξη σύστασης και εκπροσώπησης σε ισχύ, νομίμως δημοσιευμένα και βεβαίωση εγγραφής στο Μητρώο Κοινωνικής</w:t>
            </w:r>
            <w:r>
              <w:rPr>
                <w:spacing w:val="-9"/>
                <w:sz w:val="22"/>
              </w:rPr>
              <w:t> </w:t>
            </w:r>
            <w:r>
              <w:rPr>
                <w:sz w:val="22"/>
              </w:rPr>
              <w:t>Επιχειρηματικότητας.</w:t>
            </w:r>
          </w:p>
          <w:p>
            <w:pPr>
              <w:pStyle w:val="TableParagraph"/>
              <w:numPr>
                <w:ilvl w:val="0"/>
                <w:numId w:val="78"/>
              </w:numPr>
              <w:tabs>
                <w:tab w:pos="419" w:val="left" w:leader="none"/>
                <w:tab w:pos="420" w:val="left" w:leader="none"/>
              </w:tabs>
              <w:spacing w:line="355" w:lineRule="auto" w:before="3" w:after="0"/>
              <w:ind w:left="419" w:right="106" w:hanging="316"/>
              <w:jc w:val="left"/>
              <w:rPr>
                <w:sz w:val="22"/>
              </w:rPr>
            </w:pPr>
            <w:r>
              <w:rPr>
                <w:sz w:val="22"/>
              </w:rPr>
              <w:t>Για Συνεταιριστικές επιχειρήσεις: Τα απαιτούμενα νομιμοποιητικά έγγραφα σύστασης και εκπροσώπησης που προβλέπονται με βάση το εκάστοτε ισχύον νομοθετικό</w:t>
            </w:r>
            <w:r>
              <w:rPr>
                <w:spacing w:val="-20"/>
                <w:sz w:val="22"/>
              </w:rPr>
              <w:t> </w:t>
            </w:r>
            <w:r>
              <w:rPr>
                <w:sz w:val="22"/>
              </w:rPr>
              <w:t>πλαίσιο.</w:t>
            </w:r>
          </w:p>
          <w:p>
            <w:pPr>
              <w:pStyle w:val="TableParagraph"/>
              <w:rPr>
                <w:b/>
                <w:sz w:val="22"/>
              </w:rPr>
            </w:pPr>
          </w:p>
          <w:p>
            <w:pPr>
              <w:pStyle w:val="TableParagraph"/>
              <w:spacing w:line="360" w:lineRule="auto" w:before="140"/>
              <w:ind w:left="103" w:right="101"/>
              <w:jc w:val="both"/>
              <w:rPr>
                <w:sz w:val="22"/>
              </w:rPr>
            </w:pPr>
            <w:r>
              <w:rPr>
                <w:sz w:val="22"/>
              </w:rPr>
              <w:t>Επισημαίνεται προς τους συμμετέχοντες ότι θα πρέπει να προσκομισθούν τα απαιτούμενα νομιμοποιητικά έγγραφα σύστασης και εκπροσώπησης που προβλέπονται με βάση το εκάστοτε ισχύον νομοθετικό πλαίσιο.</w:t>
            </w:r>
          </w:p>
        </w:tc>
      </w:tr>
      <w:tr>
        <w:trPr>
          <w:trHeight w:val="413" w:hRule="exact"/>
        </w:trPr>
        <w:tc>
          <w:tcPr>
            <w:tcW w:w="675" w:type="dxa"/>
          </w:tcPr>
          <w:p>
            <w:pPr>
              <w:pStyle w:val="TableParagraph"/>
              <w:spacing w:line="266" w:lineRule="exact"/>
              <w:ind w:right="1"/>
              <w:jc w:val="center"/>
              <w:rPr>
                <w:b/>
                <w:sz w:val="22"/>
              </w:rPr>
            </w:pPr>
            <w:r>
              <w:rPr>
                <w:b/>
                <w:w w:val="100"/>
                <w:sz w:val="22"/>
              </w:rPr>
              <w:t>6</w:t>
            </w:r>
          </w:p>
        </w:tc>
        <w:tc>
          <w:tcPr>
            <w:tcW w:w="8862" w:type="dxa"/>
          </w:tcPr>
          <w:p>
            <w:pPr>
              <w:pStyle w:val="TableParagraph"/>
              <w:spacing w:line="266" w:lineRule="exact"/>
              <w:ind w:left="103"/>
              <w:rPr>
                <w:sz w:val="22"/>
              </w:rPr>
            </w:pPr>
            <w:r>
              <w:rPr>
                <w:sz w:val="22"/>
              </w:rPr>
              <w:t>Έγγραφο αρμόδιας αρχής από το οποίο να προκύπτει η τήρηση βιβλίων Β΄ ή Γ΄ κατηγορίας</w:t>
            </w:r>
          </w:p>
        </w:tc>
      </w:tr>
    </w:tbl>
    <w:p>
      <w:pPr>
        <w:spacing w:after="0" w:line="266" w:lineRule="exact"/>
        <w:rPr>
          <w:sz w:val="22"/>
        </w:rPr>
        <w:sectPr>
          <w:headerReference w:type="default" r:id="rId91"/>
          <w:footerReference w:type="default" r:id="rId92"/>
          <w:pgSz w:w="11910" w:h="16840"/>
          <w:pgMar w:header="748" w:footer="734" w:top="1420" w:bottom="920" w:left="860" w:right="1000"/>
          <w:pgNumType w:start="1"/>
        </w:sectPr>
      </w:pPr>
    </w:p>
    <w:p>
      <w:pPr>
        <w:pStyle w:val="BodyText"/>
        <w:spacing w:before="10"/>
        <w:rPr>
          <w:rFonts w:ascii="Times New Roman"/>
          <w:sz w:val="2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8862"/>
      </w:tblGrid>
      <w:tr>
        <w:trPr>
          <w:trHeight w:val="1291" w:hRule="exact"/>
        </w:trPr>
        <w:tc>
          <w:tcPr>
            <w:tcW w:w="675" w:type="dxa"/>
          </w:tcPr>
          <w:p>
            <w:pPr>
              <w:pStyle w:val="TableParagraph"/>
              <w:rPr>
                <w:rFonts w:ascii="Times New Roman"/>
                <w:sz w:val="22"/>
              </w:rPr>
            </w:pPr>
          </w:p>
          <w:p>
            <w:pPr>
              <w:pStyle w:val="TableParagraph"/>
              <w:spacing w:before="183"/>
              <w:ind w:left="132" w:right="132"/>
              <w:jc w:val="center"/>
              <w:rPr>
                <w:b/>
                <w:sz w:val="22"/>
              </w:rPr>
            </w:pPr>
            <w:r>
              <w:rPr>
                <w:b/>
                <w:sz w:val="22"/>
              </w:rPr>
              <w:t>Α/Α</w:t>
            </w:r>
          </w:p>
        </w:tc>
        <w:tc>
          <w:tcPr>
            <w:tcW w:w="8862" w:type="dxa"/>
          </w:tcPr>
          <w:p>
            <w:pPr>
              <w:pStyle w:val="TableParagraph"/>
              <w:spacing w:before="49"/>
              <w:ind w:left="535" w:right="535"/>
              <w:jc w:val="center"/>
              <w:rPr>
                <w:b/>
                <w:sz w:val="22"/>
              </w:rPr>
            </w:pPr>
            <w:r>
              <w:rPr>
                <w:b/>
                <w:sz w:val="22"/>
              </w:rPr>
              <w:t>ΑΠΑΙΤΟΥΜΕΝΑ ΔΙΚΑΙΟΛΟΓΗΤΙΚΑ ΣΥΜΜΕΤΟΧΗΣ</w:t>
            </w:r>
          </w:p>
          <w:p>
            <w:pPr>
              <w:pStyle w:val="TableParagraph"/>
              <w:spacing w:line="285" w:lineRule="auto" w:before="53"/>
              <w:ind w:left="143" w:right="145" w:firstLine="2"/>
              <w:jc w:val="center"/>
              <w:rPr>
                <w:b/>
                <w:sz w:val="22"/>
              </w:rPr>
            </w:pPr>
            <w:r>
              <w:rPr>
                <w:b/>
                <w:sz w:val="22"/>
              </w:rPr>
              <w:t>Αναρτώνται και Προσκομίζονται σύμφωνα με τα αναφερόμενα στην Πρόσκληση, με αντίγραφο της Αίτησης (Ι.1) από το ΠΣΚΕ, όπως εκτυπώνεται μετά την ηλεκτρονική υποβολή.</w:t>
            </w:r>
          </w:p>
          <w:p>
            <w:pPr>
              <w:pStyle w:val="TableParagraph"/>
              <w:spacing w:line="268" w:lineRule="exact"/>
              <w:ind w:left="535" w:right="536"/>
              <w:jc w:val="center"/>
              <w:rPr>
                <w:b/>
                <w:sz w:val="22"/>
              </w:rPr>
            </w:pPr>
            <w:r>
              <w:rPr>
                <w:b/>
                <w:sz w:val="22"/>
              </w:rPr>
              <w:t>Το αντίγραφο της αίτησης υπογράφεται από το νόμιμο εκπρόσωπο της επιχείρησης</w:t>
            </w:r>
          </w:p>
        </w:tc>
      </w:tr>
      <w:tr>
        <w:trPr>
          <w:trHeight w:val="1217" w:hRule="exact"/>
        </w:trPr>
        <w:tc>
          <w:tcPr>
            <w:tcW w:w="675" w:type="dxa"/>
          </w:tcPr>
          <w:p>
            <w:pPr>
              <w:pStyle w:val="TableParagraph"/>
              <w:rPr>
                <w:rFonts w:ascii="Times New Roman"/>
                <w:sz w:val="22"/>
              </w:rPr>
            </w:pPr>
          </w:p>
          <w:p>
            <w:pPr>
              <w:pStyle w:val="TableParagraph"/>
              <w:spacing w:before="147"/>
              <w:ind w:right="1"/>
              <w:jc w:val="center"/>
              <w:rPr>
                <w:b/>
                <w:sz w:val="22"/>
              </w:rPr>
            </w:pPr>
            <w:r>
              <w:rPr>
                <w:b/>
                <w:w w:val="100"/>
                <w:sz w:val="22"/>
              </w:rPr>
              <w:t>7</w:t>
            </w:r>
          </w:p>
        </w:tc>
        <w:tc>
          <w:tcPr>
            <w:tcW w:w="8862" w:type="dxa"/>
          </w:tcPr>
          <w:p>
            <w:pPr>
              <w:pStyle w:val="TableParagraph"/>
              <w:spacing w:line="360" w:lineRule="auto"/>
              <w:ind w:left="103" w:right="105"/>
              <w:jc w:val="both"/>
              <w:rPr>
                <w:sz w:val="22"/>
              </w:rPr>
            </w:pPr>
            <w:r>
              <w:rPr>
                <w:sz w:val="22"/>
              </w:rPr>
              <w:t>Έγγραφο αρμόδιας αρχής από το οποίο να προκύπτει η έδρα της επιχείρησης, καθώς και ο τόπος των λοιπών εγκαταστάσεων της επιχείρησης (π.χ. εργοστάσιο, υποκατάστημα), σε περίπτωση που υπάρχουν.</w:t>
            </w:r>
          </w:p>
        </w:tc>
      </w:tr>
      <w:tr>
        <w:trPr>
          <w:trHeight w:val="1623" w:hRule="exact"/>
        </w:trPr>
        <w:tc>
          <w:tcPr>
            <w:tcW w:w="675" w:type="dxa"/>
          </w:tcPr>
          <w:p>
            <w:pPr>
              <w:pStyle w:val="TableParagraph"/>
              <w:rPr>
                <w:rFonts w:ascii="Times New Roman"/>
                <w:sz w:val="22"/>
              </w:rPr>
            </w:pPr>
          </w:p>
          <w:p>
            <w:pPr>
              <w:pStyle w:val="TableParagraph"/>
              <w:spacing w:before="4"/>
              <w:rPr>
                <w:rFonts w:ascii="Times New Roman"/>
                <w:sz w:val="30"/>
              </w:rPr>
            </w:pPr>
          </w:p>
          <w:p>
            <w:pPr>
              <w:pStyle w:val="TableParagraph"/>
              <w:ind w:right="1"/>
              <w:jc w:val="center"/>
              <w:rPr>
                <w:b/>
                <w:sz w:val="22"/>
              </w:rPr>
            </w:pPr>
            <w:r>
              <w:rPr>
                <w:b/>
                <w:w w:val="100"/>
                <w:sz w:val="22"/>
              </w:rPr>
              <w:t>8</w:t>
            </w:r>
          </w:p>
        </w:tc>
        <w:tc>
          <w:tcPr>
            <w:tcW w:w="8862" w:type="dxa"/>
          </w:tcPr>
          <w:p>
            <w:pPr>
              <w:pStyle w:val="TableParagraph"/>
              <w:spacing w:line="360" w:lineRule="auto"/>
              <w:ind w:left="103" w:right="503"/>
              <w:rPr>
                <w:sz w:val="22"/>
              </w:rPr>
            </w:pPr>
            <w:r>
              <w:rPr>
                <w:sz w:val="22"/>
              </w:rPr>
              <w:t>Άδεια λειτουργίας σε ισχύ ή αίτηση για έκδοση ή ανανέωση άδειας λειτουργίας ή βεβαίωση της αρμόδιας υπηρεσίας περί συνδρομής νόμιμων προϋποθέσεων λειτουργίας ή</w:t>
            </w:r>
          </w:p>
          <w:p>
            <w:pPr>
              <w:pStyle w:val="TableParagraph"/>
              <w:spacing w:line="360" w:lineRule="auto" w:before="1"/>
              <w:ind w:left="103"/>
              <w:rPr>
                <w:sz w:val="22"/>
              </w:rPr>
            </w:pPr>
            <w:r>
              <w:rPr>
                <w:sz w:val="22"/>
              </w:rPr>
              <w:t>σε περίπτωση που δεν απαιτείται άδεια λειτουργίας Υπεύθυνη Δήλωση του νόμιμου εκπροσώπου ότι δεν απαιτείται άδεια λειτουργίας με αναφορά στις σχετικές διατάξεις.</w:t>
            </w:r>
          </w:p>
        </w:tc>
      </w:tr>
      <w:tr>
        <w:trPr>
          <w:trHeight w:val="1219" w:hRule="exact"/>
        </w:trPr>
        <w:tc>
          <w:tcPr>
            <w:tcW w:w="675" w:type="dxa"/>
          </w:tcPr>
          <w:p>
            <w:pPr>
              <w:pStyle w:val="TableParagraph"/>
              <w:rPr>
                <w:rFonts w:ascii="Times New Roman"/>
                <w:sz w:val="22"/>
              </w:rPr>
            </w:pPr>
          </w:p>
          <w:p>
            <w:pPr>
              <w:pStyle w:val="TableParagraph"/>
              <w:spacing w:before="147"/>
              <w:ind w:right="1"/>
              <w:jc w:val="center"/>
              <w:rPr>
                <w:b/>
                <w:sz w:val="22"/>
              </w:rPr>
            </w:pPr>
            <w:r>
              <w:rPr>
                <w:b/>
                <w:w w:val="100"/>
                <w:sz w:val="22"/>
              </w:rPr>
              <w:t>9</w:t>
            </w:r>
          </w:p>
        </w:tc>
        <w:tc>
          <w:tcPr>
            <w:tcW w:w="8862" w:type="dxa"/>
          </w:tcPr>
          <w:p>
            <w:pPr>
              <w:pStyle w:val="TableParagraph"/>
              <w:spacing w:line="360" w:lineRule="auto"/>
              <w:ind w:left="103" w:right="100"/>
              <w:jc w:val="both"/>
              <w:rPr>
                <w:sz w:val="22"/>
              </w:rPr>
            </w:pPr>
            <w:r>
              <w:rPr>
                <w:sz w:val="22"/>
              </w:rPr>
              <w:t>Φορολογική ενημερότητα ή βεβαίωση παρακράτησης (απόδοσης) φόρων και βεβαίωση οφειλών της επιχείρησης από την οποία να προκύπτει ότι δεν είναι υπόχρεη σε ανάκτηση παράνομης κρατικής ενίσχυσης κατόπιν προηγούμενης αποφάσεως της Επιτροπής.</w:t>
            </w:r>
          </w:p>
        </w:tc>
      </w:tr>
      <w:tr>
        <w:trPr>
          <w:trHeight w:val="1217" w:hRule="exact"/>
        </w:trPr>
        <w:tc>
          <w:tcPr>
            <w:tcW w:w="675" w:type="dxa"/>
          </w:tcPr>
          <w:p>
            <w:pPr>
              <w:pStyle w:val="TableParagraph"/>
              <w:rPr>
                <w:rFonts w:ascii="Times New Roman"/>
                <w:sz w:val="22"/>
              </w:rPr>
            </w:pPr>
          </w:p>
          <w:p>
            <w:pPr>
              <w:pStyle w:val="TableParagraph"/>
              <w:spacing w:before="147"/>
              <w:ind w:left="132" w:right="131"/>
              <w:jc w:val="center"/>
              <w:rPr>
                <w:b/>
                <w:sz w:val="22"/>
              </w:rPr>
            </w:pPr>
            <w:r>
              <w:rPr>
                <w:b/>
                <w:sz w:val="22"/>
              </w:rPr>
              <w:t>10</w:t>
            </w:r>
          </w:p>
        </w:tc>
        <w:tc>
          <w:tcPr>
            <w:tcW w:w="8862" w:type="dxa"/>
          </w:tcPr>
          <w:p>
            <w:pPr>
              <w:pStyle w:val="TableParagraph"/>
              <w:spacing w:line="360" w:lineRule="auto"/>
              <w:ind w:left="103" w:right="104"/>
              <w:jc w:val="both"/>
              <w:rPr>
                <w:sz w:val="22"/>
              </w:rPr>
            </w:pPr>
            <w:r>
              <w:rPr>
                <w:sz w:val="22"/>
              </w:rPr>
              <w:t>Πιστοποιητικά αρμόδιας δικαστικής ή διοικητικής αρχής (έκδοσης τελευταίου εξαμήνου) από  τα οποία να προκύπτει ότι η επιχείρηση δεν τελεί υπό πτώχευση, εκκαθάριση ή αναγκαστική διαχείριση.</w:t>
            </w:r>
          </w:p>
        </w:tc>
      </w:tr>
      <w:tr>
        <w:trPr>
          <w:trHeight w:val="2830"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94"/>
              <w:ind w:left="132" w:right="131"/>
              <w:jc w:val="center"/>
              <w:rPr>
                <w:b/>
                <w:sz w:val="22"/>
              </w:rPr>
            </w:pPr>
            <w:r>
              <w:rPr>
                <w:b/>
                <w:sz w:val="22"/>
              </w:rPr>
              <w:t>11</w:t>
            </w:r>
          </w:p>
        </w:tc>
        <w:tc>
          <w:tcPr>
            <w:tcW w:w="8862" w:type="dxa"/>
          </w:tcPr>
          <w:p>
            <w:pPr>
              <w:pStyle w:val="TableParagraph"/>
              <w:spacing w:line="360" w:lineRule="auto"/>
              <w:ind w:left="103" w:right="100"/>
              <w:jc w:val="both"/>
              <w:rPr>
                <w:sz w:val="22"/>
              </w:rPr>
            </w:pPr>
            <w:r>
              <w:rPr>
                <w:sz w:val="22"/>
              </w:rPr>
              <w:t>Στις περιπτώσεις συνδεδεμένων ή/και συνεργαζόμενων επιχειρήσεων, σύμφωνα με τον ορισμό των ΜΜΕ, θα προσκομίζονται τα φορολογικά στοιχεία (Ε1, Ε3, Ε5, Ε4, ισολογισμοί) και τα κατά περίπτωση απαιτούμενα δικαιολογητικά σχετικά με την εταιρική / μετοχική σύνθεση, νόμιμη εκπροσώπηση και διαχείριση και το σύνολο των εργαζομένων για το σύνολο των επιχειρήσεων που είναι συνεργαζόμενες ή/και συνδεδεμένες με την επιχείρηση που υπέβαλε το επιχειρηματικό σχέδιο – πρόταση για χρηματοδότηση στην παρούσα προκήρυξη, μαζί με την σχετική Υπεύθυνη Δήλωση που προβλέπεται στο Παράρτημα V της παρούσας.</w:t>
            </w:r>
          </w:p>
        </w:tc>
      </w:tr>
      <w:tr>
        <w:trPr>
          <w:trHeight w:val="4076"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7"/>
              </w:rPr>
            </w:pPr>
          </w:p>
          <w:p>
            <w:pPr>
              <w:pStyle w:val="TableParagraph"/>
              <w:ind w:left="132" w:right="131"/>
              <w:jc w:val="center"/>
              <w:rPr>
                <w:sz w:val="22"/>
              </w:rPr>
            </w:pPr>
            <w:r>
              <w:rPr>
                <w:sz w:val="22"/>
              </w:rPr>
              <w:t>12</w:t>
            </w:r>
          </w:p>
        </w:tc>
        <w:tc>
          <w:tcPr>
            <w:tcW w:w="8862" w:type="dxa"/>
          </w:tcPr>
          <w:p>
            <w:pPr>
              <w:pStyle w:val="TableParagraph"/>
              <w:spacing w:line="268" w:lineRule="exact"/>
              <w:ind w:left="103"/>
              <w:rPr>
                <w:sz w:val="22"/>
              </w:rPr>
            </w:pPr>
            <w:r>
              <w:rPr>
                <w:sz w:val="22"/>
              </w:rPr>
              <w:t>Ιδιοκτησιακό καθεστώς εδαφικής έκτασης – κτιριακής εγκατάστασης του επενδυτικού σχεδίου:</w:t>
            </w:r>
          </w:p>
          <w:p>
            <w:pPr>
              <w:pStyle w:val="TableParagraph"/>
              <w:numPr>
                <w:ilvl w:val="0"/>
                <w:numId w:val="79"/>
              </w:numPr>
              <w:tabs>
                <w:tab w:pos="824" w:val="left" w:leader="none"/>
              </w:tabs>
              <w:spacing w:line="355" w:lineRule="auto" w:before="133" w:after="0"/>
              <w:ind w:left="823" w:right="98" w:hanging="360"/>
              <w:jc w:val="both"/>
              <w:rPr>
                <w:sz w:val="22"/>
              </w:rPr>
            </w:pPr>
            <w:r>
              <w:rPr>
                <w:sz w:val="22"/>
              </w:rPr>
              <w:t>Τίτλος ιδιοκτησίας ακινήτου ή/και εγγραφής στο Εθνικό Κτηματολόγιο (σε περίπτωση που υπάρχει κατά την υποβολή της αίτησης</w:t>
            </w:r>
            <w:r>
              <w:rPr>
                <w:spacing w:val="-19"/>
                <w:sz w:val="22"/>
              </w:rPr>
              <w:t> </w:t>
            </w:r>
            <w:r>
              <w:rPr>
                <w:sz w:val="22"/>
              </w:rPr>
              <w:t>χρηματοδότησης)</w:t>
            </w:r>
          </w:p>
          <w:p>
            <w:pPr>
              <w:pStyle w:val="TableParagraph"/>
              <w:numPr>
                <w:ilvl w:val="0"/>
                <w:numId w:val="79"/>
              </w:numPr>
              <w:tabs>
                <w:tab w:pos="824" w:val="left" w:leader="none"/>
              </w:tabs>
              <w:spacing w:line="357" w:lineRule="auto" w:before="6" w:after="0"/>
              <w:ind w:left="823" w:right="98" w:hanging="360"/>
              <w:jc w:val="both"/>
              <w:rPr>
                <w:sz w:val="22"/>
              </w:rPr>
            </w:pPr>
            <w:r>
              <w:rPr>
                <w:sz w:val="22"/>
              </w:rPr>
              <w:t>Μισθωτήριο συμβόλαιο ή παραχωρητήριο ή νόμιμη σύσταση επικαρπίας επί του ακινήτου ή αντίστοιχο προσύμφωνο χρήσης ακινήτου υποβεβλημένο στο δικτυακό τόπο </w:t>
            </w:r>
            <w:hyperlink r:id="rId93">
              <w:r>
                <w:rPr>
                  <w:color w:val="0000FF"/>
                  <w:sz w:val="22"/>
                  <w:u w:val="single" w:color="0000FF"/>
                </w:rPr>
                <w:t>www.gsis.gr</w:t>
              </w:r>
              <w:r>
                <w:rPr>
                  <w:sz w:val="22"/>
                </w:rPr>
                <w:t>,</w:t>
              </w:r>
            </w:hyperlink>
            <w:r>
              <w:rPr>
                <w:sz w:val="22"/>
              </w:rPr>
              <w:t> με χρονικό διάστημα ισχύος τουλάχιστον οκτώ (8) έτη από την ημερομηνία έκδοσης της Απόφασης Ένταξης της επένδυσης (σε περίπτωση που  υπάρχει κατά την υποβολή της αίτησης</w:t>
            </w:r>
            <w:r>
              <w:rPr>
                <w:spacing w:val="-12"/>
                <w:sz w:val="22"/>
              </w:rPr>
              <w:t> </w:t>
            </w:r>
            <w:r>
              <w:rPr>
                <w:sz w:val="22"/>
              </w:rPr>
              <w:t>χρηματοδότησης).</w:t>
            </w:r>
          </w:p>
          <w:p>
            <w:pPr>
              <w:pStyle w:val="TableParagraph"/>
              <w:numPr>
                <w:ilvl w:val="0"/>
                <w:numId w:val="79"/>
              </w:numPr>
              <w:tabs>
                <w:tab w:pos="824" w:val="left" w:leader="none"/>
              </w:tabs>
              <w:spacing w:line="355" w:lineRule="auto" w:before="3" w:after="0"/>
              <w:ind w:left="823" w:right="99" w:hanging="360"/>
              <w:jc w:val="both"/>
              <w:rPr>
                <w:sz w:val="22"/>
              </w:rPr>
            </w:pPr>
            <w:r>
              <w:rPr>
                <w:sz w:val="22"/>
              </w:rPr>
              <w:t>Συμφωνητικό απόκτησης εδαφικής έκτασης ή/και υφιστάμενων εγκαταστάσεων (σε περίπτωση που υπάρχει κατά την υποβολή της αίτησης</w:t>
            </w:r>
            <w:r>
              <w:rPr>
                <w:spacing w:val="-18"/>
                <w:sz w:val="22"/>
              </w:rPr>
              <w:t> </w:t>
            </w:r>
            <w:r>
              <w:rPr>
                <w:sz w:val="22"/>
              </w:rPr>
              <w:t>χρηματοδότησης)</w:t>
            </w:r>
          </w:p>
        </w:tc>
      </w:tr>
    </w:tbl>
    <w:p>
      <w:pPr>
        <w:spacing w:after="0" w:line="355" w:lineRule="auto"/>
        <w:jc w:val="both"/>
        <w:rPr>
          <w:sz w:val="22"/>
        </w:rPr>
        <w:sectPr>
          <w:pgSz w:w="11910" w:h="16840"/>
          <w:pgMar w:header="748" w:footer="734" w:top="1420" w:bottom="920" w:left="860" w:right="1000"/>
        </w:sectPr>
      </w:pPr>
    </w:p>
    <w:p>
      <w:pPr>
        <w:pStyle w:val="BodyText"/>
        <w:spacing w:before="10"/>
        <w:rPr>
          <w:rFonts w:ascii="Times New Roman"/>
          <w:sz w:val="2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8862"/>
      </w:tblGrid>
      <w:tr>
        <w:trPr>
          <w:trHeight w:val="1291" w:hRule="exact"/>
        </w:trPr>
        <w:tc>
          <w:tcPr>
            <w:tcW w:w="675" w:type="dxa"/>
          </w:tcPr>
          <w:p>
            <w:pPr>
              <w:pStyle w:val="TableParagraph"/>
              <w:rPr>
                <w:rFonts w:ascii="Times New Roman"/>
                <w:sz w:val="22"/>
              </w:rPr>
            </w:pPr>
          </w:p>
          <w:p>
            <w:pPr>
              <w:pStyle w:val="TableParagraph"/>
              <w:spacing w:before="183"/>
              <w:ind w:left="132" w:right="132"/>
              <w:jc w:val="center"/>
              <w:rPr>
                <w:b/>
                <w:sz w:val="22"/>
              </w:rPr>
            </w:pPr>
            <w:r>
              <w:rPr>
                <w:b/>
                <w:sz w:val="22"/>
              </w:rPr>
              <w:t>Α/Α</w:t>
            </w:r>
          </w:p>
        </w:tc>
        <w:tc>
          <w:tcPr>
            <w:tcW w:w="8862" w:type="dxa"/>
          </w:tcPr>
          <w:p>
            <w:pPr>
              <w:pStyle w:val="TableParagraph"/>
              <w:spacing w:before="49"/>
              <w:ind w:left="535" w:right="535"/>
              <w:jc w:val="center"/>
              <w:rPr>
                <w:b/>
                <w:sz w:val="22"/>
              </w:rPr>
            </w:pPr>
            <w:r>
              <w:rPr>
                <w:b/>
                <w:sz w:val="22"/>
              </w:rPr>
              <w:t>ΑΠΑΙΤΟΥΜΕΝΑ ΔΙΚΑΙΟΛΟΓΗΤΙΚΑ ΣΥΜΜΕΤΟΧΗΣ</w:t>
            </w:r>
          </w:p>
          <w:p>
            <w:pPr>
              <w:pStyle w:val="TableParagraph"/>
              <w:spacing w:line="285" w:lineRule="auto" w:before="53"/>
              <w:ind w:left="143" w:right="145" w:firstLine="2"/>
              <w:jc w:val="center"/>
              <w:rPr>
                <w:b/>
                <w:sz w:val="22"/>
              </w:rPr>
            </w:pPr>
            <w:r>
              <w:rPr>
                <w:b/>
                <w:sz w:val="22"/>
              </w:rPr>
              <w:t>Αναρτώνται και Προσκομίζονται σύμφωνα με τα αναφερόμενα στην Πρόσκληση, με αντίγραφο της Αίτησης (Ι.1) από το ΠΣΚΕ, όπως εκτυπώνεται μετά την ηλεκτρονική υποβολή.</w:t>
            </w:r>
          </w:p>
          <w:p>
            <w:pPr>
              <w:pStyle w:val="TableParagraph"/>
              <w:spacing w:line="268" w:lineRule="exact"/>
              <w:ind w:left="535" w:right="536"/>
              <w:jc w:val="center"/>
              <w:rPr>
                <w:b/>
                <w:sz w:val="22"/>
              </w:rPr>
            </w:pPr>
            <w:r>
              <w:rPr>
                <w:b/>
                <w:sz w:val="22"/>
              </w:rPr>
              <w:t>Το αντίγραφο της αίτησης υπογράφεται από το νόμιμο εκπρόσωπο της επιχείρησης</w:t>
            </w:r>
          </w:p>
        </w:tc>
      </w:tr>
      <w:tr>
        <w:trPr>
          <w:trHeight w:val="814" w:hRule="exact"/>
        </w:trPr>
        <w:tc>
          <w:tcPr>
            <w:tcW w:w="675" w:type="dxa"/>
          </w:tcPr>
          <w:p>
            <w:pPr>
              <w:pStyle w:val="TableParagraph"/>
              <w:spacing w:before="3"/>
              <w:rPr>
                <w:rFonts w:ascii="Times New Roman"/>
                <w:sz w:val="17"/>
              </w:rPr>
            </w:pPr>
          </w:p>
          <w:p>
            <w:pPr>
              <w:pStyle w:val="TableParagraph"/>
              <w:ind w:left="132" w:right="131"/>
              <w:jc w:val="center"/>
              <w:rPr>
                <w:sz w:val="22"/>
              </w:rPr>
            </w:pPr>
            <w:r>
              <w:rPr>
                <w:sz w:val="22"/>
              </w:rPr>
              <w:t>13</w:t>
            </w:r>
          </w:p>
        </w:tc>
        <w:tc>
          <w:tcPr>
            <w:tcW w:w="8862" w:type="dxa"/>
          </w:tcPr>
          <w:p>
            <w:pPr>
              <w:pStyle w:val="TableParagraph"/>
              <w:tabs>
                <w:tab w:pos="4101" w:val="left" w:leader="none"/>
              </w:tabs>
              <w:spacing w:line="360" w:lineRule="auto"/>
              <w:ind w:left="103" w:right="106"/>
              <w:rPr>
                <w:sz w:val="22"/>
              </w:rPr>
            </w:pPr>
            <w:r>
              <w:rPr>
                <w:sz w:val="22"/>
              </w:rPr>
              <w:t>Αναλυτικές  τεχνικές </w:t>
            </w:r>
            <w:r>
              <w:rPr>
                <w:spacing w:val="38"/>
                <w:sz w:val="22"/>
              </w:rPr>
              <w:t> </w:t>
            </w:r>
            <w:r>
              <w:rPr>
                <w:sz w:val="22"/>
              </w:rPr>
              <w:t>προδιαγραφές </w:t>
            </w:r>
            <w:r>
              <w:rPr>
                <w:spacing w:val="22"/>
                <w:sz w:val="22"/>
              </w:rPr>
              <w:t> </w:t>
            </w:r>
            <w:r>
              <w:rPr>
                <w:sz w:val="22"/>
              </w:rPr>
              <w:t>των</w:t>
              <w:tab/>
              <w:t>μηχανημάτων/εξοπλισμού  σε  περίπτωση  </w:t>
            </w:r>
            <w:r>
              <w:rPr>
                <w:spacing w:val="5"/>
                <w:sz w:val="22"/>
              </w:rPr>
              <w:t> </w:t>
            </w:r>
            <w:r>
              <w:rPr>
                <w:sz w:val="22"/>
              </w:rPr>
              <w:t>που </w:t>
            </w:r>
            <w:r>
              <w:rPr>
                <w:spacing w:val="18"/>
                <w:sz w:val="22"/>
              </w:rPr>
              <w:t> </w:t>
            </w:r>
            <w:r>
              <w:rPr>
                <w:sz w:val="22"/>
              </w:rPr>
              <w:t>το</w:t>
            </w:r>
            <w:r>
              <w:rPr>
                <w:w w:val="100"/>
                <w:sz w:val="22"/>
              </w:rPr>
              <w:t> </w:t>
            </w:r>
            <w:r>
              <w:rPr>
                <w:sz w:val="22"/>
              </w:rPr>
              <w:t>επενδυτικό σχέδιο προβλέπει την αγορά/ απόκτηση μηχανημάτων –</w:t>
            </w:r>
            <w:r>
              <w:rPr>
                <w:spacing w:val="-16"/>
                <w:sz w:val="22"/>
              </w:rPr>
              <w:t> </w:t>
            </w:r>
            <w:r>
              <w:rPr>
                <w:sz w:val="22"/>
              </w:rPr>
              <w:t>εξοπλισμού.</w:t>
            </w:r>
          </w:p>
        </w:tc>
      </w:tr>
      <w:tr>
        <w:trPr>
          <w:trHeight w:val="816" w:hRule="exact"/>
        </w:trPr>
        <w:tc>
          <w:tcPr>
            <w:tcW w:w="675" w:type="dxa"/>
          </w:tcPr>
          <w:p>
            <w:pPr>
              <w:pStyle w:val="TableParagraph"/>
              <w:spacing w:before="5"/>
              <w:rPr>
                <w:rFonts w:ascii="Times New Roman"/>
                <w:sz w:val="17"/>
              </w:rPr>
            </w:pPr>
          </w:p>
          <w:p>
            <w:pPr>
              <w:pStyle w:val="TableParagraph"/>
              <w:ind w:left="132" w:right="131"/>
              <w:jc w:val="center"/>
              <w:rPr>
                <w:sz w:val="22"/>
              </w:rPr>
            </w:pPr>
            <w:r>
              <w:rPr>
                <w:sz w:val="22"/>
              </w:rPr>
              <w:t>14</w:t>
            </w:r>
          </w:p>
        </w:tc>
        <w:tc>
          <w:tcPr>
            <w:tcW w:w="8862" w:type="dxa"/>
          </w:tcPr>
          <w:p>
            <w:pPr>
              <w:pStyle w:val="TableParagraph"/>
              <w:spacing w:line="357" w:lineRule="auto"/>
              <w:ind w:left="103"/>
              <w:rPr>
                <w:sz w:val="22"/>
              </w:rPr>
            </w:pPr>
            <w:r>
              <w:rPr>
                <w:sz w:val="22"/>
              </w:rPr>
              <w:t>Τεχνικές Προσφορές και Οικονομικές Προσφορές/Προτιμολόγια κ.α. με αναλυτική περιγραφή δαπανών ανά είδος και τιμή μονάδος.</w:t>
            </w:r>
          </w:p>
        </w:tc>
      </w:tr>
      <w:tr>
        <w:trPr>
          <w:trHeight w:val="4847"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91"/>
              <w:ind w:left="132" w:right="131"/>
              <w:jc w:val="center"/>
              <w:rPr>
                <w:b/>
                <w:sz w:val="22"/>
              </w:rPr>
            </w:pPr>
            <w:r>
              <w:rPr>
                <w:b/>
                <w:sz w:val="22"/>
              </w:rPr>
              <w:t>15</w:t>
            </w:r>
          </w:p>
        </w:tc>
        <w:tc>
          <w:tcPr>
            <w:tcW w:w="8862" w:type="dxa"/>
          </w:tcPr>
          <w:p>
            <w:pPr>
              <w:pStyle w:val="TableParagraph"/>
              <w:spacing w:line="265" w:lineRule="exact"/>
              <w:ind w:left="103"/>
              <w:rPr>
                <w:sz w:val="22"/>
              </w:rPr>
            </w:pPr>
            <w:r>
              <w:rPr>
                <w:sz w:val="22"/>
              </w:rPr>
              <w:t>Για την τεκμηρίωση της κερδοφορίας της επιχείρησης:</w:t>
            </w:r>
          </w:p>
          <w:p>
            <w:pPr>
              <w:pStyle w:val="TableParagraph"/>
              <w:spacing w:line="360" w:lineRule="auto" w:before="135"/>
              <w:ind w:left="103"/>
              <w:rPr>
                <w:sz w:val="22"/>
              </w:rPr>
            </w:pPr>
            <w:r>
              <w:rPr>
                <w:sz w:val="22"/>
              </w:rPr>
              <w:t>Οικονομικά στοιχεία του δυνητικά δικαιούχου ανάλογα με την κατηγορία βιβλίων που τηρεί: </w:t>
            </w:r>
            <w:r>
              <w:rPr>
                <w:sz w:val="22"/>
                <w:u w:val="single"/>
              </w:rPr>
              <w:t>Επιχειρήσεις με τήρηση βιβλίων Β΄ κατηγορίας : </w:t>
            </w:r>
            <w:r>
              <w:rPr>
                <w:sz w:val="22"/>
              </w:rPr>
              <w:t>Αντίγραφα Ε3 με ηλεκτρονική υποβολή ή παραλαβή από την αρμόδια Δ.Ο.Υ. για τις κλεισμένες διαχειριστικές χρήσεις των τριών τελευταίων ετών. Για τις επιχειρήσεις που έχουν κλείσει λιγότερες διαχειριστικές χρήσεις η υποχρέωση υποβολής προσαρμόζεται ανάλογα.</w:t>
            </w:r>
          </w:p>
          <w:p>
            <w:pPr>
              <w:pStyle w:val="TableParagraph"/>
              <w:spacing w:line="360" w:lineRule="auto"/>
              <w:ind w:left="103" w:right="99"/>
              <w:jc w:val="both"/>
              <w:rPr>
                <w:sz w:val="22"/>
              </w:rPr>
            </w:pPr>
            <w:r>
              <w:rPr>
                <w:sz w:val="22"/>
                <w:u w:val="single"/>
              </w:rPr>
              <w:t>Επιχειρήσεις με τήρηση βιβλίων Γ΄ κατηγορίας : </w:t>
            </w:r>
            <w:r>
              <w:rPr>
                <w:sz w:val="22"/>
              </w:rPr>
              <w:t>Ισολογισμοί – αποτελέσματα χρήσης, φορολογικές δηλώσεις και αναλυτικά στοιχεία φορολογίας (Ε3) για τις κλεισμένες διαχειριστικές χρήσεις των τριών τελευταίων ετών. Για αυτές που έχουν κλείσει λιγότερες διαχειριστικές χρήσεις η υποχρέωση υποβολής προσαρμόζεται ανάλογα.</w:t>
            </w:r>
          </w:p>
          <w:p>
            <w:pPr>
              <w:pStyle w:val="TableParagraph"/>
              <w:spacing w:line="360" w:lineRule="auto"/>
              <w:ind w:left="103"/>
              <w:rPr>
                <w:sz w:val="22"/>
              </w:rPr>
            </w:pPr>
            <w:r>
              <w:rPr>
                <w:sz w:val="22"/>
              </w:rPr>
              <w:t>Για την τελευταία διαχειριστική χρήση στην περίπτωση που δεν έχει δημοσιευτεί ο ισολογισμός προσκομίζεται Ισοζύγιο Τριτοβάθμιου Γενικού Καθολικού.</w:t>
            </w:r>
          </w:p>
        </w:tc>
      </w:tr>
      <w:tr>
        <w:trPr>
          <w:trHeight w:val="1217" w:hRule="exact"/>
        </w:trPr>
        <w:tc>
          <w:tcPr>
            <w:tcW w:w="675" w:type="dxa"/>
          </w:tcPr>
          <w:p>
            <w:pPr>
              <w:pStyle w:val="TableParagraph"/>
              <w:rPr>
                <w:rFonts w:ascii="Times New Roman"/>
                <w:sz w:val="22"/>
              </w:rPr>
            </w:pPr>
          </w:p>
          <w:p>
            <w:pPr>
              <w:pStyle w:val="TableParagraph"/>
              <w:spacing w:before="147"/>
              <w:ind w:left="132" w:right="131"/>
              <w:jc w:val="center"/>
              <w:rPr>
                <w:b/>
                <w:sz w:val="22"/>
              </w:rPr>
            </w:pPr>
            <w:r>
              <w:rPr>
                <w:b/>
                <w:sz w:val="22"/>
              </w:rPr>
              <w:t>16</w:t>
            </w:r>
          </w:p>
        </w:tc>
        <w:tc>
          <w:tcPr>
            <w:tcW w:w="8862" w:type="dxa"/>
          </w:tcPr>
          <w:p>
            <w:pPr>
              <w:pStyle w:val="TableParagraph"/>
              <w:spacing w:line="265" w:lineRule="exact"/>
              <w:ind w:left="103"/>
              <w:rPr>
                <w:sz w:val="22"/>
              </w:rPr>
            </w:pPr>
            <w:r>
              <w:rPr>
                <w:sz w:val="22"/>
              </w:rPr>
              <w:t>Για την τεκμηρίωση του αριθμού των απασχολουμένων</w:t>
            </w:r>
          </w:p>
          <w:p>
            <w:pPr>
              <w:pStyle w:val="TableParagraph"/>
              <w:spacing w:line="357" w:lineRule="auto" w:before="134"/>
              <w:ind w:left="103" w:right="503"/>
              <w:rPr>
                <w:sz w:val="22"/>
              </w:rPr>
            </w:pPr>
            <w:r>
              <w:rPr>
                <w:sz w:val="22"/>
              </w:rPr>
              <w:t>Καταστάσεις Επιθεώρησης Εργασίας (πίνακας προσωπικού), Ε4 και ΑΠΔ (αποδεικτικό κατάθεσης και ανάλυση) / Ε4 για τα έτη 2016 - 2018 ή για όσα έτη υφίσταται η επιχείρηση.</w:t>
            </w:r>
          </w:p>
        </w:tc>
      </w:tr>
      <w:tr>
        <w:trPr>
          <w:trHeight w:val="4040"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25"/>
              </w:rPr>
            </w:pPr>
          </w:p>
          <w:p>
            <w:pPr>
              <w:pStyle w:val="TableParagraph"/>
              <w:ind w:left="132" w:right="131"/>
              <w:jc w:val="center"/>
              <w:rPr>
                <w:sz w:val="22"/>
              </w:rPr>
            </w:pPr>
            <w:r>
              <w:rPr>
                <w:sz w:val="22"/>
              </w:rPr>
              <w:t>17</w:t>
            </w:r>
          </w:p>
        </w:tc>
        <w:tc>
          <w:tcPr>
            <w:tcW w:w="8862" w:type="dxa"/>
          </w:tcPr>
          <w:p>
            <w:pPr>
              <w:pStyle w:val="TableParagraph"/>
              <w:spacing w:line="265" w:lineRule="exact"/>
              <w:ind w:left="103"/>
              <w:rPr>
                <w:sz w:val="22"/>
              </w:rPr>
            </w:pPr>
            <w:r>
              <w:rPr>
                <w:sz w:val="22"/>
              </w:rPr>
              <w:t>Για την τεκμηρίωση της οργανωτικής διάρθρωσης:</w:t>
            </w:r>
          </w:p>
          <w:p>
            <w:pPr>
              <w:pStyle w:val="TableParagraph"/>
              <w:numPr>
                <w:ilvl w:val="0"/>
                <w:numId w:val="80"/>
              </w:numPr>
              <w:tabs>
                <w:tab w:pos="591" w:val="left" w:leader="none"/>
              </w:tabs>
              <w:spacing w:line="360" w:lineRule="auto" w:before="134" w:after="0"/>
              <w:ind w:left="590" w:right="108" w:hanging="360"/>
              <w:jc w:val="both"/>
              <w:rPr>
                <w:sz w:val="22"/>
              </w:rPr>
            </w:pPr>
            <w:r>
              <w:rPr>
                <w:sz w:val="22"/>
              </w:rPr>
              <w:t>Αποδεικτικά έγγραφα πιστοποίησης του συστήματος διασφάλισης ποιότητας από αναγνωρισμένο φορέα</w:t>
            </w:r>
            <w:r>
              <w:rPr>
                <w:spacing w:val="-6"/>
                <w:sz w:val="22"/>
              </w:rPr>
              <w:t> </w:t>
            </w:r>
            <w:r>
              <w:rPr>
                <w:sz w:val="22"/>
              </w:rPr>
              <w:t>πιστοποίησης.</w:t>
            </w:r>
          </w:p>
          <w:p>
            <w:pPr>
              <w:pStyle w:val="TableParagraph"/>
              <w:numPr>
                <w:ilvl w:val="0"/>
                <w:numId w:val="80"/>
              </w:numPr>
              <w:tabs>
                <w:tab w:pos="591" w:val="left" w:leader="none"/>
              </w:tabs>
              <w:spacing w:line="240" w:lineRule="auto" w:before="0" w:after="0"/>
              <w:ind w:left="590" w:right="0" w:hanging="360"/>
              <w:jc w:val="left"/>
              <w:rPr>
                <w:sz w:val="22"/>
              </w:rPr>
            </w:pPr>
            <w:r>
              <w:rPr>
                <w:sz w:val="22"/>
              </w:rPr>
              <w:t>Αντίγραφο πιστοποιητικού κατοχύρωσης εμπορικού</w:t>
            </w:r>
            <w:r>
              <w:rPr>
                <w:spacing w:val="-15"/>
                <w:sz w:val="22"/>
              </w:rPr>
              <w:t> </w:t>
            </w:r>
            <w:r>
              <w:rPr>
                <w:sz w:val="22"/>
              </w:rPr>
              <w:t>σήματος</w:t>
            </w:r>
          </w:p>
          <w:p>
            <w:pPr>
              <w:pStyle w:val="TableParagraph"/>
              <w:numPr>
                <w:ilvl w:val="0"/>
                <w:numId w:val="80"/>
              </w:numPr>
              <w:tabs>
                <w:tab w:pos="591" w:val="left" w:leader="none"/>
              </w:tabs>
              <w:spacing w:line="360" w:lineRule="auto" w:before="134" w:after="0"/>
              <w:ind w:left="590" w:right="100" w:hanging="360"/>
              <w:jc w:val="both"/>
              <w:rPr>
                <w:sz w:val="22"/>
              </w:rPr>
            </w:pPr>
            <w:r>
              <w:rPr>
                <w:sz w:val="22"/>
              </w:rPr>
              <w:t>Αποδεικτικά στοιχεία για την οργανωμένη προβολή της επιχείρησης  (Ενδεικτικά: Συνδρομή – αντίγραφα τιμολόγιων συνδρομής σε επαγγελματικούς οδηγούς και μηχανές αναζήτησης, ιστοσελίδα, κοινωνικά δίκτυα, αντίγραφα τιμολογίων για υπηρεσίες ηλεκτρονικής</w:t>
            </w:r>
            <w:r>
              <w:rPr>
                <w:spacing w:val="-4"/>
                <w:sz w:val="22"/>
              </w:rPr>
              <w:t> </w:t>
            </w:r>
            <w:r>
              <w:rPr>
                <w:sz w:val="22"/>
              </w:rPr>
              <w:t>προβολής)</w:t>
            </w:r>
          </w:p>
          <w:p>
            <w:pPr>
              <w:pStyle w:val="TableParagraph"/>
              <w:numPr>
                <w:ilvl w:val="0"/>
                <w:numId w:val="80"/>
              </w:numPr>
              <w:tabs>
                <w:tab w:pos="591" w:val="left" w:leader="none"/>
              </w:tabs>
              <w:spacing w:line="360" w:lineRule="auto" w:before="0" w:after="0"/>
              <w:ind w:left="590" w:right="97" w:hanging="360"/>
              <w:jc w:val="both"/>
              <w:rPr>
                <w:sz w:val="22"/>
              </w:rPr>
            </w:pPr>
            <w:r>
              <w:rPr>
                <w:sz w:val="22"/>
              </w:rPr>
              <w:t>Αποδεικτικά στοιχεία για την ύπαρξη εταιρικής ιστοσελίδας (Ενδεικτικά: Ηλεκτρονική διεύθυνση ιστοσελίδας, τιμολόγιο ή απόδειξη κατοχύρωσης του domain</w:t>
            </w:r>
            <w:r>
              <w:rPr>
                <w:spacing w:val="-11"/>
                <w:sz w:val="22"/>
              </w:rPr>
              <w:t> </w:t>
            </w:r>
            <w:r>
              <w:rPr>
                <w:sz w:val="22"/>
              </w:rPr>
              <w:t>name)</w:t>
            </w:r>
          </w:p>
        </w:tc>
      </w:tr>
    </w:tbl>
    <w:p>
      <w:pPr>
        <w:spacing w:after="0" w:line="360" w:lineRule="auto"/>
        <w:jc w:val="both"/>
        <w:rPr>
          <w:sz w:val="22"/>
        </w:rPr>
        <w:sectPr>
          <w:pgSz w:w="11910" w:h="16840"/>
          <w:pgMar w:header="748" w:footer="734" w:top="1420" w:bottom="920" w:left="860" w:right="1000"/>
        </w:sectPr>
      </w:pPr>
    </w:p>
    <w:p>
      <w:pPr>
        <w:pStyle w:val="BodyText"/>
        <w:spacing w:before="10"/>
        <w:rPr>
          <w:rFonts w:ascii="Times New Roman"/>
          <w:sz w:val="2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8862"/>
      </w:tblGrid>
      <w:tr>
        <w:trPr>
          <w:trHeight w:val="1291" w:hRule="exact"/>
        </w:trPr>
        <w:tc>
          <w:tcPr>
            <w:tcW w:w="675" w:type="dxa"/>
          </w:tcPr>
          <w:p>
            <w:pPr>
              <w:pStyle w:val="TableParagraph"/>
              <w:rPr>
                <w:rFonts w:ascii="Times New Roman"/>
                <w:sz w:val="22"/>
              </w:rPr>
            </w:pPr>
          </w:p>
          <w:p>
            <w:pPr>
              <w:pStyle w:val="TableParagraph"/>
              <w:spacing w:before="183"/>
              <w:ind w:left="132" w:right="132"/>
              <w:jc w:val="center"/>
              <w:rPr>
                <w:b/>
                <w:sz w:val="22"/>
              </w:rPr>
            </w:pPr>
            <w:r>
              <w:rPr>
                <w:b/>
                <w:sz w:val="22"/>
              </w:rPr>
              <w:t>Α/Α</w:t>
            </w:r>
          </w:p>
        </w:tc>
        <w:tc>
          <w:tcPr>
            <w:tcW w:w="8862" w:type="dxa"/>
          </w:tcPr>
          <w:p>
            <w:pPr>
              <w:pStyle w:val="TableParagraph"/>
              <w:spacing w:before="49"/>
              <w:ind w:left="535" w:right="535"/>
              <w:jc w:val="center"/>
              <w:rPr>
                <w:b/>
                <w:sz w:val="22"/>
              </w:rPr>
            </w:pPr>
            <w:r>
              <w:rPr>
                <w:b/>
                <w:sz w:val="22"/>
              </w:rPr>
              <w:t>ΑΠΑΙΤΟΥΜΕΝΑ ΔΙΚΑΙΟΛΟΓΗΤΙΚΑ ΣΥΜΜΕΤΟΧΗΣ</w:t>
            </w:r>
          </w:p>
          <w:p>
            <w:pPr>
              <w:pStyle w:val="TableParagraph"/>
              <w:spacing w:line="285" w:lineRule="auto" w:before="53"/>
              <w:ind w:left="143" w:right="145" w:firstLine="2"/>
              <w:jc w:val="center"/>
              <w:rPr>
                <w:b/>
                <w:sz w:val="22"/>
              </w:rPr>
            </w:pPr>
            <w:r>
              <w:rPr>
                <w:b/>
                <w:sz w:val="22"/>
              </w:rPr>
              <w:t>Αναρτώνται και Προσκομίζονται σύμφωνα με τα αναφερόμενα στην Πρόσκληση, με αντίγραφο της Αίτησης (Ι.1) από το ΠΣΚΕ, όπως εκτυπώνεται μετά την ηλεκτρονική υποβολή.</w:t>
            </w:r>
          </w:p>
          <w:p>
            <w:pPr>
              <w:pStyle w:val="TableParagraph"/>
              <w:spacing w:line="268" w:lineRule="exact"/>
              <w:ind w:left="535" w:right="536"/>
              <w:jc w:val="center"/>
              <w:rPr>
                <w:b/>
                <w:sz w:val="22"/>
              </w:rPr>
            </w:pPr>
            <w:r>
              <w:rPr>
                <w:b/>
                <w:sz w:val="22"/>
              </w:rPr>
              <w:t>Το αντίγραφο της αίτησης υπογράφεται από το νόμιμο εκπρόσωπο της επιχείρησης</w:t>
            </w:r>
          </w:p>
        </w:tc>
      </w:tr>
      <w:tr>
        <w:trPr>
          <w:trHeight w:val="814" w:hRule="exact"/>
        </w:trPr>
        <w:tc>
          <w:tcPr>
            <w:tcW w:w="675" w:type="dxa"/>
          </w:tcPr>
          <w:p>
            <w:pPr>
              <w:pStyle w:val="TableParagraph"/>
              <w:spacing w:before="3"/>
              <w:rPr>
                <w:rFonts w:ascii="Times New Roman"/>
                <w:sz w:val="17"/>
              </w:rPr>
            </w:pPr>
          </w:p>
          <w:p>
            <w:pPr>
              <w:pStyle w:val="TableParagraph"/>
              <w:ind w:left="132" w:right="131"/>
              <w:jc w:val="center"/>
              <w:rPr>
                <w:b/>
                <w:sz w:val="22"/>
              </w:rPr>
            </w:pPr>
            <w:r>
              <w:rPr>
                <w:b/>
                <w:sz w:val="22"/>
              </w:rPr>
              <w:t>18</w:t>
            </w:r>
          </w:p>
        </w:tc>
        <w:tc>
          <w:tcPr>
            <w:tcW w:w="8862" w:type="dxa"/>
          </w:tcPr>
          <w:p>
            <w:pPr>
              <w:pStyle w:val="TableParagraph"/>
              <w:spacing w:line="360" w:lineRule="auto"/>
              <w:ind w:left="103"/>
              <w:rPr>
                <w:sz w:val="22"/>
              </w:rPr>
            </w:pPr>
            <w:r>
              <w:rPr>
                <w:sz w:val="22"/>
              </w:rPr>
              <w:t>Τα δικαιολογητικά που αναφέρονται στο σημείο Β. του Παραρτήματος VΙ: ΟΡΙΣΜΟΣ ΠΡΟΒΛΗΜΑΤΙΚΩΝ (ανάλογα με τον τύπο της επιχείρησης)</w:t>
            </w:r>
          </w:p>
        </w:tc>
      </w:tr>
      <w:tr>
        <w:trPr>
          <w:trHeight w:val="413" w:hRule="exact"/>
        </w:trPr>
        <w:tc>
          <w:tcPr>
            <w:tcW w:w="675" w:type="dxa"/>
          </w:tcPr>
          <w:p>
            <w:pPr>
              <w:pStyle w:val="TableParagraph"/>
              <w:spacing w:line="268" w:lineRule="exact"/>
              <w:ind w:left="132" w:right="131"/>
              <w:jc w:val="center"/>
              <w:rPr>
                <w:b/>
                <w:sz w:val="22"/>
              </w:rPr>
            </w:pPr>
            <w:r>
              <w:rPr>
                <w:b/>
                <w:sz w:val="22"/>
              </w:rPr>
              <w:t>19</w:t>
            </w:r>
          </w:p>
        </w:tc>
        <w:tc>
          <w:tcPr>
            <w:tcW w:w="8862" w:type="dxa"/>
          </w:tcPr>
          <w:p>
            <w:pPr>
              <w:pStyle w:val="TableParagraph"/>
              <w:spacing w:line="268" w:lineRule="exact"/>
              <w:ind w:left="103"/>
              <w:rPr>
                <w:b/>
                <w:sz w:val="22"/>
              </w:rPr>
            </w:pPr>
            <w:r>
              <w:rPr>
                <w:sz w:val="22"/>
              </w:rPr>
              <w:t>Υπεύθυνες δηλώσεις του Παραρτήματος </w:t>
            </w:r>
            <w:r>
              <w:rPr>
                <w:b/>
                <w:sz w:val="22"/>
              </w:rPr>
              <w:t>X</w:t>
            </w:r>
          </w:p>
        </w:tc>
      </w:tr>
      <w:tr>
        <w:trPr>
          <w:trHeight w:val="6457" w:hRule="exact"/>
        </w:trPr>
        <w:tc>
          <w:tcPr>
            <w:tcW w:w="67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20"/>
              </w:rPr>
            </w:pPr>
          </w:p>
          <w:p>
            <w:pPr>
              <w:pStyle w:val="TableParagraph"/>
              <w:ind w:left="132" w:right="131"/>
              <w:jc w:val="center"/>
              <w:rPr>
                <w:sz w:val="22"/>
              </w:rPr>
            </w:pPr>
            <w:r>
              <w:rPr>
                <w:sz w:val="22"/>
              </w:rPr>
              <w:t>20</w:t>
            </w:r>
          </w:p>
        </w:tc>
        <w:tc>
          <w:tcPr>
            <w:tcW w:w="8862" w:type="dxa"/>
          </w:tcPr>
          <w:p>
            <w:pPr>
              <w:pStyle w:val="TableParagraph"/>
              <w:spacing w:line="360" w:lineRule="auto"/>
              <w:ind w:left="103" w:right="430"/>
              <w:rPr>
                <w:sz w:val="22"/>
              </w:rPr>
            </w:pPr>
            <w:r>
              <w:rPr>
                <w:sz w:val="22"/>
              </w:rPr>
              <w:t>Για την καλύτερη τεκμηρίωση του περιεχομένου της πρότασης, ο επενδυτής, κατά την κρίση του μπορεί να υποβάλει πρόσθετα στοιχεία, σημειώνοντας σε ποιο κριτήριο αξιολόγησης αναφέρεται το καθένα. Ενδεικτικά αναφέρονται:</w:t>
            </w:r>
          </w:p>
          <w:p>
            <w:pPr>
              <w:pStyle w:val="TableParagraph"/>
              <w:numPr>
                <w:ilvl w:val="0"/>
                <w:numId w:val="81"/>
              </w:numPr>
              <w:tabs>
                <w:tab w:pos="824" w:val="left" w:leader="none"/>
              </w:tabs>
              <w:spacing w:line="240" w:lineRule="auto" w:before="0" w:after="0"/>
              <w:ind w:left="823" w:right="0" w:hanging="360"/>
              <w:jc w:val="left"/>
              <w:rPr>
                <w:sz w:val="22"/>
              </w:rPr>
            </w:pPr>
            <w:r>
              <w:rPr>
                <w:sz w:val="22"/>
              </w:rPr>
              <w:t>Βιβλίο παγίων της</w:t>
            </w:r>
            <w:r>
              <w:rPr>
                <w:spacing w:val="-7"/>
                <w:sz w:val="22"/>
              </w:rPr>
              <w:t> </w:t>
            </w:r>
            <w:r>
              <w:rPr>
                <w:sz w:val="22"/>
              </w:rPr>
              <w:t>επιχείρησης</w:t>
            </w:r>
          </w:p>
          <w:p>
            <w:pPr>
              <w:pStyle w:val="TableParagraph"/>
              <w:numPr>
                <w:ilvl w:val="0"/>
                <w:numId w:val="81"/>
              </w:numPr>
              <w:tabs>
                <w:tab w:pos="824" w:val="left" w:leader="none"/>
              </w:tabs>
              <w:spacing w:line="240" w:lineRule="auto" w:before="134" w:after="0"/>
              <w:ind w:left="823" w:right="0" w:hanging="360"/>
              <w:jc w:val="left"/>
              <w:rPr>
                <w:sz w:val="22"/>
              </w:rPr>
            </w:pPr>
            <w:r>
              <w:rPr>
                <w:sz w:val="22"/>
              </w:rPr>
              <w:t>Αποδεικτικά έγγραφα συμμετοχής σε επενδυτικά</w:t>
            </w:r>
            <w:r>
              <w:rPr>
                <w:spacing w:val="-14"/>
                <w:sz w:val="22"/>
              </w:rPr>
              <w:t> </w:t>
            </w:r>
            <w:r>
              <w:rPr>
                <w:sz w:val="22"/>
              </w:rPr>
              <w:t>προγράμματα</w:t>
            </w:r>
          </w:p>
          <w:p>
            <w:pPr>
              <w:pStyle w:val="TableParagraph"/>
              <w:numPr>
                <w:ilvl w:val="0"/>
                <w:numId w:val="81"/>
              </w:numPr>
              <w:tabs>
                <w:tab w:pos="824" w:val="left" w:leader="none"/>
              </w:tabs>
              <w:spacing w:line="360" w:lineRule="auto" w:before="134" w:after="0"/>
              <w:ind w:left="823" w:right="936" w:hanging="360"/>
              <w:jc w:val="left"/>
              <w:rPr>
                <w:sz w:val="22"/>
              </w:rPr>
            </w:pPr>
            <w:r>
              <w:rPr>
                <w:sz w:val="22"/>
              </w:rPr>
              <w:t>Βεβαιώσεις υλοποίησης επενδυτικών έργων (εμπειρία επιχείρησης) - Έγγραφα τεκμηρίωσης επενδύσεων για τις τελευταίες διαχειριστικές</w:t>
            </w:r>
            <w:r>
              <w:rPr>
                <w:spacing w:val="-10"/>
                <w:sz w:val="22"/>
              </w:rPr>
              <w:t> </w:t>
            </w:r>
            <w:r>
              <w:rPr>
                <w:sz w:val="22"/>
              </w:rPr>
              <w:t>χρήσεις.</w:t>
            </w:r>
          </w:p>
          <w:p>
            <w:pPr>
              <w:pStyle w:val="TableParagraph"/>
              <w:numPr>
                <w:ilvl w:val="0"/>
                <w:numId w:val="81"/>
              </w:numPr>
              <w:tabs>
                <w:tab w:pos="824" w:val="left" w:leader="none"/>
              </w:tabs>
              <w:spacing w:line="240" w:lineRule="auto" w:before="0" w:after="0"/>
              <w:ind w:left="823" w:right="0" w:hanging="360"/>
              <w:jc w:val="left"/>
              <w:rPr>
                <w:sz w:val="22"/>
              </w:rPr>
            </w:pPr>
            <w:r>
              <w:rPr>
                <w:sz w:val="22"/>
              </w:rPr>
              <w:t>Συνδρομές – Αντίγραφα Τιμολόγιων Συνδρομής σε εξειδικευμένες βάσεις</w:t>
            </w:r>
            <w:r>
              <w:rPr>
                <w:spacing w:val="-15"/>
                <w:sz w:val="22"/>
              </w:rPr>
              <w:t> </w:t>
            </w:r>
            <w:r>
              <w:rPr>
                <w:sz w:val="22"/>
              </w:rPr>
              <w:t>δεδομένων</w:t>
            </w:r>
          </w:p>
          <w:p>
            <w:pPr>
              <w:pStyle w:val="TableParagraph"/>
              <w:numPr>
                <w:ilvl w:val="0"/>
                <w:numId w:val="81"/>
              </w:numPr>
              <w:tabs>
                <w:tab w:pos="824" w:val="left" w:leader="none"/>
              </w:tabs>
              <w:spacing w:line="240" w:lineRule="auto" w:before="132" w:after="0"/>
              <w:ind w:left="823" w:right="0" w:hanging="360"/>
              <w:jc w:val="left"/>
              <w:rPr>
                <w:sz w:val="22"/>
              </w:rPr>
            </w:pPr>
            <w:r>
              <w:rPr>
                <w:sz w:val="22"/>
              </w:rPr>
              <w:t>Αντίγραφα αδειών χρήσης</w:t>
            </w:r>
            <w:r>
              <w:rPr>
                <w:spacing w:val="-4"/>
                <w:sz w:val="22"/>
              </w:rPr>
              <w:t> </w:t>
            </w:r>
            <w:r>
              <w:rPr>
                <w:sz w:val="22"/>
              </w:rPr>
              <w:t>λογισμικού</w:t>
            </w:r>
          </w:p>
          <w:p>
            <w:pPr>
              <w:pStyle w:val="TableParagraph"/>
              <w:numPr>
                <w:ilvl w:val="0"/>
                <w:numId w:val="81"/>
              </w:numPr>
              <w:tabs>
                <w:tab w:pos="824" w:val="left" w:leader="none"/>
              </w:tabs>
              <w:spacing w:line="360" w:lineRule="auto" w:before="134" w:after="0"/>
              <w:ind w:left="823" w:right="436" w:hanging="360"/>
              <w:jc w:val="left"/>
              <w:rPr>
                <w:sz w:val="22"/>
              </w:rPr>
            </w:pPr>
            <w:r>
              <w:rPr>
                <w:sz w:val="22"/>
              </w:rPr>
              <w:t>Βεβαίωση του Νόμιμου Εκπροσώπου της επιχείρησης για τη λειτουργία e-shop στην επιχείρηση και την αντίστοιχη ηλεκτρονική</w:t>
            </w:r>
            <w:r>
              <w:rPr>
                <w:spacing w:val="-6"/>
                <w:sz w:val="22"/>
              </w:rPr>
              <w:t> </w:t>
            </w:r>
            <w:r>
              <w:rPr>
                <w:sz w:val="22"/>
              </w:rPr>
              <w:t>διεύθυνση</w:t>
            </w:r>
          </w:p>
          <w:p>
            <w:pPr>
              <w:pStyle w:val="TableParagraph"/>
              <w:numPr>
                <w:ilvl w:val="0"/>
                <w:numId w:val="81"/>
              </w:numPr>
              <w:tabs>
                <w:tab w:pos="824" w:val="left" w:leader="none"/>
              </w:tabs>
              <w:spacing w:line="240" w:lineRule="auto" w:before="0" w:after="0"/>
              <w:ind w:left="823" w:right="0" w:hanging="360"/>
              <w:jc w:val="left"/>
              <w:rPr>
                <w:sz w:val="22"/>
              </w:rPr>
            </w:pPr>
            <w:r>
              <w:rPr>
                <w:sz w:val="22"/>
              </w:rPr>
              <w:t>Αδειοδοτήσεις που σχετίζονται με το υποβληθέν επενδυτικό</w:t>
            </w:r>
            <w:r>
              <w:rPr>
                <w:spacing w:val="-14"/>
                <w:sz w:val="22"/>
              </w:rPr>
              <w:t> </w:t>
            </w:r>
            <w:r>
              <w:rPr>
                <w:sz w:val="22"/>
              </w:rPr>
              <w:t>σχέδιο</w:t>
            </w:r>
          </w:p>
          <w:p>
            <w:pPr>
              <w:pStyle w:val="TableParagraph"/>
              <w:numPr>
                <w:ilvl w:val="0"/>
                <w:numId w:val="81"/>
              </w:numPr>
              <w:tabs>
                <w:tab w:pos="824" w:val="left" w:leader="none"/>
              </w:tabs>
              <w:spacing w:line="360" w:lineRule="auto" w:before="134" w:after="0"/>
              <w:ind w:left="823" w:right="309" w:hanging="360"/>
              <w:jc w:val="left"/>
              <w:rPr>
                <w:sz w:val="22"/>
              </w:rPr>
            </w:pPr>
            <w:r>
              <w:rPr>
                <w:sz w:val="22"/>
              </w:rPr>
              <w:t>Δίπλωμα Ευρεσιτεχνίας: Αντίγραφα Διπλώματος ή Διπλωμάτων Ευρεσιτεχνίας (ΔΕ)</w:t>
            </w:r>
            <w:r>
              <w:rPr>
                <w:spacing w:val="-16"/>
                <w:sz w:val="22"/>
              </w:rPr>
              <w:t> </w:t>
            </w:r>
            <w:r>
              <w:rPr>
                <w:sz w:val="22"/>
              </w:rPr>
              <w:t>σε ισχύ, Αντίγραφα Ευρωπαϊκού Διπλώματος ή Διπλωμάτων Ευρεσιτεχνίας σε ισχύ, Αντίγραφα Διεθνούς Διπλώματος ή Διπλωμάτων ευρεσιτεχνίας με βάση τη Συνθήκη Διεθνούς Συνεργασίας (Patent Cooperation Treaty) –</w:t>
            </w:r>
            <w:r>
              <w:rPr>
                <w:spacing w:val="-10"/>
                <w:sz w:val="22"/>
              </w:rPr>
              <w:t> </w:t>
            </w:r>
            <w:r>
              <w:rPr>
                <w:sz w:val="22"/>
              </w:rPr>
              <w:t>PCT.</w:t>
            </w:r>
          </w:p>
        </w:tc>
      </w:tr>
      <w:tr>
        <w:trPr>
          <w:trHeight w:val="413" w:hRule="exact"/>
        </w:trPr>
        <w:tc>
          <w:tcPr>
            <w:tcW w:w="675" w:type="dxa"/>
          </w:tcPr>
          <w:p>
            <w:pPr>
              <w:pStyle w:val="TableParagraph"/>
              <w:spacing w:line="265" w:lineRule="exact"/>
              <w:ind w:left="132" w:right="131"/>
              <w:jc w:val="center"/>
              <w:rPr>
                <w:sz w:val="22"/>
              </w:rPr>
            </w:pPr>
            <w:r>
              <w:rPr>
                <w:sz w:val="22"/>
              </w:rPr>
              <w:t>21</w:t>
            </w:r>
          </w:p>
        </w:tc>
        <w:tc>
          <w:tcPr>
            <w:tcW w:w="8862" w:type="dxa"/>
          </w:tcPr>
          <w:p>
            <w:pPr>
              <w:pStyle w:val="TableParagraph"/>
              <w:spacing w:line="265" w:lineRule="exact"/>
              <w:ind w:left="103"/>
              <w:rPr>
                <w:sz w:val="22"/>
              </w:rPr>
            </w:pPr>
            <w:r>
              <w:rPr>
                <w:sz w:val="22"/>
              </w:rPr>
              <w:t>Οποιαδήποτε άλλο στοιχείο που τεκμηριώνει τα αναγραφόμενα στο επενδυτικό σχέδιο.</w:t>
            </w:r>
          </w:p>
        </w:tc>
      </w:tr>
    </w:tbl>
    <w:p>
      <w:pPr>
        <w:spacing w:after="0" w:line="265" w:lineRule="exact"/>
        <w:rPr>
          <w:sz w:val="22"/>
        </w:rPr>
        <w:sectPr>
          <w:pgSz w:w="11910" w:h="16840"/>
          <w:pgMar w:header="748" w:footer="734" w:top="1420" w:bottom="920" w:left="860" w:right="1000"/>
        </w:sectPr>
      </w:pPr>
    </w:p>
    <w:p>
      <w:pPr>
        <w:pStyle w:val="BodyText"/>
        <w:rPr>
          <w:rFonts w:ascii="Times New Roman"/>
          <w:sz w:val="20"/>
        </w:rPr>
      </w:pPr>
    </w:p>
    <w:p>
      <w:pPr>
        <w:pStyle w:val="BodyText"/>
        <w:spacing w:before="6"/>
        <w:rPr>
          <w:rFonts w:ascii="Times New Roman"/>
          <w:sz w:val="19"/>
        </w:rPr>
      </w:pPr>
    </w:p>
    <w:p>
      <w:pPr>
        <w:pStyle w:val="Heading4"/>
        <w:spacing w:before="57"/>
        <w:ind w:left="380"/>
        <w:jc w:val="left"/>
      </w:pPr>
      <w:r>
        <w:rPr/>
        <w:t>ΠΑΡΑΡΤΗΜΑ X: ΥΠΟΔΕΙΓΜΑΤΑ ΥΠΕΥΘΥΝΩΝ ΔΗΛΩΣΕΩΝ</w:t>
      </w:r>
    </w:p>
    <w:p>
      <w:pPr>
        <w:pStyle w:val="BodyText"/>
        <w:rPr>
          <w:b/>
        </w:rPr>
      </w:pPr>
    </w:p>
    <w:p>
      <w:pPr>
        <w:pStyle w:val="BodyText"/>
        <w:spacing w:before="1"/>
        <w:rPr>
          <w:b/>
          <w:sz w:val="18"/>
        </w:rPr>
      </w:pPr>
    </w:p>
    <w:p>
      <w:pPr>
        <w:spacing w:before="0"/>
        <w:ind w:left="380" w:right="0" w:firstLine="0"/>
        <w:jc w:val="left"/>
        <w:rPr>
          <w:b/>
          <w:sz w:val="20"/>
        </w:rPr>
      </w:pPr>
      <w:r>
        <w:rPr/>
        <w:drawing>
          <wp:anchor distT="0" distB="0" distL="0" distR="0" allowOverlap="1" layoutInCell="1" locked="0" behindDoc="0" simplePos="0" relativeHeight="1648">
            <wp:simplePos x="0" y="0"/>
            <wp:positionH relativeFrom="page">
              <wp:posOffset>3506089</wp:posOffset>
            </wp:positionH>
            <wp:positionV relativeFrom="paragraph">
              <wp:posOffset>232174</wp:posOffset>
            </wp:positionV>
            <wp:extent cx="528135" cy="536448"/>
            <wp:effectExtent l="0" t="0" r="0" b="0"/>
            <wp:wrapTopAndBottom/>
            <wp:docPr id="63" name="image20.png" descr=""/>
            <wp:cNvGraphicFramePr>
              <a:graphicFrameLocks noChangeAspect="1"/>
            </wp:cNvGraphicFramePr>
            <a:graphic>
              <a:graphicData uri="http://schemas.openxmlformats.org/drawingml/2006/picture">
                <pic:pic>
                  <pic:nvPicPr>
                    <pic:cNvPr id="64" name="image20.png"/>
                    <pic:cNvPicPr/>
                  </pic:nvPicPr>
                  <pic:blipFill>
                    <a:blip r:embed="rId96" cstate="print"/>
                    <a:stretch>
                      <a:fillRect/>
                    </a:stretch>
                  </pic:blipFill>
                  <pic:spPr>
                    <a:xfrm>
                      <a:off x="0" y="0"/>
                      <a:ext cx="528135" cy="536448"/>
                    </a:xfrm>
                    <a:prstGeom prst="rect">
                      <a:avLst/>
                    </a:prstGeom>
                  </pic:spPr>
                </pic:pic>
              </a:graphicData>
            </a:graphic>
          </wp:anchor>
        </w:drawing>
      </w:r>
      <w:r>
        <w:rPr>
          <w:b/>
          <w:sz w:val="20"/>
        </w:rPr>
        <w:t>Α’ ΥΠΟΔΕΙΓΜΑ ΚΕΙΜΕΝΟΥ ΥΠΕΥΘΥΝΗΣ ΔΗΛΩΣΗΣ</w:t>
      </w:r>
    </w:p>
    <w:p>
      <w:pPr>
        <w:pStyle w:val="Heading2"/>
        <w:spacing w:before="148"/>
        <w:ind w:left="4127" w:right="4133" w:firstLine="0"/>
        <w:jc w:val="center"/>
      </w:pPr>
      <w:r>
        <w:rPr/>
        <w:t>ΥΠΕΥΘΥΝΗ ΔΗΛΩΣΗ</w:t>
      </w:r>
    </w:p>
    <w:p>
      <w:pPr>
        <w:spacing w:before="112"/>
        <w:ind w:left="4125" w:right="4134" w:firstLine="0"/>
        <w:jc w:val="center"/>
        <w:rPr>
          <w:b/>
          <w:sz w:val="16"/>
        </w:rPr>
      </w:pPr>
      <w:r>
        <w:rPr>
          <w:b/>
          <w:sz w:val="16"/>
        </w:rPr>
        <w:t>(άρθρο 8 Ν.1599/1986)</w:t>
      </w:r>
    </w:p>
    <w:p>
      <w:pPr>
        <w:pStyle w:val="BodyText"/>
        <w:spacing w:before="10"/>
        <w:rPr>
          <w:b/>
          <w:sz w:val="19"/>
        </w:rPr>
      </w:pPr>
      <w:r>
        <w:rPr/>
        <w:pict>
          <v:shape style="position:absolute;margin-left:41.279999pt;margin-top:14.321585pt;width:505.9pt;height:26.9pt;mso-position-horizontal-relative:page;mso-position-vertical-relative:paragraph;z-index:1672;mso-wrap-distance-left:0;mso-wrap-distance-right:0" type="#_x0000_t202" filled="false" stroked="true" strokeweight=".47998pt" strokecolor="#000000">
            <v:textbox inset="0,0,0,0">
              <w:txbxContent>
                <w:p>
                  <w:pPr>
                    <w:spacing w:before="20"/>
                    <w:ind w:left="3044" w:right="790" w:hanging="2788"/>
                    <w:jc w:val="left"/>
                    <w:rPr>
                      <w:sz w:val="20"/>
                    </w:rPr>
                  </w:pPr>
                  <w:r>
                    <w:rPr>
                      <w:sz w:val="20"/>
                    </w:rPr>
                    <w:t>Η ακρίβεια των στοιχείων που υποβάλλονται με αυτή τη δήλωση μπορεί να ελεγχθεί με βάση το αρχείο άλλων υπηρεσιών (άρθρο 8 παρ. 4 Ν. 1599/1986)</w:t>
                  </w:r>
                </w:p>
              </w:txbxContent>
            </v:textbox>
            <v:stroke dashstyle="solid"/>
            <w10:wrap type="topAndBottom"/>
          </v:shape>
        </w:pict>
      </w:r>
    </w:p>
    <w:p>
      <w:pPr>
        <w:pStyle w:val="BodyText"/>
        <w:spacing w:before="6"/>
        <w:rPr>
          <w:b/>
          <w:sz w:val="15"/>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329"/>
        <w:gridCol w:w="660"/>
        <w:gridCol w:w="406"/>
        <w:gridCol w:w="1949"/>
        <w:gridCol w:w="720"/>
        <w:gridCol w:w="376"/>
        <w:gridCol w:w="704"/>
        <w:gridCol w:w="751"/>
        <w:gridCol w:w="329"/>
        <w:gridCol w:w="721"/>
        <w:gridCol w:w="540"/>
        <w:gridCol w:w="540"/>
        <w:gridCol w:w="838"/>
      </w:tblGrid>
      <w:tr>
        <w:trPr>
          <w:trHeight w:val="425" w:hRule="exact"/>
        </w:trPr>
        <w:tc>
          <w:tcPr>
            <w:tcW w:w="1368" w:type="dxa"/>
          </w:tcPr>
          <w:p>
            <w:pPr>
              <w:pStyle w:val="TableParagraph"/>
              <w:spacing w:before="112"/>
              <w:ind w:left="103"/>
              <w:rPr>
                <w:sz w:val="20"/>
              </w:rPr>
            </w:pPr>
            <w:r>
              <w:rPr>
                <w:sz w:val="20"/>
              </w:rPr>
              <w:t>ΠΡΟΣ</w:t>
            </w:r>
            <w:r>
              <w:rPr>
                <w:position w:val="10"/>
                <w:sz w:val="13"/>
              </w:rPr>
              <w:t>(1)</w:t>
            </w:r>
            <w:r>
              <w:rPr>
                <w:sz w:val="20"/>
              </w:rPr>
              <w:t>:</w:t>
            </w:r>
          </w:p>
        </w:tc>
        <w:tc>
          <w:tcPr>
            <w:tcW w:w="8862" w:type="dxa"/>
            <w:gridSpan w:val="13"/>
          </w:tcPr>
          <w:p>
            <w:pPr>
              <w:pStyle w:val="TableParagraph"/>
              <w:spacing w:before="145"/>
              <w:ind w:left="103"/>
              <w:rPr>
                <w:sz w:val="20"/>
              </w:rPr>
            </w:pPr>
            <w:r>
              <w:rPr>
                <w:sz w:val="20"/>
              </w:rPr>
              <w:t>ΔΙΕΥΘΥΝΣΗ ΑΝΑΠΤΥΞΙΑΚΟΥ ΠΡΟΓΡΑΜΜΑΤΙΣΜΟΥ ΠΕΡΙΦΕΡΕΙΑΣ ΘΕΣΣΑΛΙΑΣ</w:t>
            </w:r>
          </w:p>
        </w:tc>
      </w:tr>
      <w:tr>
        <w:trPr>
          <w:trHeight w:val="374" w:hRule="exact"/>
        </w:trPr>
        <w:tc>
          <w:tcPr>
            <w:tcW w:w="1368" w:type="dxa"/>
          </w:tcPr>
          <w:p>
            <w:pPr>
              <w:pStyle w:val="TableParagraph"/>
              <w:spacing w:before="119"/>
              <w:ind w:left="103"/>
              <w:rPr>
                <w:sz w:val="20"/>
              </w:rPr>
            </w:pPr>
            <w:r>
              <w:rPr>
                <w:sz w:val="20"/>
              </w:rPr>
              <w:t>Ο – Η Όνομα:</w:t>
            </w:r>
          </w:p>
        </w:tc>
        <w:tc>
          <w:tcPr>
            <w:tcW w:w="4064" w:type="dxa"/>
            <w:gridSpan w:val="5"/>
          </w:tcPr>
          <w:p>
            <w:pPr/>
          </w:p>
        </w:tc>
        <w:tc>
          <w:tcPr>
            <w:tcW w:w="1080" w:type="dxa"/>
            <w:gridSpan w:val="2"/>
          </w:tcPr>
          <w:p>
            <w:pPr>
              <w:pStyle w:val="TableParagraph"/>
              <w:spacing w:before="119"/>
              <w:ind w:left="103"/>
              <w:rPr>
                <w:sz w:val="20"/>
              </w:rPr>
            </w:pPr>
            <w:r>
              <w:rPr>
                <w:sz w:val="20"/>
              </w:rPr>
              <w:t>Επώνυμο:</w:t>
            </w:r>
          </w:p>
        </w:tc>
        <w:tc>
          <w:tcPr>
            <w:tcW w:w="3718" w:type="dxa"/>
            <w:gridSpan w:val="6"/>
          </w:tcPr>
          <w:p>
            <w:pPr/>
          </w:p>
        </w:tc>
      </w:tr>
      <w:tr>
        <w:trPr>
          <w:trHeight w:val="374" w:hRule="exact"/>
        </w:trPr>
        <w:tc>
          <w:tcPr>
            <w:tcW w:w="2763" w:type="dxa"/>
            <w:gridSpan w:val="4"/>
          </w:tcPr>
          <w:p>
            <w:pPr>
              <w:pStyle w:val="TableParagraph"/>
              <w:spacing w:before="119"/>
              <w:ind w:left="103"/>
              <w:rPr>
                <w:sz w:val="20"/>
              </w:rPr>
            </w:pPr>
            <w:r>
              <w:rPr>
                <w:sz w:val="20"/>
              </w:rPr>
              <w:t>Όνομα και Επώνυμο Πατέρα:</w:t>
            </w:r>
          </w:p>
        </w:tc>
        <w:tc>
          <w:tcPr>
            <w:tcW w:w="7468" w:type="dxa"/>
            <w:gridSpan w:val="10"/>
          </w:tcPr>
          <w:p>
            <w:pPr/>
          </w:p>
        </w:tc>
      </w:tr>
      <w:tr>
        <w:trPr>
          <w:trHeight w:val="374" w:hRule="exact"/>
        </w:trPr>
        <w:tc>
          <w:tcPr>
            <w:tcW w:w="2763" w:type="dxa"/>
            <w:gridSpan w:val="4"/>
          </w:tcPr>
          <w:p>
            <w:pPr>
              <w:pStyle w:val="TableParagraph"/>
              <w:spacing w:before="119"/>
              <w:ind w:left="103"/>
              <w:rPr>
                <w:sz w:val="20"/>
              </w:rPr>
            </w:pPr>
            <w:r>
              <w:rPr>
                <w:sz w:val="20"/>
              </w:rPr>
              <w:t>Όνομα και Επώνυμο Μητέρας:</w:t>
            </w:r>
          </w:p>
        </w:tc>
        <w:tc>
          <w:tcPr>
            <w:tcW w:w="7468" w:type="dxa"/>
            <w:gridSpan w:val="10"/>
          </w:tcPr>
          <w:p>
            <w:pPr/>
          </w:p>
        </w:tc>
      </w:tr>
      <w:tr>
        <w:trPr>
          <w:trHeight w:val="372" w:hRule="exact"/>
        </w:trPr>
        <w:tc>
          <w:tcPr>
            <w:tcW w:w="2763" w:type="dxa"/>
            <w:gridSpan w:val="4"/>
          </w:tcPr>
          <w:p>
            <w:pPr>
              <w:pStyle w:val="TableParagraph"/>
              <w:spacing w:before="86"/>
              <w:ind w:left="103"/>
              <w:rPr>
                <w:sz w:val="20"/>
              </w:rPr>
            </w:pPr>
            <w:r>
              <w:rPr>
                <w:sz w:val="20"/>
              </w:rPr>
              <w:t>Ημερομηνία γέννησης</w:t>
            </w:r>
            <w:r>
              <w:rPr>
                <w:position w:val="10"/>
                <w:sz w:val="13"/>
              </w:rPr>
              <w:t>(2)</w:t>
            </w:r>
            <w:r>
              <w:rPr>
                <w:sz w:val="20"/>
              </w:rPr>
              <w:t>:</w:t>
            </w:r>
          </w:p>
        </w:tc>
        <w:tc>
          <w:tcPr>
            <w:tcW w:w="7468" w:type="dxa"/>
            <w:gridSpan w:val="10"/>
          </w:tcPr>
          <w:p>
            <w:pPr/>
          </w:p>
        </w:tc>
      </w:tr>
      <w:tr>
        <w:trPr>
          <w:trHeight w:val="374" w:hRule="exact"/>
        </w:trPr>
        <w:tc>
          <w:tcPr>
            <w:tcW w:w="2763" w:type="dxa"/>
            <w:gridSpan w:val="4"/>
          </w:tcPr>
          <w:p>
            <w:pPr>
              <w:pStyle w:val="TableParagraph"/>
              <w:spacing w:before="121"/>
              <w:ind w:left="103"/>
              <w:rPr>
                <w:sz w:val="20"/>
              </w:rPr>
            </w:pPr>
            <w:r>
              <w:rPr>
                <w:sz w:val="20"/>
              </w:rPr>
              <w:t>Τόπος Γέννησης:</w:t>
            </w:r>
          </w:p>
        </w:tc>
        <w:tc>
          <w:tcPr>
            <w:tcW w:w="7468" w:type="dxa"/>
            <w:gridSpan w:val="10"/>
          </w:tcPr>
          <w:p>
            <w:pPr/>
          </w:p>
        </w:tc>
      </w:tr>
      <w:tr>
        <w:trPr>
          <w:trHeight w:val="375" w:hRule="exact"/>
        </w:trPr>
        <w:tc>
          <w:tcPr>
            <w:tcW w:w="2763" w:type="dxa"/>
            <w:gridSpan w:val="4"/>
          </w:tcPr>
          <w:p>
            <w:pPr>
              <w:pStyle w:val="TableParagraph"/>
              <w:spacing w:before="119"/>
              <w:ind w:left="103"/>
              <w:rPr>
                <w:sz w:val="20"/>
              </w:rPr>
            </w:pPr>
            <w:r>
              <w:rPr>
                <w:sz w:val="20"/>
              </w:rPr>
              <w:t>Αριθμός Δελτίου Ταυτότητας:</w:t>
            </w:r>
          </w:p>
        </w:tc>
        <w:tc>
          <w:tcPr>
            <w:tcW w:w="3045" w:type="dxa"/>
            <w:gridSpan w:val="3"/>
          </w:tcPr>
          <w:p>
            <w:pPr/>
          </w:p>
        </w:tc>
        <w:tc>
          <w:tcPr>
            <w:tcW w:w="704" w:type="dxa"/>
          </w:tcPr>
          <w:p>
            <w:pPr>
              <w:pStyle w:val="TableParagraph"/>
              <w:spacing w:before="119"/>
              <w:ind w:left="87"/>
              <w:rPr>
                <w:sz w:val="20"/>
              </w:rPr>
            </w:pPr>
            <w:r>
              <w:rPr>
                <w:sz w:val="20"/>
              </w:rPr>
              <w:t>Τηλ:</w:t>
            </w:r>
          </w:p>
        </w:tc>
        <w:tc>
          <w:tcPr>
            <w:tcW w:w="3718" w:type="dxa"/>
            <w:gridSpan w:val="6"/>
          </w:tcPr>
          <w:p>
            <w:pPr/>
          </w:p>
        </w:tc>
      </w:tr>
      <w:tr>
        <w:trPr>
          <w:trHeight w:val="374" w:hRule="exact"/>
        </w:trPr>
        <w:tc>
          <w:tcPr>
            <w:tcW w:w="1697" w:type="dxa"/>
            <w:gridSpan w:val="2"/>
          </w:tcPr>
          <w:p>
            <w:pPr>
              <w:pStyle w:val="TableParagraph"/>
              <w:spacing w:before="119"/>
              <w:ind w:left="103"/>
              <w:rPr>
                <w:sz w:val="20"/>
              </w:rPr>
            </w:pPr>
            <w:r>
              <w:rPr>
                <w:sz w:val="20"/>
              </w:rPr>
              <w:t>Τόπος Κατοικίας:</w:t>
            </w:r>
          </w:p>
        </w:tc>
        <w:tc>
          <w:tcPr>
            <w:tcW w:w="3015" w:type="dxa"/>
            <w:gridSpan w:val="3"/>
          </w:tcPr>
          <w:p>
            <w:pPr/>
          </w:p>
        </w:tc>
        <w:tc>
          <w:tcPr>
            <w:tcW w:w="720" w:type="dxa"/>
          </w:tcPr>
          <w:p>
            <w:pPr>
              <w:pStyle w:val="TableParagraph"/>
              <w:spacing w:before="119"/>
              <w:ind w:left="103"/>
              <w:rPr>
                <w:sz w:val="20"/>
              </w:rPr>
            </w:pPr>
            <w:r>
              <w:rPr>
                <w:sz w:val="20"/>
              </w:rPr>
              <w:t>Οδός:</w:t>
            </w:r>
          </w:p>
        </w:tc>
        <w:tc>
          <w:tcPr>
            <w:tcW w:w="2160" w:type="dxa"/>
            <w:gridSpan w:val="4"/>
          </w:tcPr>
          <w:p>
            <w:pPr/>
          </w:p>
        </w:tc>
        <w:tc>
          <w:tcPr>
            <w:tcW w:w="721" w:type="dxa"/>
          </w:tcPr>
          <w:p>
            <w:pPr>
              <w:pStyle w:val="TableParagraph"/>
              <w:spacing w:before="119"/>
              <w:ind w:left="103"/>
              <w:rPr>
                <w:sz w:val="20"/>
              </w:rPr>
            </w:pPr>
            <w:r>
              <w:rPr>
                <w:sz w:val="20"/>
              </w:rPr>
              <w:t>Αριθ:</w:t>
            </w:r>
          </w:p>
        </w:tc>
        <w:tc>
          <w:tcPr>
            <w:tcW w:w="540" w:type="dxa"/>
          </w:tcPr>
          <w:p>
            <w:pPr/>
          </w:p>
        </w:tc>
        <w:tc>
          <w:tcPr>
            <w:tcW w:w="540" w:type="dxa"/>
          </w:tcPr>
          <w:p>
            <w:pPr>
              <w:pStyle w:val="TableParagraph"/>
              <w:spacing w:before="119"/>
              <w:ind w:left="103"/>
              <w:rPr>
                <w:sz w:val="20"/>
              </w:rPr>
            </w:pPr>
            <w:r>
              <w:rPr>
                <w:sz w:val="20"/>
              </w:rPr>
              <w:t>ΤΚ:</w:t>
            </w:r>
          </w:p>
        </w:tc>
        <w:tc>
          <w:tcPr>
            <w:tcW w:w="838" w:type="dxa"/>
          </w:tcPr>
          <w:p>
            <w:pPr/>
          </w:p>
        </w:tc>
      </w:tr>
      <w:tr>
        <w:trPr>
          <w:trHeight w:val="982" w:hRule="exact"/>
        </w:trPr>
        <w:tc>
          <w:tcPr>
            <w:tcW w:w="2357" w:type="dxa"/>
            <w:gridSpan w:val="3"/>
          </w:tcPr>
          <w:p>
            <w:pPr>
              <w:pStyle w:val="TableParagraph"/>
              <w:spacing w:before="8"/>
              <w:rPr>
                <w:b/>
                <w:sz w:val="24"/>
              </w:rPr>
            </w:pPr>
          </w:p>
          <w:p>
            <w:pPr>
              <w:pStyle w:val="TableParagraph"/>
              <w:ind w:left="103"/>
              <w:rPr>
                <w:sz w:val="20"/>
              </w:rPr>
            </w:pPr>
            <w:r>
              <w:rPr>
                <w:sz w:val="20"/>
              </w:rPr>
              <w:t>Αρ. Τηλεομοιοτύπου</w:t>
            </w:r>
          </w:p>
          <w:p>
            <w:pPr>
              <w:pStyle w:val="TableParagraph"/>
              <w:ind w:left="103"/>
              <w:rPr>
                <w:sz w:val="20"/>
              </w:rPr>
            </w:pPr>
            <w:r>
              <w:rPr>
                <w:sz w:val="20"/>
              </w:rPr>
              <w:t>(Fax):</w:t>
            </w:r>
          </w:p>
        </w:tc>
        <w:tc>
          <w:tcPr>
            <w:tcW w:w="3451" w:type="dxa"/>
            <w:gridSpan w:val="4"/>
          </w:tcPr>
          <w:p>
            <w:pPr/>
          </w:p>
        </w:tc>
        <w:tc>
          <w:tcPr>
            <w:tcW w:w="1456" w:type="dxa"/>
            <w:gridSpan w:val="2"/>
          </w:tcPr>
          <w:p>
            <w:pPr>
              <w:pStyle w:val="TableParagraph"/>
              <w:spacing w:before="119"/>
              <w:ind w:left="118"/>
              <w:rPr>
                <w:sz w:val="20"/>
              </w:rPr>
            </w:pPr>
            <w:r>
              <w:rPr>
                <w:sz w:val="20"/>
              </w:rPr>
              <w:t>Δ/νση Ηλεκτρ. </w:t>
            </w:r>
            <w:r>
              <w:rPr>
                <w:w w:val="95"/>
                <w:sz w:val="20"/>
              </w:rPr>
              <w:t>Ταχυδρομείου</w:t>
            </w:r>
          </w:p>
          <w:p>
            <w:pPr>
              <w:pStyle w:val="TableParagraph"/>
              <w:spacing w:before="120"/>
              <w:ind w:left="118"/>
              <w:rPr>
                <w:sz w:val="20"/>
              </w:rPr>
            </w:pPr>
            <w:r>
              <w:rPr>
                <w:sz w:val="20"/>
              </w:rPr>
              <w:t>(Εmail):</w:t>
            </w:r>
          </w:p>
        </w:tc>
        <w:tc>
          <w:tcPr>
            <w:tcW w:w="2967" w:type="dxa"/>
            <w:gridSpan w:val="5"/>
          </w:tcPr>
          <w:p>
            <w:pPr/>
          </w:p>
        </w:tc>
      </w:tr>
      <w:tr>
        <w:trPr>
          <w:trHeight w:val="530" w:hRule="exact"/>
        </w:trPr>
        <w:tc>
          <w:tcPr>
            <w:tcW w:w="10231" w:type="dxa"/>
            <w:gridSpan w:val="14"/>
          </w:tcPr>
          <w:p>
            <w:pPr>
              <w:pStyle w:val="TableParagraph"/>
              <w:spacing w:line="244" w:lineRule="exact" w:before="11"/>
              <w:ind w:left="103" w:right="634"/>
              <w:rPr>
                <w:sz w:val="20"/>
              </w:rPr>
            </w:pPr>
            <w:r>
              <w:rPr>
                <w:sz w:val="20"/>
              </w:rPr>
              <w:t>Με ατομική μου ευθύνη και γνωρίζοντας τις κυρώσεις</w:t>
            </w:r>
            <w:r>
              <w:rPr>
                <w:position w:val="10"/>
                <w:sz w:val="13"/>
              </w:rPr>
              <w:t>(3)</w:t>
            </w:r>
            <w:r>
              <w:rPr>
                <w:sz w:val="20"/>
              </w:rPr>
              <w:t>, που προβλέπονται από τις διατάξεις της παρ. 6 του άρθρου 22 του Ν. 1599/1986, δηλώνω ότι:</w:t>
            </w:r>
          </w:p>
        </w:tc>
      </w:tr>
      <w:tr>
        <w:trPr>
          <w:trHeight w:val="4935" w:hRule="exact"/>
        </w:trPr>
        <w:tc>
          <w:tcPr>
            <w:tcW w:w="10231" w:type="dxa"/>
            <w:gridSpan w:val="14"/>
          </w:tcPr>
          <w:p>
            <w:pPr>
              <w:pStyle w:val="TableParagraph"/>
              <w:numPr>
                <w:ilvl w:val="0"/>
                <w:numId w:val="82"/>
              </w:numPr>
              <w:tabs>
                <w:tab w:pos="824" w:val="left" w:leader="none"/>
              </w:tabs>
              <w:spacing w:line="240" w:lineRule="auto" w:before="0" w:after="0"/>
              <w:ind w:left="823" w:right="110" w:hanging="360"/>
              <w:jc w:val="both"/>
              <w:rPr>
                <w:sz w:val="20"/>
              </w:rPr>
            </w:pPr>
            <w:r>
              <w:rPr>
                <w:sz w:val="20"/>
              </w:rPr>
              <w:t>Όλα τα αναγραφόμενα τόσο στην ηλεκτρονική όσο και στη φυσική μορφή του εντύπου υποβολής πρότασης καθώς και όλα τα υποβαλλόμενα δικαιολογητικά που περιλαμβάνονται στο φυσικό φάκελο της πρότασης είναι ακριβή και</w:t>
            </w:r>
            <w:r>
              <w:rPr>
                <w:spacing w:val="-6"/>
                <w:sz w:val="20"/>
              </w:rPr>
              <w:t> </w:t>
            </w:r>
            <w:r>
              <w:rPr>
                <w:sz w:val="20"/>
              </w:rPr>
              <w:t>αληθή.</w:t>
            </w:r>
          </w:p>
          <w:p>
            <w:pPr>
              <w:pStyle w:val="TableParagraph"/>
              <w:numPr>
                <w:ilvl w:val="0"/>
                <w:numId w:val="82"/>
              </w:numPr>
              <w:tabs>
                <w:tab w:pos="824" w:val="left" w:leader="none"/>
              </w:tabs>
              <w:spacing w:line="240" w:lineRule="auto" w:before="60" w:after="0"/>
              <w:ind w:left="823" w:right="105" w:hanging="360"/>
              <w:jc w:val="both"/>
              <w:rPr>
                <w:sz w:val="20"/>
              </w:rPr>
            </w:pPr>
            <w:r>
              <w:rPr>
                <w:sz w:val="20"/>
              </w:rPr>
              <w:t>Ο Δικαιούχος έχει λάβει σαφή γνώση του περιεχομένου και των όρων της Πρόσκλησης, τους οποίους και αποδέχεται</w:t>
            </w:r>
            <w:r>
              <w:rPr>
                <w:spacing w:val="-8"/>
                <w:sz w:val="20"/>
              </w:rPr>
              <w:t> </w:t>
            </w:r>
            <w:r>
              <w:rPr>
                <w:sz w:val="20"/>
              </w:rPr>
              <w:t>ανεπιφύλακτα.</w:t>
            </w:r>
          </w:p>
          <w:p>
            <w:pPr>
              <w:pStyle w:val="TableParagraph"/>
              <w:numPr>
                <w:ilvl w:val="0"/>
                <w:numId w:val="82"/>
              </w:numPr>
              <w:tabs>
                <w:tab w:pos="824" w:val="left" w:leader="none"/>
              </w:tabs>
              <w:spacing w:line="240" w:lineRule="auto" w:before="60" w:after="0"/>
              <w:ind w:left="823" w:right="109" w:hanging="360"/>
              <w:jc w:val="both"/>
              <w:rPr>
                <w:sz w:val="20"/>
              </w:rPr>
            </w:pPr>
            <w:r>
              <w:rPr>
                <w:sz w:val="20"/>
              </w:rPr>
              <w:t>Το συγκεκριμένο επενδυτικό σχέδιο ή μέρος αυτού καθώς και οι δαπάνες που περιλαμβάνει δεν έχουν χρηματοδοτηθεί, ενταχθεί και δεν θα υποβληθούν προς έγκριση χρηματοδότησης σε άλλο πρόγραμμα που χρηματοδοτείται από εθνικούς ή κοινοτικούς</w:t>
            </w:r>
            <w:r>
              <w:rPr>
                <w:spacing w:val="-15"/>
                <w:sz w:val="20"/>
              </w:rPr>
              <w:t> </w:t>
            </w:r>
            <w:r>
              <w:rPr>
                <w:sz w:val="20"/>
              </w:rPr>
              <w:t>πόρους.</w:t>
            </w:r>
          </w:p>
          <w:p>
            <w:pPr>
              <w:pStyle w:val="TableParagraph"/>
              <w:numPr>
                <w:ilvl w:val="0"/>
                <w:numId w:val="82"/>
              </w:numPr>
              <w:tabs>
                <w:tab w:pos="824" w:val="left" w:leader="none"/>
              </w:tabs>
              <w:spacing w:line="240" w:lineRule="auto" w:before="60" w:after="0"/>
              <w:ind w:left="823" w:right="112" w:hanging="360"/>
              <w:jc w:val="both"/>
              <w:rPr>
                <w:sz w:val="20"/>
              </w:rPr>
            </w:pPr>
            <w:r>
              <w:rPr>
                <w:sz w:val="20"/>
              </w:rPr>
              <w:t>Δεν πραγματοποιήθηκαν δαπάνες που αφορούν στο έργο πριν από το χρόνο έναρξης επιλεξιμότητας των δαπανών, όπως ορίζεται στην</w:t>
            </w:r>
            <w:r>
              <w:rPr>
                <w:spacing w:val="-10"/>
                <w:sz w:val="20"/>
              </w:rPr>
              <w:t> </w:t>
            </w:r>
            <w:r>
              <w:rPr>
                <w:sz w:val="20"/>
              </w:rPr>
              <w:t>Πρόσκληση.</w:t>
            </w:r>
          </w:p>
          <w:p>
            <w:pPr>
              <w:pStyle w:val="TableParagraph"/>
              <w:numPr>
                <w:ilvl w:val="0"/>
                <w:numId w:val="82"/>
              </w:numPr>
              <w:tabs>
                <w:tab w:pos="823" w:val="left" w:leader="none"/>
                <w:tab w:pos="824" w:val="left" w:leader="none"/>
              </w:tabs>
              <w:spacing w:line="240" w:lineRule="auto" w:before="60" w:after="0"/>
              <w:ind w:left="823" w:right="0" w:hanging="360"/>
              <w:jc w:val="left"/>
              <w:rPr>
                <w:sz w:val="20"/>
              </w:rPr>
            </w:pPr>
            <w:r>
              <w:rPr>
                <w:sz w:val="20"/>
              </w:rPr>
              <w:t>Η επιχείρηση δεν βρίσκεται υπό πτώχευση, εκκαθάριση ή αναγκαστική</w:t>
            </w:r>
            <w:r>
              <w:rPr>
                <w:spacing w:val="-14"/>
                <w:sz w:val="20"/>
              </w:rPr>
              <w:t> </w:t>
            </w:r>
            <w:r>
              <w:rPr>
                <w:sz w:val="20"/>
              </w:rPr>
              <w:t>διαχείριση.</w:t>
            </w:r>
          </w:p>
          <w:p>
            <w:pPr>
              <w:pStyle w:val="TableParagraph"/>
              <w:numPr>
                <w:ilvl w:val="0"/>
                <w:numId w:val="82"/>
              </w:numPr>
              <w:tabs>
                <w:tab w:pos="824" w:val="left" w:leader="none"/>
              </w:tabs>
              <w:spacing w:line="240" w:lineRule="auto" w:before="58" w:after="0"/>
              <w:ind w:left="823" w:right="105" w:hanging="360"/>
              <w:jc w:val="both"/>
              <w:rPr>
                <w:sz w:val="20"/>
              </w:rPr>
            </w:pPr>
            <w:r>
              <w:rPr>
                <w:sz w:val="20"/>
              </w:rPr>
              <w:t>Δεν εκκρεμεί σε βάρος της επιχείρησης ανάκτηση καταβληθείσας κρατικής ενίσχυσης έπειτα από απόφαση της Ευρωπαϊκής Επιτροπής με την οποία μια ενίσχυση κηρύσσεται παράνομη και ασυμβίβαστη με την εσωτερική αγορά.</w:t>
            </w:r>
          </w:p>
          <w:p>
            <w:pPr>
              <w:pStyle w:val="TableParagraph"/>
              <w:numPr>
                <w:ilvl w:val="0"/>
                <w:numId w:val="82"/>
              </w:numPr>
              <w:tabs>
                <w:tab w:pos="823" w:val="left" w:leader="none"/>
                <w:tab w:pos="824" w:val="left" w:leader="none"/>
              </w:tabs>
              <w:spacing w:line="240" w:lineRule="auto" w:before="60" w:after="0"/>
              <w:ind w:left="823" w:right="0" w:hanging="360"/>
              <w:jc w:val="left"/>
              <w:rPr>
                <w:sz w:val="20"/>
              </w:rPr>
            </w:pPr>
            <w:r>
              <w:rPr>
                <w:sz w:val="20"/>
              </w:rPr>
              <w:t>Η ενιαία επιχείρηση δεν είναι προβληματική σύμφωνα με </w:t>
            </w:r>
            <w:r>
              <w:rPr>
                <w:spacing w:val="3"/>
                <w:sz w:val="20"/>
              </w:rPr>
              <w:t>το </w:t>
            </w:r>
            <w:r>
              <w:rPr>
                <w:sz w:val="20"/>
              </w:rPr>
              <w:t>Παράρτημα VI της</w:t>
            </w:r>
            <w:r>
              <w:rPr>
                <w:spacing w:val="-29"/>
                <w:sz w:val="20"/>
              </w:rPr>
              <w:t> </w:t>
            </w:r>
            <w:r>
              <w:rPr>
                <w:sz w:val="20"/>
              </w:rPr>
              <w:t>Πρόσκλησης,</w:t>
            </w:r>
          </w:p>
          <w:p>
            <w:pPr>
              <w:pStyle w:val="TableParagraph"/>
              <w:numPr>
                <w:ilvl w:val="0"/>
                <w:numId w:val="82"/>
              </w:numPr>
              <w:tabs>
                <w:tab w:pos="824" w:val="left" w:leader="none"/>
              </w:tabs>
              <w:spacing w:line="276" w:lineRule="auto" w:before="58" w:after="0"/>
              <w:ind w:left="823" w:right="103" w:hanging="360"/>
              <w:jc w:val="both"/>
              <w:rPr>
                <w:sz w:val="20"/>
              </w:rPr>
            </w:pPr>
            <w:r>
              <w:rPr>
                <w:sz w:val="20"/>
              </w:rPr>
              <w:t>Η επιχείρηση δεν εντάσσεται σε ήδη οργανωμένο ομοιόμορφο δίκτυο διανομής προϊόντων ή παροχής υπηρεσιών η οποία εκμεταλλεύεται κατόπιν σχετικών συμβάσεων άδειες εκμετάλλευσης δικαιωμάτων διανοητικής</w:t>
            </w:r>
            <w:r>
              <w:rPr>
                <w:spacing w:val="17"/>
                <w:sz w:val="20"/>
              </w:rPr>
              <w:t> </w:t>
            </w:r>
            <w:r>
              <w:rPr>
                <w:sz w:val="20"/>
              </w:rPr>
              <w:t>ιδιοκτησίας,</w:t>
            </w:r>
            <w:r>
              <w:rPr>
                <w:spacing w:val="17"/>
                <w:sz w:val="20"/>
              </w:rPr>
              <w:t> </w:t>
            </w:r>
            <w:r>
              <w:rPr>
                <w:sz w:val="20"/>
              </w:rPr>
              <w:t>που</w:t>
            </w:r>
            <w:r>
              <w:rPr>
                <w:spacing w:val="17"/>
                <w:sz w:val="20"/>
              </w:rPr>
              <w:t> </w:t>
            </w:r>
            <w:r>
              <w:rPr>
                <w:sz w:val="20"/>
              </w:rPr>
              <w:t>αφορούν</w:t>
            </w:r>
            <w:r>
              <w:rPr>
                <w:spacing w:val="17"/>
                <w:sz w:val="20"/>
              </w:rPr>
              <w:t> </w:t>
            </w:r>
            <w:r>
              <w:rPr>
                <w:sz w:val="20"/>
              </w:rPr>
              <w:t>συνήθως</w:t>
            </w:r>
            <w:r>
              <w:rPr>
                <w:spacing w:val="17"/>
                <w:sz w:val="20"/>
              </w:rPr>
              <w:t> </w:t>
            </w:r>
            <w:r>
              <w:rPr>
                <w:sz w:val="20"/>
              </w:rPr>
              <w:t>εμπορικά</w:t>
            </w:r>
            <w:r>
              <w:rPr>
                <w:spacing w:val="17"/>
                <w:sz w:val="20"/>
              </w:rPr>
              <w:t> </w:t>
            </w:r>
            <w:r>
              <w:rPr>
                <w:sz w:val="20"/>
              </w:rPr>
              <w:t>σήματα</w:t>
            </w:r>
            <w:r>
              <w:rPr>
                <w:spacing w:val="16"/>
                <w:sz w:val="20"/>
              </w:rPr>
              <w:t> </w:t>
            </w:r>
            <w:r>
              <w:rPr>
                <w:sz w:val="20"/>
              </w:rPr>
              <w:t>ή</w:t>
            </w:r>
            <w:r>
              <w:rPr>
                <w:spacing w:val="18"/>
                <w:sz w:val="20"/>
              </w:rPr>
              <w:t> </w:t>
            </w:r>
            <w:r>
              <w:rPr>
                <w:sz w:val="20"/>
              </w:rPr>
              <w:t>διακριτικούς</w:t>
            </w:r>
            <w:r>
              <w:rPr>
                <w:spacing w:val="19"/>
                <w:sz w:val="20"/>
              </w:rPr>
              <w:t> </w:t>
            </w:r>
            <w:r>
              <w:rPr>
                <w:sz w:val="20"/>
              </w:rPr>
              <w:t>τίτλους</w:t>
            </w:r>
            <w:r>
              <w:rPr>
                <w:spacing w:val="17"/>
                <w:sz w:val="20"/>
              </w:rPr>
              <w:t> </w:t>
            </w:r>
            <w:r>
              <w:rPr>
                <w:sz w:val="20"/>
              </w:rPr>
              <w:t>και</w:t>
            </w:r>
            <w:r>
              <w:rPr>
                <w:spacing w:val="18"/>
                <w:sz w:val="20"/>
              </w:rPr>
              <w:t> </w:t>
            </w:r>
            <w:r>
              <w:rPr>
                <w:sz w:val="20"/>
              </w:rPr>
              <w:t>τεχνογνωσία</w:t>
            </w:r>
            <w:r>
              <w:rPr>
                <w:spacing w:val="17"/>
                <w:sz w:val="20"/>
              </w:rPr>
              <w:t> </w:t>
            </w:r>
            <w:r>
              <w:rPr>
                <w:sz w:val="20"/>
              </w:rPr>
              <w:t>για</w:t>
            </w:r>
          </w:p>
        </w:tc>
      </w:tr>
    </w:tbl>
    <w:p>
      <w:pPr>
        <w:spacing w:after="0" w:line="276" w:lineRule="auto"/>
        <w:jc w:val="both"/>
        <w:rPr>
          <w:sz w:val="20"/>
        </w:rPr>
        <w:sectPr>
          <w:headerReference w:type="default" r:id="rId94"/>
          <w:footerReference w:type="default" r:id="rId95"/>
          <w:pgSz w:w="11910" w:h="16840"/>
          <w:pgMar w:header="748" w:footer="734" w:top="1420" w:bottom="920" w:left="700" w:right="740"/>
          <w:pgNumType w:start="1"/>
        </w:sectPr>
      </w:pPr>
    </w:p>
    <w:p>
      <w:pPr>
        <w:pStyle w:val="BodyText"/>
        <w:spacing w:before="4"/>
        <w:rPr>
          <w:b/>
          <w:sz w:val="18"/>
        </w:rPr>
      </w:pPr>
      <w:r>
        <w:rPr/>
        <w:pict>
          <v:group style="position:absolute;margin-left:40.310001pt;margin-top:85.209984pt;width:512.0500pt;height:677.8pt;mso-position-horizontal-relative:page;mso-position-vertical-relative:page;z-index:-268048" coordorigin="806,1704" coordsize="10241,13556">
            <v:line style="position:absolute" from="816,1714" to="11037,1714" stroked="true" strokeweight=".48pt" strokecolor="#000000">
              <v:stroke dashstyle="solid"/>
            </v:line>
            <v:line style="position:absolute" from="811,1709" to="811,15254" stroked="true" strokeweight=".48pt" strokecolor="#000000">
              <v:stroke dashstyle="solid"/>
            </v:line>
            <v:line style="position:absolute" from="816,15250" to="11037,15250" stroked="true" strokeweight=".48004pt" strokecolor="#000000">
              <v:stroke dashstyle="solid"/>
            </v:line>
            <v:line style="position:absolute" from="11042,1709" to="11042,15254" stroked="true" strokeweight=".47998pt" strokecolor="#000000">
              <v:stroke dashstyle="solid"/>
            </v:line>
            <w10:wrap type="none"/>
          </v:group>
        </w:pict>
      </w:r>
    </w:p>
    <w:p>
      <w:pPr>
        <w:spacing w:before="59"/>
        <w:ind w:left="939" w:right="0" w:firstLine="0"/>
        <w:jc w:val="left"/>
        <w:rPr>
          <w:sz w:val="20"/>
        </w:rPr>
      </w:pPr>
      <w:r>
        <w:rPr>
          <w:sz w:val="20"/>
        </w:rPr>
        <w:t>την χρήση και τη διανομή αγαθών ή υπηρεσιών (π.χ. franchising, shop in shop, δίκτυο πρακτόρευσης).</w:t>
      </w:r>
    </w:p>
    <w:p>
      <w:pPr>
        <w:pStyle w:val="ListParagraph"/>
        <w:numPr>
          <w:ilvl w:val="1"/>
          <w:numId w:val="75"/>
        </w:numPr>
        <w:tabs>
          <w:tab w:pos="940" w:val="left" w:leader="none"/>
        </w:tabs>
        <w:spacing w:line="276" w:lineRule="auto" w:before="36" w:after="0"/>
        <w:ind w:left="939" w:right="243" w:hanging="360"/>
        <w:jc w:val="both"/>
        <w:rPr>
          <w:sz w:val="20"/>
        </w:rPr>
      </w:pPr>
      <w:r>
        <w:rPr>
          <w:sz w:val="20"/>
        </w:rPr>
        <w:t>Το επενδυτικό σχέδιο (φυσικό και οικονομικό αντικείμενο) δεν έχει ολοκληρωθεί πριν την ημερομηνία υποβολής της</w:t>
      </w:r>
      <w:r>
        <w:rPr>
          <w:spacing w:val="-6"/>
          <w:sz w:val="20"/>
        </w:rPr>
        <w:t> </w:t>
      </w:r>
      <w:r>
        <w:rPr>
          <w:sz w:val="20"/>
        </w:rPr>
        <w:t>πρότασης.</w:t>
      </w:r>
    </w:p>
    <w:p>
      <w:pPr>
        <w:pStyle w:val="ListParagraph"/>
        <w:numPr>
          <w:ilvl w:val="1"/>
          <w:numId w:val="75"/>
        </w:numPr>
        <w:tabs>
          <w:tab w:pos="940" w:val="left" w:leader="none"/>
        </w:tabs>
        <w:spacing w:line="240" w:lineRule="auto" w:before="0" w:after="0"/>
        <w:ind w:left="939" w:right="0" w:hanging="360"/>
        <w:jc w:val="left"/>
        <w:rPr>
          <w:sz w:val="20"/>
        </w:rPr>
      </w:pPr>
      <w:r>
        <w:rPr>
          <w:sz w:val="20"/>
        </w:rPr>
        <w:t>Το επενδυτικό σχέδιο θα χωροθετηθεί αποκλειστικά στην Περιφέρεια</w:t>
      </w:r>
      <w:r>
        <w:rPr>
          <w:spacing w:val="-17"/>
          <w:sz w:val="20"/>
        </w:rPr>
        <w:t> </w:t>
      </w:r>
      <w:r>
        <w:rPr>
          <w:sz w:val="20"/>
        </w:rPr>
        <w:t>Θεσσαλίας.</w:t>
      </w:r>
    </w:p>
    <w:p>
      <w:pPr>
        <w:pStyle w:val="ListParagraph"/>
        <w:numPr>
          <w:ilvl w:val="1"/>
          <w:numId w:val="75"/>
        </w:numPr>
        <w:tabs>
          <w:tab w:pos="940" w:val="left" w:leader="none"/>
        </w:tabs>
        <w:spacing w:line="240" w:lineRule="auto" w:before="156" w:after="0"/>
        <w:ind w:left="939" w:right="237" w:hanging="360"/>
        <w:jc w:val="both"/>
        <w:rPr>
          <w:sz w:val="20"/>
        </w:rPr>
      </w:pPr>
      <w:r>
        <w:rPr>
          <w:sz w:val="20"/>
        </w:rPr>
        <w:t>Σε περίπτωση έγκρισης της χρηματοδότησης του ο Δικαιούχος συμφωνεί στη δημοσίευση της επωνυμίας της επιχείρησης, του τίτλου της πράξης και του ποσού της δημόσιας χρηματοδότησης στον κατάλογο των δικαιούχων που δημοσιεύεται ηλεκτρονικά ή με άλλο τρόπο, σύμφωνα με το άρθρο 7 παράγραφος 2 στοιχείο δ του Κανονισμού (ΕΚ) αριθμ.</w:t>
      </w:r>
      <w:r>
        <w:rPr>
          <w:spacing w:val="-12"/>
          <w:sz w:val="20"/>
        </w:rPr>
        <w:t> </w:t>
      </w:r>
      <w:r>
        <w:rPr>
          <w:sz w:val="20"/>
        </w:rPr>
        <w:t>1828/2006.</w:t>
      </w:r>
    </w:p>
    <w:p>
      <w:pPr>
        <w:pStyle w:val="ListParagraph"/>
        <w:numPr>
          <w:ilvl w:val="1"/>
          <w:numId w:val="75"/>
        </w:numPr>
        <w:tabs>
          <w:tab w:pos="940" w:val="left" w:leader="none"/>
        </w:tabs>
        <w:spacing w:line="240" w:lineRule="auto" w:before="60" w:after="0"/>
        <w:ind w:left="939" w:right="235" w:hanging="360"/>
        <w:jc w:val="both"/>
        <w:rPr>
          <w:sz w:val="20"/>
        </w:rPr>
      </w:pPr>
      <w:r>
        <w:rPr>
          <w:sz w:val="20"/>
        </w:rPr>
        <w:t>Εφόσον το επενδυτικό σχέδιο ενταχθεί στο πλαίσιο της παρούσας πρόσκλησης, ο Δικαιούχος δεσμεύεται να προσκομίσει υπεύθυνη δήλωση ότι από την ημερομηνία υποβολής της αίτησης χρηματοδότησης μέχρι και την ημερομηνία ένταξης του επενδυτικού σχεδίου δεν έχει ενταχθεί σε άλλα συγχρηματοδοτούμενα προγράμματα ή/και έγγραφη παραίτησή του από αίτηση χρηματοδότησης του επενδυτικού σχεδίου από άλλα συγχρηματοδοτούμενα προγράμματα, εάν αυτή βρίσκεται σε φάση</w:t>
      </w:r>
      <w:r>
        <w:rPr>
          <w:spacing w:val="-15"/>
          <w:sz w:val="20"/>
        </w:rPr>
        <w:t> </w:t>
      </w:r>
      <w:r>
        <w:rPr>
          <w:sz w:val="20"/>
        </w:rPr>
        <w:t>αξιολόγησης.</w:t>
      </w:r>
    </w:p>
    <w:p>
      <w:pPr>
        <w:pStyle w:val="ListParagraph"/>
        <w:numPr>
          <w:ilvl w:val="1"/>
          <w:numId w:val="75"/>
        </w:numPr>
        <w:tabs>
          <w:tab w:pos="940" w:val="left" w:leader="none"/>
        </w:tabs>
        <w:spacing w:line="240" w:lineRule="auto" w:before="60" w:after="0"/>
        <w:ind w:left="939" w:right="245" w:hanging="360"/>
        <w:jc w:val="both"/>
        <w:rPr>
          <w:sz w:val="20"/>
        </w:rPr>
      </w:pPr>
      <w:r>
        <w:rPr>
          <w:sz w:val="20"/>
        </w:rPr>
        <w:t>Ο Δικαιούχος αποδέχεται οποιοδήποτε σχετικό έλεγχο για την εξακρίβωση των δηλωθέντων από τις αρμόδιες εθνικές ή κοινοτικές</w:t>
      </w:r>
      <w:r>
        <w:rPr>
          <w:spacing w:val="-9"/>
          <w:sz w:val="20"/>
        </w:rPr>
        <w:t> </w:t>
      </w:r>
      <w:r>
        <w:rPr>
          <w:sz w:val="20"/>
        </w:rPr>
        <w:t>αρχές.</w:t>
      </w:r>
    </w:p>
    <w:p>
      <w:pPr>
        <w:pStyle w:val="ListParagraph"/>
        <w:numPr>
          <w:ilvl w:val="1"/>
          <w:numId w:val="75"/>
        </w:numPr>
        <w:tabs>
          <w:tab w:pos="940" w:val="left" w:leader="none"/>
        </w:tabs>
        <w:spacing w:line="240" w:lineRule="auto" w:before="60" w:after="0"/>
        <w:ind w:left="939" w:right="233" w:hanging="360"/>
        <w:jc w:val="both"/>
        <w:rPr>
          <w:sz w:val="20"/>
        </w:rPr>
      </w:pPr>
      <w:r>
        <w:rPr>
          <w:sz w:val="20"/>
        </w:rPr>
        <w:t>Ο Δικαιούχος αποδέχεται τη διασταύρωση των στοιχείων που δηλώνονται στην πρόταση του επενδυτικού σχεδίου με τα στοιχεία που παρέχονται από το πληροφοριακό σύστημα TAXIS και τα συστήματα των ασφαλιστικών</w:t>
      </w:r>
      <w:r>
        <w:rPr>
          <w:spacing w:val="-9"/>
          <w:sz w:val="20"/>
        </w:rPr>
        <w:t> </w:t>
      </w:r>
      <w:r>
        <w:rPr>
          <w:sz w:val="20"/>
        </w:rPr>
        <w:t>οργανισμών.</w:t>
      </w:r>
    </w:p>
    <w:p>
      <w:pPr>
        <w:pStyle w:val="ListParagraph"/>
        <w:numPr>
          <w:ilvl w:val="1"/>
          <w:numId w:val="75"/>
        </w:numPr>
        <w:tabs>
          <w:tab w:pos="940" w:val="left" w:leader="none"/>
        </w:tabs>
        <w:spacing w:line="240" w:lineRule="auto" w:before="58" w:after="0"/>
        <w:ind w:left="939" w:right="233" w:hanging="360"/>
        <w:jc w:val="both"/>
        <w:rPr>
          <w:sz w:val="20"/>
        </w:rPr>
      </w:pPr>
      <w:r>
        <w:rPr>
          <w:sz w:val="20"/>
        </w:rPr>
        <w:t>Ο Δικαιούχος αποδέχεται ότι τα μηνύματα που θα αποστέλλονται μέσω ηλεκτρονικού ταχυδρομείου και ειδικότερα της διεύθυνσης email που έχει δηλωθεί στο έντυπο υποβολής προς την Διεύθυνση Αναπτυξιακού Προγραμματισμού της Περιφέρειας Θεσσαλίας (ΔΙΑΠ ΠΘ) και όσα λαμβάνονται από τη ΔΙΑΠ ΠΘ επέχουν θέση επίσημων</w:t>
      </w:r>
      <w:r>
        <w:rPr>
          <w:spacing w:val="-8"/>
          <w:sz w:val="20"/>
        </w:rPr>
        <w:t> </w:t>
      </w:r>
      <w:r>
        <w:rPr>
          <w:sz w:val="20"/>
        </w:rPr>
        <w:t>εγγράφων.</w:t>
      </w:r>
    </w:p>
    <w:p>
      <w:pPr>
        <w:pStyle w:val="ListParagraph"/>
        <w:numPr>
          <w:ilvl w:val="1"/>
          <w:numId w:val="75"/>
        </w:numPr>
        <w:tabs>
          <w:tab w:pos="940" w:val="left" w:leader="none"/>
        </w:tabs>
        <w:spacing w:line="240" w:lineRule="auto" w:before="58" w:after="0"/>
        <w:ind w:left="939" w:right="234" w:hanging="360"/>
        <w:jc w:val="both"/>
        <w:rPr>
          <w:sz w:val="20"/>
        </w:rPr>
      </w:pPr>
      <w:r>
        <w:rPr>
          <w:sz w:val="20"/>
        </w:rPr>
        <w:t>Ο Δικαιούχος αποδέχεται ότι κατά την υλοποίηση του έργου, η επικοινωνία με την Διεύθυνση Αναπτυξιακού Προγραμματισμού της Περιφέρειας Θεσσαλίας αναφορικά με την εξέλιξη και ολοκλήρωση της πράξης (αιτήματα τροποποίησης, εκθέσεις προόδου και ολοκλήρωσης κλπ.) δύναται να γίνεται ηλεκτρονικά (on screen) μέσω ηλεκτρονικών εντύπων, όπως αυτά θα καθοριστούν από την Διεύθυνση Αναπτυξιακού Προγραμματισμού της Περιφέρειας</w:t>
      </w:r>
      <w:r>
        <w:rPr>
          <w:spacing w:val="-7"/>
          <w:sz w:val="20"/>
        </w:rPr>
        <w:t> </w:t>
      </w:r>
      <w:r>
        <w:rPr>
          <w:sz w:val="20"/>
        </w:rPr>
        <w:t>Θεσσαλίας.</w:t>
      </w:r>
    </w:p>
    <w:p>
      <w:pPr>
        <w:pStyle w:val="ListParagraph"/>
        <w:numPr>
          <w:ilvl w:val="1"/>
          <w:numId w:val="75"/>
        </w:numPr>
        <w:tabs>
          <w:tab w:pos="940" w:val="left" w:leader="none"/>
        </w:tabs>
        <w:spacing w:line="240" w:lineRule="auto" w:before="60" w:after="0"/>
        <w:ind w:left="939" w:right="241" w:hanging="360"/>
        <w:jc w:val="both"/>
        <w:rPr>
          <w:sz w:val="20"/>
        </w:rPr>
      </w:pPr>
      <w:r>
        <w:rPr>
          <w:sz w:val="20"/>
        </w:rPr>
        <w:t>Ο Δικαιούχος αποδέχεται ότι σε περίπτωση διαπίστωσης ανακριβειών στη δήλωσή του, μετά την ένταξη του έργου, το έργο θα απενταχθεί και θα κληθεί να επιστρέψει έντοκα τη ληφθείσα δημόσια</w:t>
      </w:r>
      <w:r>
        <w:rPr>
          <w:spacing w:val="-26"/>
          <w:sz w:val="20"/>
        </w:rPr>
        <w:t> </w:t>
      </w:r>
      <w:r>
        <w:rPr>
          <w:sz w:val="20"/>
        </w:rPr>
        <w:t>χρηματοδότηση.</w:t>
      </w:r>
    </w:p>
    <w:p>
      <w:pPr>
        <w:pStyle w:val="ListParagraph"/>
        <w:numPr>
          <w:ilvl w:val="1"/>
          <w:numId w:val="75"/>
        </w:numPr>
        <w:tabs>
          <w:tab w:pos="940" w:val="left" w:leader="none"/>
        </w:tabs>
        <w:spacing w:line="240" w:lineRule="auto" w:before="58" w:after="0"/>
        <w:ind w:left="939" w:right="229" w:hanging="360"/>
        <w:jc w:val="both"/>
        <w:rPr>
          <w:sz w:val="20"/>
        </w:rPr>
      </w:pPr>
      <w:r>
        <w:rPr>
          <w:sz w:val="20"/>
        </w:rPr>
        <w:t>Δεν συντρέχουν για την επιχείρηση οι λόγοι αποκλεισμού του άρθρου 40 του Ν. 4488/2017 (ΦΕΚ Α 137/13-09- 2017), όπως εκάστοτε</w:t>
      </w:r>
      <w:r>
        <w:rPr>
          <w:spacing w:val="-8"/>
          <w:sz w:val="20"/>
        </w:rPr>
        <w:t> </w:t>
      </w:r>
      <w:r>
        <w:rPr>
          <w:sz w:val="20"/>
        </w:rPr>
        <w:t>ισχύει.</w:t>
      </w:r>
    </w:p>
    <w:p>
      <w:pPr>
        <w:pStyle w:val="ListParagraph"/>
        <w:numPr>
          <w:ilvl w:val="1"/>
          <w:numId w:val="75"/>
        </w:numPr>
        <w:tabs>
          <w:tab w:pos="940" w:val="left" w:leader="none"/>
        </w:tabs>
        <w:spacing w:line="240" w:lineRule="auto" w:before="60" w:after="0"/>
        <w:ind w:left="939" w:right="234" w:hanging="360"/>
        <w:jc w:val="both"/>
        <w:rPr>
          <w:sz w:val="20"/>
        </w:rPr>
      </w:pPr>
      <w:r>
        <w:rPr>
          <w:sz w:val="20"/>
        </w:rPr>
        <w:t>Ο Δικαιούχος τηρεί τη νομοθεσία περί υγείας και ασφάλειας των εργαζομένων και πρόληψης του επαγγελματικού</w:t>
      </w:r>
      <w:r>
        <w:rPr>
          <w:spacing w:val="-8"/>
          <w:sz w:val="20"/>
        </w:rPr>
        <w:t> </w:t>
      </w:r>
      <w:r>
        <w:rPr>
          <w:sz w:val="20"/>
        </w:rPr>
        <w:t>κινδύνου.</w:t>
      </w:r>
    </w:p>
    <w:p>
      <w:pPr>
        <w:pStyle w:val="ListParagraph"/>
        <w:numPr>
          <w:ilvl w:val="1"/>
          <w:numId w:val="75"/>
        </w:numPr>
        <w:tabs>
          <w:tab w:pos="940" w:val="left" w:leader="none"/>
        </w:tabs>
        <w:spacing w:line="240" w:lineRule="auto" w:before="60" w:after="0"/>
        <w:ind w:left="939" w:right="233" w:hanging="360"/>
        <w:jc w:val="both"/>
        <w:rPr>
          <w:sz w:val="20"/>
        </w:rPr>
      </w:pPr>
      <w:r>
        <w:rPr>
          <w:sz w:val="20"/>
        </w:rPr>
        <w:t>Η πρόταση που υποβάλλεται είναι εναρμονισμένη και υπακούει στους περιορισμούς σχετικά με τη σώρευση ενισχύσεων που προβλέπουν οι Κανονισμοί που διέπουν την παρούσα Πρόσκληση. Η ενίσχυση που χορηγείται δυνάμει της παρούσας πρόσκλησης με τον Κα. (ΕΕ) 1407/2013 πληροί όλες τις προϋποθέσεις του Κανονισμού αυτού.</w:t>
      </w:r>
    </w:p>
    <w:p>
      <w:pPr>
        <w:pStyle w:val="ListParagraph"/>
        <w:numPr>
          <w:ilvl w:val="1"/>
          <w:numId w:val="75"/>
        </w:numPr>
        <w:tabs>
          <w:tab w:pos="940" w:val="left" w:leader="none"/>
        </w:tabs>
        <w:spacing w:line="276" w:lineRule="auto" w:before="60" w:after="0"/>
        <w:ind w:left="939" w:right="230" w:hanging="360"/>
        <w:jc w:val="both"/>
        <w:rPr>
          <w:sz w:val="20"/>
        </w:rPr>
      </w:pPr>
      <w:r>
        <w:rPr>
          <w:sz w:val="20"/>
        </w:rPr>
        <w:t>Η επιχείρηση διαθέτει ή δεσμεύεται ότι μέχρι την ολοκλήρωση της επένδυσης θα μεριμνήσει για τις κατάλληλες υποδομές και υπηρεσίες γι’ αυτήν, με σκοπό την ελαχιστοποίηση των εμποδίων και τη διευκόλυνση της πρόσβασης σε αυτές, όπου αυτό είναι απαραίτητο και αναγκαίο, ατόμων με αναπηρία, σύμφωνα με τα προβλεπόμενα στο άρθρο 7 του Κανονισμού (ΕΕ) αρ. 1303/2013 του Ευρωπαϊκού Κοινοβουλίου και του Συμβουλίου, της 17ης Δεκεμβρίου 2013,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1083/2006. Ως υποδομές νοούνται τόσο οι κτιριακές υποδομές, όσο και οι ηλεκτρονικές εφαρμογές που απευθύνονται στο πελατειακό κοινό (π.χ. ιστοσελίδες και λοιπές ηλεκτρονικές εφαρμογές, όπως ηλεκτρονικά σημεία πληροφόρησης ή/και εξυπηρέτησης κλπ.) σύμφωνα με τις οδηγίες του</w:t>
      </w:r>
      <w:r>
        <w:rPr>
          <w:spacing w:val="-25"/>
          <w:sz w:val="20"/>
        </w:rPr>
        <w:t> </w:t>
      </w:r>
      <w:r>
        <w:rPr>
          <w:sz w:val="20"/>
        </w:rPr>
        <w:t>ΕΣΑμεΑ.</w:t>
      </w:r>
    </w:p>
    <w:p>
      <w:pPr>
        <w:pStyle w:val="ListParagraph"/>
        <w:numPr>
          <w:ilvl w:val="1"/>
          <w:numId w:val="75"/>
        </w:numPr>
        <w:tabs>
          <w:tab w:pos="940" w:val="left" w:leader="none"/>
        </w:tabs>
        <w:spacing w:line="240" w:lineRule="auto" w:before="120" w:after="0"/>
        <w:ind w:left="939" w:right="234" w:hanging="360"/>
        <w:jc w:val="both"/>
        <w:rPr>
          <w:sz w:val="20"/>
        </w:rPr>
      </w:pPr>
      <w:r>
        <w:rPr>
          <w:sz w:val="20"/>
        </w:rPr>
        <w:t>Η επιχείρηση θα προσκομίσει, προκειμένου να ληφθεί οποιοδήποτε μέρος της επιχορήγησης, (ενδιάμεση καταβολή, προκαταβολή επιχορήγησης, τελική καταβολή), παραχώρηση χρήσης ή μισθωτήριο συμβόλαιο ή νόμιμη σύσταση επικαρπίας επί του ακινήτου για χρονικό διάστημα ισχύος τουλάχιστον οκτώ (8) ετών από την ημερομηνία</w:t>
      </w:r>
      <w:r>
        <w:rPr>
          <w:spacing w:val="29"/>
          <w:sz w:val="20"/>
        </w:rPr>
        <w:t> </w:t>
      </w:r>
      <w:r>
        <w:rPr>
          <w:sz w:val="20"/>
        </w:rPr>
        <w:t>έκδοσης</w:t>
      </w:r>
      <w:r>
        <w:rPr>
          <w:spacing w:val="28"/>
          <w:sz w:val="20"/>
        </w:rPr>
        <w:t> </w:t>
      </w:r>
      <w:r>
        <w:rPr>
          <w:sz w:val="20"/>
        </w:rPr>
        <w:t>της</w:t>
      </w:r>
      <w:r>
        <w:rPr>
          <w:spacing w:val="34"/>
          <w:sz w:val="20"/>
        </w:rPr>
        <w:t> </w:t>
      </w:r>
      <w:r>
        <w:rPr>
          <w:sz w:val="20"/>
        </w:rPr>
        <w:t>Απόφασης</w:t>
      </w:r>
      <w:r>
        <w:rPr>
          <w:spacing w:val="28"/>
          <w:sz w:val="20"/>
        </w:rPr>
        <w:t> </w:t>
      </w:r>
      <w:r>
        <w:rPr>
          <w:sz w:val="20"/>
        </w:rPr>
        <w:t>Ένταξης</w:t>
      </w:r>
      <w:r>
        <w:rPr>
          <w:spacing w:val="28"/>
          <w:sz w:val="20"/>
        </w:rPr>
        <w:t> </w:t>
      </w:r>
      <w:r>
        <w:rPr>
          <w:sz w:val="20"/>
        </w:rPr>
        <w:t>της</w:t>
      </w:r>
      <w:r>
        <w:rPr>
          <w:spacing w:val="31"/>
          <w:sz w:val="20"/>
        </w:rPr>
        <w:t> </w:t>
      </w:r>
      <w:r>
        <w:rPr>
          <w:sz w:val="20"/>
        </w:rPr>
        <w:t>επένδυσης.</w:t>
      </w:r>
      <w:r>
        <w:rPr>
          <w:spacing w:val="32"/>
          <w:sz w:val="20"/>
        </w:rPr>
        <w:t> </w:t>
      </w:r>
      <w:r>
        <w:rPr>
          <w:sz w:val="20"/>
        </w:rPr>
        <w:t>(ΕΠΙΣΗΜΑΝΣΗ</w:t>
      </w:r>
      <w:r>
        <w:rPr>
          <w:spacing w:val="29"/>
          <w:sz w:val="20"/>
        </w:rPr>
        <w:t> </w:t>
      </w:r>
      <w:r>
        <w:rPr>
          <w:sz w:val="20"/>
        </w:rPr>
        <w:t>ΠΡΟΣ</w:t>
      </w:r>
      <w:r>
        <w:rPr>
          <w:spacing w:val="28"/>
          <w:sz w:val="20"/>
        </w:rPr>
        <w:t> </w:t>
      </w:r>
      <w:r>
        <w:rPr>
          <w:sz w:val="20"/>
        </w:rPr>
        <w:t>ΔΙΚΑΙΟΥΧΟΥΣ:</w:t>
      </w:r>
      <w:r>
        <w:rPr>
          <w:spacing w:val="30"/>
          <w:sz w:val="20"/>
        </w:rPr>
        <w:t> </w:t>
      </w:r>
      <w:r>
        <w:rPr>
          <w:sz w:val="20"/>
        </w:rPr>
        <w:t>ΤΟ</w:t>
      </w:r>
      <w:r>
        <w:rPr>
          <w:spacing w:val="29"/>
          <w:sz w:val="20"/>
        </w:rPr>
        <w:t> </w:t>
      </w:r>
      <w:r>
        <w:rPr>
          <w:sz w:val="20"/>
        </w:rPr>
        <w:t>ΕΝ</w:t>
      </w:r>
      <w:r>
        <w:rPr>
          <w:spacing w:val="30"/>
          <w:sz w:val="20"/>
        </w:rPr>
        <w:t> </w:t>
      </w:r>
      <w:r>
        <w:rPr>
          <w:sz w:val="20"/>
        </w:rPr>
        <w:t>ΛΟΓΩ</w:t>
      </w:r>
    </w:p>
    <w:p>
      <w:pPr>
        <w:spacing w:after="0" w:line="240" w:lineRule="auto"/>
        <w:jc w:val="both"/>
        <w:rPr>
          <w:sz w:val="20"/>
        </w:rPr>
        <w:sectPr>
          <w:pgSz w:w="11910" w:h="16840"/>
          <w:pgMar w:header="748" w:footer="734" w:top="1420" w:bottom="920" w:left="700" w:right="740"/>
        </w:sectPr>
      </w:pPr>
    </w:p>
    <w:p>
      <w:pPr>
        <w:pStyle w:val="BodyText"/>
        <w:spacing w:before="5" w:after="1"/>
      </w:pPr>
    </w:p>
    <w:p>
      <w:pPr>
        <w:spacing w:line="240" w:lineRule="auto"/>
        <w:ind w:left="106" w:right="0" w:firstLine="0"/>
        <w:rPr>
          <w:sz w:val="20"/>
        </w:rPr>
      </w:pPr>
      <w:r>
        <w:rPr>
          <w:rFonts w:ascii="Times New Roman"/>
          <w:spacing w:val="-49"/>
          <w:sz w:val="20"/>
        </w:rPr>
        <w:t> </w:t>
      </w:r>
      <w:r>
        <w:rPr>
          <w:spacing w:val="-49"/>
          <w:sz w:val="20"/>
        </w:rPr>
        <w:pict>
          <v:shape style="width:511.55pt;height:79.8pt;mso-position-horizontal-relative:char;mso-position-vertical-relative:line" type="#_x0000_t202" filled="false" stroked="true" strokeweight=".47998pt" strokecolor="#000000">
            <w10:anchorlock/>
            <v:textbox inset="0,0,0,0">
              <w:txbxContent>
                <w:p>
                  <w:pPr>
                    <w:spacing w:before="0"/>
                    <w:ind w:left="823" w:right="111" w:firstLine="0"/>
                    <w:jc w:val="both"/>
                    <w:rPr>
                      <w:sz w:val="20"/>
                    </w:rPr>
                  </w:pPr>
                  <w:r>
                    <w:rPr>
                      <w:sz w:val="20"/>
                    </w:rPr>
                    <w:t>ΣΗΜΕΙΟ ΠΡΕΠΕΙ ΝΑ ΣΥΜΠΕΡΙΛΗΦΘΕΙ ΣΤΗΝ ΠΑΡΟΥΣΑ ΔΗΛΩΣΗ ΜΟΝΟ ΣΤΗΝ ΠΕΡΊΠΤΩΣΗ ΠΟΥ ΤΟ ΑΚΙΝΗΤΟ ΣΤΟ ΟΠΟΙΟ ΘΑ ΓΙΝΟΥΝ ΟΙ ΚΤΙΡΙΑΚΕΣ ΕΠΕΜΒΑΣΕΙΣ ΔΕΝ ΑΝΗΚΕΙ ΣΤΗΝ ΚΥΡΙΟΤΗΤΑ ΤΗΣ ΕΠΙΧΕΙΡΗΣΗΣ ΚΑΙ Η ΠΑΡΑΧΩΡΗΣΗ ΧΡΗΣΗΣ Ή ΜΙΣΘΩΤΗΡΙΟ ΣΥΜΒΟΛΑΙΟ Ή ΝΟΜΙΜΗ ΣΥΣΤΑΣΗ ΕΠΙΚΑΡΠΙΑΣ ΕΠΙ ΤΟΥ ΑΚΙΝΗΤΟΥ ΔΕΝ ΕΧΟΥΝ ΣΥΝΑΦΘΕΙ ΚΑΤΑ ΤΗΝ ΥΠΟΒΟΛΗ ΤΗΣ ΕΠΕΝΔΥΤΙΚΗΣ ΠΡΟΤΑΣΗΣ)</w:t>
                  </w:r>
                </w:p>
                <w:p>
                  <w:pPr>
                    <w:spacing w:before="60"/>
                    <w:ind w:left="823" w:right="0" w:hanging="360"/>
                    <w:jc w:val="left"/>
                    <w:rPr>
                      <w:sz w:val="20"/>
                    </w:rPr>
                  </w:pPr>
                  <w:r>
                    <w:rPr>
                      <w:sz w:val="20"/>
                    </w:rPr>
                    <w:t>23. Ο Δικαιούχος δεσμεύεται ότι θα διατηρήσει την επένδυση στην περιοχή όπου χορηγείται η ενίσχυση για τουλάχιστον τρία (3) χρόνια μετά την ολοκλήρωση της επένδυσης.</w:t>
                  </w:r>
                </w:p>
              </w:txbxContent>
            </v:textbox>
            <v:stroke dashstyle="solid"/>
          </v:shape>
        </w:pict>
      </w:r>
      <w:r>
        <w:rPr>
          <w:spacing w:val="-49"/>
          <w:sz w:val="20"/>
        </w:rPr>
      </w:r>
    </w:p>
    <w:p>
      <w:pPr>
        <w:pStyle w:val="BodyText"/>
        <w:spacing w:before="8"/>
        <w:rPr>
          <w:sz w:val="11"/>
        </w:rPr>
      </w:pPr>
    </w:p>
    <w:p>
      <w:pPr>
        <w:spacing w:before="59"/>
        <w:ind w:left="4110" w:right="4103" w:firstLine="0"/>
        <w:jc w:val="center"/>
        <w:rPr>
          <w:sz w:val="20"/>
        </w:rPr>
      </w:pPr>
      <w:r>
        <w:rPr>
          <w:sz w:val="20"/>
        </w:rPr>
        <w:t>Ημερομηνία: …../……./2019 Για την επιχείρηση</w:t>
      </w:r>
    </w:p>
    <w:p>
      <w:pPr>
        <w:spacing w:before="0"/>
        <w:ind w:left="4107" w:right="4103" w:firstLine="0"/>
        <w:jc w:val="center"/>
        <w:rPr>
          <w:sz w:val="20"/>
        </w:rPr>
      </w:pPr>
      <w:r>
        <w:rPr>
          <w:sz w:val="20"/>
        </w:rPr>
        <w:t>O Νόμιμος Εκπρόσωπος</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3796" w:right="3792" w:firstLine="3"/>
        <w:jc w:val="center"/>
        <w:rPr>
          <w:sz w:val="20"/>
        </w:rPr>
      </w:pPr>
      <w:r>
        <w:rPr>
          <w:sz w:val="20"/>
        </w:rPr>
        <w:t>(σφραγίδα επιχείρησης, στοιχεία Νόμιμου εκπροσώπου, υπογραφή)</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ListParagraph"/>
        <w:numPr>
          <w:ilvl w:val="0"/>
          <w:numId w:val="83"/>
        </w:numPr>
        <w:tabs>
          <w:tab w:pos="622" w:val="left" w:leader="none"/>
        </w:tabs>
        <w:spacing w:line="240" w:lineRule="auto" w:before="0" w:after="0"/>
        <w:ind w:left="380" w:right="0" w:firstLine="0"/>
        <w:jc w:val="both"/>
        <w:rPr>
          <w:sz w:val="18"/>
        </w:rPr>
      </w:pPr>
      <w:r>
        <w:rPr>
          <w:sz w:val="18"/>
        </w:rPr>
        <w:t>Αναγράφεται</w:t>
      </w:r>
      <w:r>
        <w:rPr>
          <w:spacing w:val="-3"/>
          <w:sz w:val="18"/>
        </w:rPr>
        <w:t> </w:t>
      </w:r>
      <w:r>
        <w:rPr>
          <w:sz w:val="18"/>
        </w:rPr>
        <w:t>από</w:t>
      </w:r>
      <w:r>
        <w:rPr>
          <w:spacing w:val="-3"/>
          <w:sz w:val="18"/>
        </w:rPr>
        <w:t> </w:t>
      </w:r>
      <w:r>
        <w:rPr>
          <w:sz w:val="18"/>
        </w:rPr>
        <w:t>τον</w:t>
      </w:r>
      <w:r>
        <w:rPr>
          <w:spacing w:val="-3"/>
          <w:sz w:val="18"/>
        </w:rPr>
        <w:t> </w:t>
      </w:r>
      <w:r>
        <w:rPr>
          <w:sz w:val="18"/>
        </w:rPr>
        <w:t>ενδιαφερόμενο</w:t>
      </w:r>
      <w:r>
        <w:rPr>
          <w:spacing w:val="-2"/>
          <w:sz w:val="18"/>
        </w:rPr>
        <w:t> </w:t>
      </w:r>
      <w:r>
        <w:rPr>
          <w:sz w:val="18"/>
        </w:rPr>
        <w:t>πολίτη</w:t>
      </w:r>
      <w:r>
        <w:rPr>
          <w:spacing w:val="-4"/>
          <w:sz w:val="18"/>
        </w:rPr>
        <w:t> </w:t>
      </w:r>
      <w:r>
        <w:rPr>
          <w:sz w:val="18"/>
        </w:rPr>
        <w:t>ή</w:t>
      </w:r>
      <w:r>
        <w:rPr>
          <w:spacing w:val="-4"/>
          <w:sz w:val="18"/>
        </w:rPr>
        <w:t> </w:t>
      </w:r>
      <w:r>
        <w:rPr>
          <w:sz w:val="18"/>
        </w:rPr>
        <w:t>Αρχή</w:t>
      </w:r>
      <w:r>
        <w:rPr>
          <w:spacing w:val="-4"/>
          <w:sz w:val="18"/>
        </w:rPr>
        <w:t> </w:t>
      </w:r>
      <w:r>
        <w:rPr>
          <w:sz w:val="18"/>
        </w:rPr>
        <w:t>ή</w:t>
      </w:r>
      <w:r>
        <w:rPr>
          <w:spacing w:val="-4"/>
          <w:sz w:val="18"/>
        </w:rPr>
        <w:t> </w:t>
      </w:r>
      <w:r>
        <w:rPr>
          <w:sz w:val="18"/>
        </w:rPr>
        <w:t>η</w:t>
      </w:r>
      <w:r>
        <w:rPr>
          <w:spacing w:val="-4"/>
          <w:sz w:val="18"/>
        </w:rPr>
        <w:t> </w:t>
      </w:r>
      <w:r>
        <w:rPr>
          <w:sz w:val="18"/>
        </w:rPr>
        <w:t>Υπηρεσία</w:t>
      </w:r>
      <w:r>
        <w:rPr>
          <w:spacing w:val="-3"/>
          <w:sz w:val="18"/>
        </w:rPr>
        <w:t> </w:t>
      </w:r>
      <w:r>
        <w:rPr>
          <w:sz w:val="18"/>
        </w:rPr>
        <w:t>του</w:t>
      </w:r>
      <w:r>
        <w:rPr>
          <w:spacing w:val="-3"/>
          <w:sz w:val="18"/>
        </w:rPr>
        <w:t> </w:t>
      </w:r>
      <w:r>
        <w:rPr>
          <w:sz w:val="18"/>
        </w:rPr>
        <w:t>δημόσιου</w:t>
      </w:r>
      <w:r>
        <w:rPr>
          <w:spacing w:val="-3"/>
          <w:sz w:val="18"/>
        </w:rPr>
        <w:t> </w:t>
      </w:r>
      <w:r>
        <w:rPr>
          <w:sz w:val="18"/>
        </w:rPr>
        <w:t>τομέα,</w:t>
      </w:r>
      <w:r>
        <w:rPr>
          <w:spacing w:val="-5"/>
          <w:sz w:val="18"/>
        </w:rPr>
        <w:t> </w:t>
      </w:r>
      <w:r>
        <w:rPr>
          <w:sz w:val="18"/>
        </w:rPr>
        <w:t>που</w:t>
      </w:r>
      <w:r>
        <w:rPr>
          <w:spacing w:val="-3"/>
          <w:sz w:val="18"/>
        </w:rPr>
        <w:t> </w:t>
      </w:r>
      <w:r>
        <w:rPr>
          <w:sz w:val="18"/>
        </w:rPr>
        <w:t>απευθύνεται</w:t>
      </w:r>
      <w:r>
        <w:rPr>
          <w:spacing w:val="-3"/>
          <w:sz w:val="18"/>
        </w:rPr>
        <w:t> </w:t>
      </w:r>
      <w:r>
        <w:rPr>
          <w:sz w:val="18"/>
        </w:rPr>
        <w:t>η</w:t>
      </w:r>
      <w:r>
        <w:rPr>
          <w:spacing w:val="-4"/>
          <w:sz w:val="18"/>
        </w:rPr>
        <w:t> </w:t>
      </w:r>
      <w:r>
        <w:rPr>
          <w:sz w:val="18"/>
        </w:rPr>
        <w:t>αίτηση.</w:t>
      </w:r>
    </w:p>
    <w:p>
      <w:pPr>
        <w:pStyle w:val="ListParagraph"/>
        <w:numPr>
          <w:ilvl w:val="0"/>
          <w:numId w:val="83"/>
        </w:numPr>
        <w:tabs>
          <w:tab w:pos="622" w:val="left" w:leader="none"/>
        </w:tabs>
        <w:spacing w:line="219" w:lineRule="exact" w:before="1" w:after="0"/>
        <w:ind w:left="621" w:right="0" w:hanging="241"/>
        <w:jc w:val="both"/>
        <w:rPr>
          <w:sz w:val="18"/>
        </w:rPr>
      </w:pPr>
      <w:r>
        <w:rPr>
          <w:sz w:val="18"/>
        </w:rPr>
        <w:t>Αναγράφεται</w:t>
      </w:r>
      <w:r>
        <w:rPr>
          <w:spacing w:val="-8"/>
          <w:sz w:val="18"/>
        </w:rPr>
        <w:t> </w:t>
      </w:r>
      <w:r>
        <w:rPr>
          <w:sz w:val="18"/>
        </w:rPr>
        <w:t>ολογράφως.</w:t>
      </w:r>
    </w:p>
    <w:p>
      <w:pPr>
        <w:pStyle w:val="ListParagraph"/>
        <w:numPr>
          <w:ilvl w:val="0"/>
          <w:numId w:val="83"/>
        </w:numPr>
        <w:tabs>
          <w:tab w:pos="651" w:val="left" w:leader="none"/>
        </w:tabs>
        <w:spacing w:line="240" w:lineRule="auto" w:before="0" w:after="0"/>
        <w:ind w:left="380" w:right="379" w:firstLine="0"/>
        <w:jc w:val="both"/>
        <w:rPr>
          <w:sz w:val="18"/>
        </w:rPr>
      </w:pPr>
      <w:r>
        <w:rPr>
          <w:sz w:val="18"/>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w:t>
      </w:r>
      <w:r>
        <w:rPr>
          <w:spacing w:val="-3"/>
          <w:sz w:val="18"/>
        </w:rPr>
        <w:t> </w:t>
      </w:r>
      <w:r>
        <w:rPr>
          <w:sz w:val="18"/>
        </w:rPr>
        <w:t>του</w:t>
      </w:r>
      <w:r>
        <w:rPr>
          <w:spacing w:val="-3"/>
          <w:sz w:val="18"/>
        </w:rPr>
        <w:t> </w:t>
      </w:r>
      <w:r>
        <w:rPr>
          <w:sz w:val="18"/>
        </w:rPr>
        <w:t>ή</w:t>
      </w:r>
      <w:r>
        <w:rPr>
          <w:spacing w:val="-2"/>
          <w:sz w:val="18"/>
        </w:rPr>
        <w:t> </w:t>
      </w:r>
      <w:r>
        <w:rPr>
          <w:sz w:val="18"/>
        </w:rPr>
        <w:t>σε</w:t>
      </w:r>
      <w:r>
        <w:rPr>
          <w:spacing w:val="-3"/>
          <w:sz w:val="18"/>
        </w:rPr>
        <w:t> </w:t>
      </w:r>
      <w:r>
        <w:rPr>
          <w:sz w:val="18"/>
        </w:rPr>
        <w:t>άλλον</w:t>
      </w:r>
      <w:r>
        <w:rPr>
          <w:spacing w:val="-3"/>
          <w:sz w:val="18"/>
        </w:rPr>
        <w:t> </w:t>
      </w:r>
      <w:r>
        <w:rPr>
          <w:sz w:val="18"/>
        </w:rPr>
        <w:t>περιουσιακό</w:t>
      </w:r>
      <w:r>
        <w:rPr>
          <w:spacing w:val="-3"/>
          <w:sz w:val="18"/>
        </w:rPr>
        <w:t> </w:t>
      </w:r>
      <w:r>
        <w:rPr>
          <w:sz w:val="18"/>
        </w:rPr>
        <w:t>όφελος</w:t>
      </w:r>
      <w:r>
        <w:rPr>
          <w:spacing w:val="-3"/>
          <w:sz w:val="18"/>
        </w:rPr>
        <w:t> </w:t>
      </w:r>
      <w:r>
        <w:rPr>
          <w:sz w:val="18"/>
        </w:rPr>
        <w:t>βλάπτοντας</w:t>
      </w:r>
      <w:r>
        <w:rPr>
          <w:spacing w:val="-3"/>
          <w:sz w:val="18"/>
        </w:rPr>
        <w:t> </w:t>
      </w:r>
      <w:r>
        <w:rPr>
          <w:sz w:val="18"/>
        </w:rPr>
        <w:t>τρίτον</w:t>
      </w:r>
      <w:r>
        <w:rPr>
          <w:spacing w:val="-3"/>
          <w:sz w:val="18"/>
        </w:rPr>
        <w:t> </w:t>
      </w:r>
      <w:r>
        <w:rPr>
          <w:sz w:val="18"/>
        </w:rPr>
        <w:t>ή</w:t>
      </w:r>
      <w:r>
        <w:rPr>
          <w:spacing w:val="-6"/>
          <w:sz w:val="18"/>
        </w:rPr>
        <w:t> </w:t>
      </w:r>
      <w:r>
        <w:rPr>
          <w:sz w:val="18"/>
        </w:rPr>
        <w:t>σκόπευε</w:t>
      </w:r>
      <w:r>
        <w:rPr>
          <w:spacing w:val="-3"/>
          <w:sz w:val="18"/>
        </w:rPr>
        <w:t> </w:t>
      </w:r>
      <w:r>
        <w:rPr>
          <w:sz w:val="18"/>
        </w:rPr>
        <w:t>να</w:t>
      </w:r>
      <w:r>
        <w:rPr>
          <w:spacing w:val="-3"/>
          <w:sz w:val="18"/>
        </w:rPr>
        <w:t> </w:t>
      </w:r>
      <w:r>
        <w:rPr>
          <w:sz w:val="18"/>
        </w:rPr>
        <w:t>βλάψει</w:t>
      </w:r>
      <w:r>
        <w:rPr>
          <w:spacing w:val="-3"/>
          <w:sz w:val="18"/>
        </w:rPr>
        <w:t> </w:t>
      </w:r>
      <w:r>
        <w:rPr>
          <w:sz w:val="18"/>
        </w:rPr>
        <w:t>άλλον,</w:t>
      </w:r>
      <w:r>
        <w:rPr>
          <w:spacing w:val="-3"/>
          <w:sz w:val="18"/>
        </w:rPr>
        <w:t> </w:t>
      </w:r>
      <w:r>
        <w:rPr>
          <w:sz w:val="18"/>
        </w:rPr>
        <w:t>τιμωρείται</w:t>
      </w:r>
      <w:r>
        <w:rPr>
          <w:spacing w:val="-3"/>
          <w:sz w:val="18"/>
        </w:rPr>
        <w:t> </w:t>
      </w:r>
      <w:r>
        <w:rPr>
          <w:sz w:val="18"/>
        </w:rPr>
        <w:t>με</w:t>
      </w:r>
      <w:r>
        <w:rPr>
          <w:spacing w:val="-4"/>
          <w:sz w:val="18"/>
        </w:rPr>
        <w:t> </w:t>
      </w:r>
      <w:r>
        <w:rPr>
          <w:sz w:val="18"/>
        </w:rPr>
        <w:t>κάθειρξη</w:t>
      </w:r>
      <w:r>
        <w:rPr>
          <w:spacing w:val="-4"/>
          <w:sz w:val="18"/>
        </w:rPr>
        <w:t> </w:t>
      </w:r>
      <w:r>
        <w:rPr>
          <w:sz w:val="18"/>
        </w:rPr>
        <w:t>μέχρι</w:t>
      </w:r>
      <w:r>
        <w:rPr>
          <w:spacing w:val="-3"/>
          <w:sz w:val="18"/>
        </w:rPr>
        <w:t> </w:t>
      </w:r>
      <w:r>
        <w:rPr>
          <w:sz w:val="18"/>
        </w:rPr>
        <w:t>10</w:t>
      </w:r>
      <w:r>
        <w:rPr>
          <w:spacing w:val="-3"/>
          <w:sz w:val="18"/>
        </w:rPr>
        <w:t> </w:t>
      </w:r>
      <w:r>
        <w:rPr>
          <w:sz w:val="18"/>
        </w:rPr>
        <w:t>ετών.</w:t>
      </w:r>
    </w:p>
    <w:p>
      <w:pPr>
        <w:pStyle w:val="ListParagraph"/>
        <w:numPr>
          <w:ilvl w:val="0"/>
          <w:numId w:val="83"/>
        </w:numPr>
        <w:tabs>
          <w:tab w:pos="663" w:val="left" w:leader="none"/>
        </w:tabs>
        <w:spacing w:line="240" w:lineRule="auto" w:before="1" w:after="0"/>
        <w:ind w:left="380" w:right="378" w:firstLine="0"/>
        <w:jc w:val="both"/>
        <w:rPr>
          <w:sz w:val="18"/>
        </w:rPr>
      </w:pPr>
      <w:r>
        <w:rPr>
          <w:sz w:val="18"/>
        </w:rPr>
        <w:t>Σε περίπτωση ανεπάρκειας χώρου η δήλωση συνεχίζεται στην πίσω όψη της και υπογράφεται από τον δηλούντα ή την δηλούσα.</w:t>
      </w:r>
    </w:p>
    <w:p>
      <w:pPr>
        <w:spacing w:after="0" w:line="240" w:lineRule="auto"/>
        <w:jc w:val="both"/>
        <w:rPr>
          <w:sz w:val="18"/>
        </w:rPr>
        <w:sectPr>
          <w:pgSz w:w="11910" w:h="16840"/>
          <w:pgMar w:header="748" w:footer="734" w:top="1420" w:bottom="920" w:left="700" w:right="760"/>
        </w:sectPr>
      </w:pPr>
    </w:p>
    <w:p>
      <w:pPr>
        <w:pStyle w:val="BodyText"/>
        <w:spacing w:before="7"/>
        <w:rPr>
          <w:sz w:val="17"/>
        </w:rPr>
      </w:pPr>
    </w:p>
    <w:p>
      <w:pPr>
        <w:spacing w:before="59"/>
        <w:ind w:left="380" w:right="0" w:firstLine="0"/>
        <w:jc w:val="left"/>
        <w:rPr>
          <w:b/>
          <w:sz w:val="20"/>
        </w:rPr>
      </w:pPr>
      <w:r>
        <w:rPr>
          <w:b/>
          <w:sz w:val="20"/>
        </w:rPr>
        <w:t>B’ ΥΠΟΔΕΙΓΜΑ ΚΕΙΜΕΝΟΥ ΥΠΕΥΘΥΝΗΣ ΔΗΛΩΣΗΣ</w:t>
      </w:r>
    </w:p>
    <w:p>
      <w:pPr>
        <w:pStyle w:val="BodyText"/>
        <w:spacing w:before="8"/>
        <w:rPr>
          <w:b/>
          <w:sz w:val="16"/>
        </w:rPr>
      </w:pPr>
      <w:r>
        <w:rPr/>
        <w:drawing>
          <wp:anchor distT="0" distB="0" distL="0" distR="0" allowOverlap="1" layoutInCell="1" locked="0" behindDoc="0" simplePos="0" relativeHeight="1744">
            <wp:simplePos x="0" y="0"/>
            <wp:positionH relativeFrom="page">
              <wp:posOffset>3506089</wp:posOffset>
            </wp:positionH>
            <wp:positionV relativeFrom="paragraph">
              <wp:posOffset>154107</wp:posOffset>
            </wp:positionV>
            <wp:extent cx="528513" cy="536448"/>
            <wp:effectExtent l="0" t="0" r="0" b="0"/>
            <wp:wrapTopAndBottom/>
            <wp:docPr id="65" name="image20.png" descr=""/>
            <wp:cNvGraphicFramePr>
              <a:graphicFrameLocks noChangeAspect="1"/>
            </wp:cNvGraphicFramePr>
            <a:graphic>
              <a:graphicData uri="http://schemas.openxmlformats.org/drawingml/2006/picture">
                <pic:pic>
                  <pic:nvPicPr>
                    <pic:cNvPr id="66" name="image20.png"/>
                    <pic:cNvPicPr/>
                  </pic:nvPicPr>
                  <pic:blipFill>
                    <a:blip r:embed="rId96" cstate="print"/>
                    <a:stretch>
                      <a:fillRect/>
                    </a:stretch>
                  </pic:blipFill>
                  <pic:spPr>
                    <a:xfrm>
                      <a:off x="0" y="0"/>
                      <a:ext cx="528513" cy="536448"/>
                    </a:xfrm>
                    <a:prstGeom prst="rect">
                      <a:avLst/>
                    </a:prstGeom>
                  </pic:spPr>
                </pic:pic>
              </a:graphicData>
            </a:graphic>
          </wp:anchor>
        </w:drawing>
      </w:r>
    </w:p>
    <w:p>
      <w:pPr>
        <w:spacing w:before="87"/>
        <w:ind w:left="4127" w:right="4133" w:firstLine="0"/>
        <w:jc w:val="center"/>
        <w:rPr>
          <w:rFonts w:ascii="Verdana" w:hAnsi="Verdana"/>
          <w:b/>
          <w:sz w:val="16"/>
        </w:rPr>
      </w:pPr>
      <w:r>
        <w:rPr>
          <w:rFonts w:ascii="Verdana" w:hAnsi="Verdana"/>
          <w:b/>
          <w:sz w:val="16"/>
        </w:rPr>
        <w:t>ΥΠΕΥΘΥΝΗ ΔΗΛΩΣΗ</w:t>
      </w:r>
    </w:p>
    <w:p>
      <w:pPr>
        <w:spacing w:before="120"/>
        <w:ind w:left="4127" w:right="4134" w:firstLine="0"/>
        <w:jc w:val="center"/>
        <w:rPr>
          <w:rFonts w:ascii="Verdana" w:hAnsi="Verdana"/>
          <w:b/>
          <w:sz w:val="16"/>
        </w:rPr>
      </w:pPr>
      <w:r>
        <w:rPr>
          <w:rFonts w:ascii="Verdana" w:hAnsi="Verdana"/>
          <w:b/>
          <w:sz w:val="16"/>
        </w:rPr>
        <w:t>(άρθρο 8 Ν.1599/1986)</w:t>
      </w:r>
    </w:p>
    <w:p>
      <w:pPr>
        <w:pStyle w:val="BodyText"/>
        <w:spacing w:before="5"/>
        <w:rPr>
          <w:rFonts w:ascii="Verdana"/>
          <w:b/>
        </w:rPr>
      </w:pPr>
      <w:r>
        <w:rPr/>
        <w:pict>
          <v:shape style="position:absolute;margin-left:48.360001pt;margin-top:15.84034pt;width:492pt;height:27pt;mso-position-horizontal-relative:page;mso-position-vertical-relative:paragraph;z-index:1768;mso-wrap-distance-left:0;mso-wrap-distance-right:0" type="#_x0000_t202" filled="false" stroked="true" strokeweight=".47998pt" strokecolor="#000000">
            <v:textbox inset="0,0,0,0">
              <w:txbxContent>
                <w:p>
                  <w:pPr>
                    <w:spacing w:line="242" w:lineRule="auto" w:before="20"/>
                    <w:ind w:left="2905" w:right="651" w:hanging="2788"/>
                    <w:jc w:val="left"/>
                    <w:rPr>
                      <w:sz w:val="20"/>
                    </w:rPr>
                  </w:pPr>
                  <w:r>
                    <w:rPr>
                      <w:sz w:val="20"/>
                    </w:rPr>
                    <w:t>Η ακρίβεια των στοιχείων που υποβάλλονται με αυτή τη δήλωση μπορεί να ελεγχθεί με βάση το αρχείο άλλων υπηρεσιών (άρθρο 8 παρ. 4 Ν. 1599/1986)</w:t>
                  </w:r>
                </w:p>
              </w:txbxContent>
            </v:textbox>
            <v:stroke dashstyle="solid"/>
            <w10:wrap type="topAndBottom"/>
          </v:shape>
        </w:pict>
      </w:r>
    </w:p>
    <w:p>
      <w:pPr>
        <w:pStyle w:val="BodyText"/>
        <w:rPr>
          <w:rFonts w:ascii="Verdana"/>
          <w:b/>
          <w:sz w:val="20"/>
        </w:rPr>
      </w:pPr>
    </w:p>
    <w:p>
      <w:pPr>
        <w:pStyle w:val="BodyText"/>
        <w:spacing w:before="5"/>
        <w:rPr>
          <w:rFonts w:ascii="Verdana"/>
          <w:b/>
          <w:sz w:val="11"/>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329"/>
        <w:gridCol w:w="660"/>
        <w:gridCol w:w="406"/>
        <w:gridCol w:w="1949"/>
        <w:gridCol w:w="720"/>
        <w:gridCol w:w="376"/>
        <w:gridCol w:w="704"/>
        <w:gridCol w:w="751"/>
        <w:gridCol w:w="329"/>
        <w:gridCol w:w="721"/>
        <w:gridCol w:w="540"/>
        <w:gridCol w:w="540"/>
        <w:gridCol w:w="838"/>
      </w:tblGrid>
      <w:tr>
        <w:trPr>
          <w:trHeight w:val="427" w:hRule="exact"/>
        </w:trPr>
        <w:tc>
          <w:tcPr>
            <w:tcW w:w="1368" w:type="dxa"/>
          </w:tcPr>
          <w:p>
            <w:pPr>
              <w:pStyle w:val="TableParagraph"/>
              <w:spacing w:before="112"/>
              <w:ind w:left="103"/>
              <w:rPr>
                <w:sz w:val="20"/>
              </w:rPr>
            </w:pPr>
            <w:r>
              <w:rPr>
                <w:sz w:val="20"/>
              </w:rPr>
              <w:t>ΠΡΟΣ</w:t>
            </w:r>
            <w:r>
              <w:rPr>
                <w:position w:val="10"/>
                <w:sz w:val="13"/>
              </w:rPr>
              <w:t>(1)</w:t>
            </w:r>
            <w:r>
              <w:rPr>
                <w:sz w:val="20"/>
              </w:rPr>
              <w:t>:</w:t>
            </w:r>
          </w:p>
        </w:tc>
        <w:tc>
          <w:tcPr>
            <w:tcW w:w="8862" w:type="dxa"/>
            <w:gridSpan w:val="13"/>
          </w:tcPr>
          <w:p>
            <w:pPr>
              <w:pStyle w:val="TableParagraph"/>
              <w:spacing w:before="145"/>
              <w:ind w:left="103"/>
              <w:rPr>
                <w:sz w:val="20"/>
              </w:rPr>
            </w:pPr>
            <w:r>
              <w:rPr>
                <w:sz w:val="20"/>
              </w:rPr>
              <w:t>ΔΙΕΥΘΥΝΣΗ ΑΝΑΠΤΥΞΙΑΚΟΥ ΠΡΟΓΡΑΜΜΑΤΙΣΜΟΥ ΠΕΡΙΦΕΡΕΙΑΣ ΘΕΣΣΑΛΙΑΣ</w:t>
            </w:r>
          </w:p>
        </w:tc>
      </w:tr>
      <w:tr>
        <w:trPr>
          <w:trHeight w:val="372" w:hRule="exact"/>
        </w:trPr>
        <w:tc>
          <w:tcPr>
            <w:tcW w:w="1368" w:type="dxa"/>
          </w:tcPr>
          <w:p>
            <w:pPr>
              <w:pStyle w:val="TableParagraph"/>
              <w:spacing w:before="119"/>
              <w:ind w:left="103"/>
              <w:rPr>
                <w:sz w:val="20"/>
              </w:rPr>
            </w:pPr>
            <w:r>
              <w:rPr>
                <w:sz w:val="20"/>
              </w:rPr>
              <w:t>Ο – Η Όνομα:</w:t>
            </w:r>
          </w:p>
        </w:tc>
        <w:tc>
          <w:tcPr>
            <w:tcW w:w="4064" w:type="dxa"/>
            <w:gridSpan w:val="5"/>
          </w:tcPr>
          <w:p>
            <w:pPr/>
          </w:p>
        </w:tc>
        <w:tc>
          <w:tcPr>
            <w:tcW w:w="1080" w:type="dxa"/>
            <w:gridSpan w:val="2"/>
          </w:tcPr>
          <w:p>
            <w:pPr>
              <w:pStyle w:val="TableParagraph"/>
              <w:spacing w:before="119"/>
              <w:ind w:left="103"/>
              <w:rPr>
                <w:sz w:val="20"/>
              </w:rPr>
            </w:pPr>
            <w:r>
              <w:rPr>
                <w:sz w:val="20"/>
              </w:rPr>
              <w:t>Επώνυμο:</w:t>
            </w:r>
          </w:p>
        </w:tc>
        <w:tc>
          <w:tcPr>
            <w:tcW w:w="3718" w:type="dxa"/>
            <w:gridSpan w:val="6"/>
          </w:tcPr>
          <w:p>
            <w:pPr/>
          </w:p>
        </w:tc>
      </w:tr>
      <w:tr>
        <w:trPr>
          <w:trHeight w:val="374" w:hRule="exact"/>
        </w:trPr>
        <w:tc>
          <w:tcPr>
            <w:tcW w:w="2763" w:type="dxa"/>
            <w:gridSpan w:val="4"/>
          </w:tcPr>
          <w:p>
            <w:pPr>
              <w:pStyle w:val="TableParagraph"/>
              <w:spacing w:before="121"/>
              <w:ind w:left="103"/>
              <w:rPr>
                <w:sz w:val="20"/>
              </w:rPr>
            </w:pPr>
            <w:r>
              <w:rPr>
                <w:sz w:val="20"/>
              </w:rPr>
              <w:t>Όνομα και Επώνυμο Πατέρα:</w:t>
            </w:r>
          </w:p>
        </w:tc>
        <w:tc>
          <w:tcPr>
            <w:tcW w:w="7468" w:type="dxa"/>
            <w:gridSpan w:val="10"/>
          </w:tcPr>
          <w:p>
            <w:pPr/>
          </w:p>
        </w:tc>
      </w:tr>
      <w:tr>
        <w:trPr>
          <w:trHeight w:val="374" w:hRule="exact"/>
        </w:trPr>
        <w:tc>
          <w:tcPr>
            <w:tcW w:w="2763" w:type="dxa"/>
            <w:gridSpan w:val="4"/>
          </w:tcPr>
          <w:p>
            <w:pPr>
              <w:pStyle w:val="TableParagraph"/>
              <w:spacing w:before="121"/>
              <w:ind w:left="103"/>
              <w:rPr>
                <w:sz w:val="20"/>
              </w:rPr>
            </w:pPr>
            <w:r>
              <w:rPr>
                <w:sz w:val="20"/>
              </w:rPr>
              <w:t>Όνομα και Επώνυμο Μητέρας:</w:t>
            </w:r>
          </w:p>
        </w:tc>
        <w:tc>
          <w:tcPr>
            <w:tcW w:w="7468" w:type="dxa"/>
            <w:gridSpan w:val="10"/>
          </w:tcPr>
          <w:p>
            <w:pPr/>
          </w:p>
        </w:tc>
      </w:tr>
      <w:tr>
        <w:trPr>
          <w:trHeight w:val="374" w:hRule="exact"/>
        </w:trPr>
        <w:tc>
          <w:tcPr>
            <w:tcW w:w="2763" w:type="dxa"/>
            <w:gridSpan w:val="4"/>
          </w:tcPr>
          <w:p>
            <w:pPr>
              <w:pStyle w:val="TableParagraph"/>
              <w:spacing w:before="86"/>
              <w:ind w:left="103"/>
              <w:rPr>
                <w:sz w:val="20"/>
              </w:rPr>
            </w:pPr>
            <w:r>
              <w:rPr>
                <w:sz w:val="20"/>
              </w:rPr>
              <w:t>Ημερομηνία γέννησης</w:t>
            </w:r>
            <w:r>
              <w:rPr>
                <w:position w:val="10"/>
                <w:sz w:val="13"/>
              </w:rPr>
              <w:t>(2)</w:t>
            </w:r>
            <w:r>
              <w:rPr>
                <w:sz w:val="20"/>
              </w:rPr>
              <w:t>:</w:t>
            </w:r>
          </w:p>
        </w:tc>
        <w:tc>
          <w:tcPr>
            <w:tcW w:w="7468" w:type="dxa"/>
            <w:gridSpan w:val="10"/>
          </w:tcPr>
          <w:p>
            <w:pPr/>
          </w:p>
        </w:tc>
      </w:tr>
      <w:tr>
        <w:trPr>
          <w:trHeight w:val="374" w:hRule="exact"/>
        </w:trPr>
        <w:tc>
          <w:tcPr>
            <w:tcW w:w="2763" w:type="dxa"/>
            <w:gridSpan w:val="4"/>
          </w:tcPr>
          <w:p>
            <w:pPr>
              <w:pStyle w:val="TableParagraph"/>
              <w:spacing w:before="119"/>
              <w:ind w:left="103"/>
              <w:rPr>
                <w:sz w:val="20"/>
              </w:rPr>
            </w:pPr>
            <w:r>
              <w:rPr>
                <w:sz w:val="20"/>
              </w:rPr>
              <w:t>Τόπος Γέννησης:</w:t>
            </w:r>
          </w:p>
        </w:tc>
        <w:tc>
          <w:tcPr>
            <w:tcW w:w="7468" w:type="dxa"/>
            <w:gridSpan w:val="10"/>
          </w:tcPr>
          <w:p>
            <w:pPr/>
          </w:p>
        </w:tc>
      </w:tr>
      <w:tr>
        <w:trPr>
          <w:trHeight w:val="374" w:hRule="exact"/>
        </w:trPr>
        <w:tc>
          <w:tcPr>
            <w:tcW w:w="2763" w:type="dxa"/>
            <w:gridSpan w:val="4"/>
          </w:tcPr>
          <w:p>
            <w:pPr>
              <w:pStyle w:val="TableParagraph"/>
              <w:spacing w:before="119"/>
              <w:ind w:left="103"/>
              <w:rPr>
                <w:sz w:val="20"/>
              </w:rPr>
            </w:pPr>
            <w:r>
              <w:rPr>
                <w:sz w:val="20"/>
              </w:rPr>
              <w:t>Αριθμός Δελτίου Ταυτότητας:</w:t>
            </w:r>
          </w:p>
        </w:tc>
        <w:tc>
          <w:tcPr>
            <w:tcW w:w="3045" w:type="dxa"/>
            <w:gridSpan w:val="3"/>
          </w:tcPr>
          <w:p>
            <w:pPr/>
          </w:p>
        </w:tc>
        <w:tc>
          <w:tcPr>
            <w:tcW w:w="704" w:type="dxa"/>
          </w:tcPr>
          <w:p>
            <w:pPr>
              <w:pStyle w:val="TableParagraph"/>
              <w:spacing w:before="119"/>
              <w:ind w:left="87"/>
              <w:rPr>
                <w:sz w:val="20"/>
              </w:rPr>
            </w:pPr>
            <w:r>
              <w:rPr>
                <w:sz w:val="20"/>
              </w:rPr>
              <w:t>Τηλ:</w:t>
            </w:r>
          </w:p>
        </w:tc>
        <w:tc>
          <w:tcPr>
            <w:tcW w:w="3718" w:type="dxa"/>
            <w:gridSpan w:val="6"/>
          </w:tcPr>
          <w:p>
            <w:pPr/>
          </w:p>
        </w:tc>
      </w:tr>
      <w:tr>
        <w:trPr>
          <w:trHeight w:val="374" w:hRule="exact"/>
        </w:trPr>
        <w:tc>
          <w:tcPr>
            <w:tcW w:w="1697" w:type="dxa"/>
            <w:gridSpan w:val="2"/>
          </w:tcPr>
          <w:p>
            <w:pPr>
              <w:pStyle w:val="TableParagraph"/>
              <w:spacing w:before="119"/>
              <w:ind w:left="103"/>
              <w:rPr>
                <w:sz w:val="20"/>
              </w:rPr>
            </w:pPr>
            <w:r>
              <w:rPr>
                <w:sz w:val="20"/>
              </w:rPr>
              <w:t>Τόπος Κατοικίας:</w:t>
            </w:r>
          </w:p>
        </w:tc>
        <w:tc>
          <w:tcPr>
            <w:tcW w:w="3015" w:type="dxa"/>
            <w:gridSpan w:val="3"/>
          </w:tcPr>
          <w:p>
            <w:pPr/>
          </w:p>
        </w:tc>
        <w:tc>
          <w:tcPr>
            <w:tcW w:w="720" w:type="dxa"/>
          </w:tcPr>
          <w:p>
            <w:pPr>
              <w:pStyle w:val="TableParagraph"/>
              <w:spacing w:before="119"/>
              <w:ind w:left="103"/>
              <w:rPr>
                <w:sz w:val="20"/>
              </w:rPr>
            </w:pPr>
            <w:r>
              <w:rPr>
                <w:sz w:val="20"/>
              </w:rPr>
              <w:t>Οδός:</w:t>
            </w:r>
          </w:p>
        </w:tc>
        <w:tc>
          <w:tcPr>
            <w:tcW w:w="2160" w:type="dxa"/>
            <w:gridSpan w:val="4"/>
          </w:tcPr>
          <w:p>
            <w:pPr/>
          </w:p>
        </w:tc>
        <w:tc>
          <w:tcPr>
            <w:tcW w:w="721" w:type="dxa"/>
          </w:tcPr>
          <w:p>
            <w:pPr>
              <w:pStyle w:val="TableParagraph"/>
              <w:spacing w:before="119"/>
              <w:ind w:left="103"/>
              <w:rPr>
                <w:sz w:val="20"/>
              </w:rPr>
            </w:pPr>
            <w:r>
              <w:rPr>
                <w:sz w:val="20"/>
              </w:rPr>
              <w:t>Αριθ:</w:t>
            </w:r>
          </w:p>
        </w:tc>
        <w:tc>
          <w:tcPr>
            <w:tcW w:w="540" w:type="dxa"/>
          </w:tcPr>
          <w:p>
            <w:pPr/>
          </w:p>
        </w:tc>
        <w:tc>
          <w:tcPr>
            <w:tcW w:w="540" w:type="dxa"/>
          </w:tcPr>
          <w:p>
            <w:pPr>
              <w:pStyle w:val="TableParagraph"/>
              <w:spacing w:before="119"/>
              <w:ind w:left="103"/>
              <w:rPr>
                <w:sz w:val="20"/>
              </w:rPr>
            </w:pPr>
            <w:r>
              <w:rPr>
                <w:sz w:val="20"/>
              </w:rPr>
              <w:t>ΤΚ:</w:t>
            </w:r>
          </w:p>
        </w:tc>
        <w:tc>
          <w:tcPr>
            <w:tcW w:w="838" w:type="dxa"/>
          </w:tcPr>
          <w:p>
            <w:pPr/>
          </w:p>
        </w:tc>
      </w:tr>
      <w:tr>
        <w:trPr>
          <w:trHeight w:val="982" w:hRule="exact"/>
        </w:trPr>
        <w:tc>
          <w:tcPr>
            <w:tcW w:w="2357" w:type="dxa"/>
            <w:gridSpan w:val="3"/>
          </w:tcPr>
          <w:p>
            <w:pPr>
              <w:pStyle w:val="TableParagraph"/>
              <w:spacing w:before="10"/>
              <w:rPr>
                <w:rFonts w:ascii="Verdana"/>
                <w:b/>
                <w:sz w:val="24"/>
              </w:rPr>
            </w:pPr>
          </w:p>
          <w:p>
            <w:pPr>
              <w:pStyle w:val="TableParagraph"/>
              <w:ind w:left="103"/>
              <w:rPr>
                <w:sz w:val="20"/>
              </w:rPr>
            </w:pPr>
            <w:r>
              <w:rPr>
                <w:sz w:val="20"/>
              </w:rPr>
              <w:t>Αρ. Τηλεομοιοτύπου</w:t>
            </w:r>
          </w:p>
          <w:p>
            <w:pPr>
              <w:pStyle w:val="TableParagraph"/>
              <w:ind w:left="103"/>
              <w:rPr>
                <w:sz w:val="20"/>
              </w:rPr>
            </w:pPr>
            <w:r>
              <w:rPr>
                <w:sz w:val="20"/>
              </w:rPr>
              <w:t>(Fax):</w:t>
            </w:r>
          </w:p>
        </w:tc>
        <w:tc>
          <w:tcPr>
            <w:tcW w:w="3451" w:type="dxa"/>
            <w:gridSpan w:val="4"/>
          </w:tcPr>
          <w:p>
            <w:pPr/>
          </w:p>
        </w:tc>
        <w:tc>
          <w:tcPr>
            <w:tcW w:w="1456" w:type="dxa"/>
            <w:gridSpan w:val="2"/>
          </w:tcPr>
          <w:p>
            <w:pPr>
              <w:pStyle w:val="TableParagraph"/>
              <w:spacing w:before="119"/>
              <w:ind w:left="118"/>
              <w:rPr>
                <w:sz w:val="20"/>
              </w:rPr>
            </w:pPr>
            <w:r>
              <w:rPr>
                <w:sz w:val="20"/>
              </w:rPr>
              <w:t>Δ/νση Ηλεκτρ. </w:t>
            </w:r>
            <w:r>
              <w:rPr>
                <w:w w:val="95"/>
                <w:sz w:val="20"/>
              </w:rPr>
              <w:t>Ταχυδρομείου</w:t>
            </w:r>
          </w:p>
          <w:p>
            <w:pPr>
              <w:pStyle w:val="TableParagraph"/>
              <w:spacing w:before="118"/>
              <w:ind w:left="118"/>
              <w:rPr>
                <w:sz w:val="20"/>
              </w:rPr>
            </w:pPr>
            <w:r>
              <w:rPr>
                <w:sz w:val="20"/>
              </w:rPr>
              <w:t>(Εmail):</w:t>
            </w:r>
          </w:p>
        </w:tc>
        <w:tc>
          <w:tcPr>
            <w:tcW w:w="2967" w:type="dxa"/>
            <w:gridSpan w:val="5"/>
          </w:tcPr>
          <w:p>
            <w:pPr/>
          </w:p>
        </w:tc>
      </w:tr>
      <w:tr>
        <w:trPr>
          <w:trHeight w:val="530" w:hRule="exact"/>
        </w:trPr>
        <w:tc>
          <w:tcPr>
            <w:tcW w:w="10231" w:type="dxa"/>
            <w:gridSpan w:val="14"/>
          </w:tcPr>
          <w:p>
            <w:pPr>
              <w:pStyle w:val="TableParagraph"/>
              <w:spacing w:line="244" w:lineRule="exact" w:before="11"/>
              <w:ind w:left="103" w:right="634"/>
              <w:rPr>
                <w:sz w:val="20"/>
              </w:rPr>
            </w:pPr>
            <w:r>
              <w:rPr>
                <w:sz w:val="20"/>
              </w:rPr>
              <w:t>Με ατομική μου ευθύνη και γνωρίζοντας τις κυρώσεις</w:t>
            </w:r>
            <w:r>
              <w:rPr>
                <w:position w:val="10"/>
                <w:sz w:val="13"/>
              </w:rPr>
              <w:t>(3)</w:t>
            </w:r>
            <w:r>
              <w:rPr>
                <w:sz w:val="20"/>
              </w:rPr>
              <w:t>, που προβλέπονται από τις διατάξεις της παρ. 6 του άρθρου 22 του Ν. 1599/1986, δηλώνω ότι:</w:t>
            </w:r>
          </w:p>
        </w:tc>
      </w:tr>
    </w:tbl>
    <w:p>
      <w:pPr>
        <w:pStyle w:val="BodyText"/>
        <w:spacing w:before="7"/>
        <w:rPr>
          <w:rFonts w:ascii="Verdana"/>
          <w:b/>
          <w:sz w:val="27"/>
        </w:rPr>
      </w:pPr>
    </w:p>
    <w:p>
      <w:pPr>
        <w:spacing w:before="101"/>
        <w:ind w:left="783" w:right="0" w:firstLine="0"/>
        <w:jc w:val="left"/>
        <w:rPr>
          <w:rFonts w:ascii="Verdana" w:hAnsi="Verdana"/>
          <w:b/>
          <w:sz w:val="16"/>
        </w:rPr>
      </w:pPr>
      <w:r>
        <w:rPr>
          <w:rFonts w:ascii="Verdana" w:hAnsi="Verdana"/>
          <w:b/>
          <w:sz w:val="16"/>
          <w:u w:val="single"/>
        </w:rPr>
        <w:t>Β.1:</w:t>
      </w:r>
    </w:p>
    <w:p>
      <w:pPr>
        <w:spacing w:before="146"/>
        <w:ind w:left="1100" w:right="0" w:firstLine="0"/>
        <w:jc w:val="left"/>
        <w:rPr>
          <w:rFonts w:ascii="Verdana" w:hAnsi="Verdana"/>
          <w:sz w:val="16"/>
        </w:rPr>
      </w:pPr>
      <w:r>
        <w:rPr/>
        <w:pict>
          <v:rect style="position:absolute;margin-left:75.264pt;margin-top:6.82298pt;width:9.960pt;height:9.960pt;mso-position-horizontal-relative:page;mso-position-vertical-relative:paragraph;z-index:1792" filled="false" stroked="true" strokeweight=".72pt" strokecolor="#000000">
            <v:stroke dashstyle="solid"/>
            <w10:wrap type="none"/>
          </v:rect>
        </w:pict>
      </w:r>
      <w:r>
        <w:rPr>
          <w:rFonts w:ascii="Verdana" w:hAnsi="Verdana"/>
          <w:sz w:val="16"/>
        </w:rPr>
        <w:t>Η επιχείρηση λειτουργεί ως ανεξάρτητη επιχείρηση ή</w:t>
      </w:r>
    </w:p>
    <w:p>
      <w:pPr>
        <w:pStyle w:val="BodyText"/>
        <w:rPr>
          <w:rFonts w:ascii="Verdana"/>
          <w:sz w:val="20"/>
        </w:rPr>
      </w:pPr>
    </w:p>
    <w:p>
      <w:pPr>
        <w:pStyle w:val="BodyText"/>
        <w:spacing w:before="10"/>
        <w:rPr>
          <w:rFonts w:ascii="Verdana"/>
          <w:sz w:val="19"/>
        </w:rPr>
      </w:pPr>
    </w:p>
    <w:p>
      <w:pPr>
        <w:spacing w:line="249" w:lineRule="auto" w:before="0"/>
        <w:ind w:left="1088" w:right="390" w:firstLine="0"/>
        <w:jc w:val="both"/>
        <w:rPr>
          <w:rFonts w:ascii="Verdana" w:hAnsi="Verdana"/>
          <w:sz w:val="16"/>
        </w:rPr>
      </w:pPr>
      <w:r>
        <w:rPr/>
        <w:pict>
          <v:rect style="position:absolute;margin-left:75.264pt;margin-top:-.477042pt;width:9.960pt;height:9.960pt;mso-position-horizontal-relative:page;mso-position-vertical-relative:paragraph;z-index:1816" filled="false" stroked="true" strokeweight=".72pt" strokecolor="#000000">
            <v:stroke dashstyle="solid"/>
            <w10:wrap type="none"/>
          </v:rect>
        </w:pict>
      </w:r>
      <w:r>
        <w:rPr>
          <w:rFonts w:ascii="Verdana" w:hAnsi="Verdana"/>
          <w:sz w:val="16"/>
        </w:rPr>
        <w:t>Η επιχείρηση λειτουργεί ως </w:t>
      </w:r>
      <w:r>
        <w:rPr>
          <w:rFonts w:ascii="Verdana" w:hAnsi="Verdana"/>
          <w:b/>
          <w:sz w:val="16"/>
        </w:rPr>
        <w:t>«ενιαία οικονομική μονάδα (οντότητα</w:t>
      </w:r>
      <w:r>
        <w:rPr>
          <w:rFonts w:ascii="Verdana" w:hAnsi="Verdana"/>
          <w:sz w:val="16"/>
        </w:rPr>
        <w:t>)» από κοινού με άλλες επιχειρήσεις . (Στην έννοια της </w:t>
      </w:r>
      <w:r>
        <w:rPr>
          <w:rFonts w:ascii="Verdana" w:hAnsi="Verdana"/>
          <w:b/>
          <w:sz w:val="16"/>
        </w:rPr>
        <w:t>«ενιαίας οικονομικής μονάδας » </w:t>
      </w:r>
      <w:r>
        <w:rPr>
          <w:rFonts w:ascii="Verdana" w:hAnsi="Verdana"/>
          <w:sz w:val="16"/>
        </w:rPr>
        <w:t>περιλαμβάνονται και οι συνδεδεμένες με την αιτούσα επιχειρήσεις, όπως αυτές ορίζονται στο Παράρτημα IV του παρόντος). Στην περίπτωση αυτή συμπληρώνεται υποχρεωτικά ο παρακάτω πίνακας για καθεμία από τις ως άνω επιχειρήσεις με τις οποίες συνδέεται η αιτούσα :</w:t>
      </w:r>
    </w:p>
    <w:p>
      <w:pPr>
        <w:pStyle w:val="BodyText"/>
        <w:rPr>
          <w:rFonts w:ascii="Verdana"/>
          <w:sz w:val="20"/>
        </w:rPr>
      </w:pPr>
    </w:p>
    <w:p>
      <w:pPr>
        <w:pStyle w:val="BodyText"/>
        <w:rPr>
          <w:rFonts w:ascii="Verdana"/>
          <w:sz w:val="20"/>
        </w:rPr>
      </w:pPr>
    </w:p>
    <w:p>
      <w:pPr>
        <w:pStyle w:val="BodyText"/>
        <w:spacing w:before="11"/>
        <w:rPr>
          <w:rFonts w:ascii="Verdana"/>
          <w:sz w:val="20"/>
        </w:rPr>
      </w:pPr>
    </w:p>
    <w:p>
      <w:pPr>
        <w:spacing w:before="0"/>
        <w:ind w:left="946" w:right="0" w:firstLine="0"/>
        <w:jc w:val="left"/>
        <w:rPr>
          <w:rFonts w:ascii="Verdana" w:hAnsi="Verdana"/>
          <w:b/>
          <w:sz w:val="16"/>
        </w:rPr>
      </w:pPr>
      <w:r>
        <w:rPr>
          <w:rFonts w:ascii="Verdana" w:hAnsi="Verdana"/>
          <w:b/>
          <w:sz w:val="16"/>
        </w:rPr>
        <w:t>Πίνακας 1: Επιχειρήσεις με τις οποίες η αιτούσα λειτουργεί ως «ενιαία οικονομική μονάδα».</w:t>
      </w:r>
    </w:p>
    <w:tbl>
      <w:tblPr>
        <w:tblW w:w="0" w:type="auto"/>
        <w:jc w:val="left"/>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50"/>
        <w:gridCol w:w="4203"/>
      </w:tblGrid>
      <w:tr>
        <w:trPr>
          <w:trHeight w:val="674" w:hRule="exact"/>
        </w:trPr>
        <w:tc>
          <w:tcPr>
            <w:tcW w:w="4150" w:type="dxa"/>
            <w:shd w:val="clear" w:color="auto" w:fill="DFDFDF"/>
          </w:tcPr>
          <w:p>
            <w:pPr>
              <w:pStyle w:val="TableParagraph"/>
              <w:spacing w:before="3"/>
              <w:rPr>
                <w:rFonts w:ascii="Verdana"/>
                <w:b/>
                <w:sz w:val="24"/>
              </w:rPr>
            </w:pPr>
          </w:p>
          <w:p>
            <w:pPr>
              <w:pStyle w:val="TableParagraph"/>
              <w:ind w:left="264" w:right="264"/>
              <w:jc w:val="center"/>
              <w:rPr>
                <w:rFonts w:ascii="Verdana" w:hAnsi="Verdana"/>
                <w:b/>
                <w:sz w:val="16"/>
              </w:rPr>
            </w:pPr>
            <w:r>
              <w:rPr>
                <w:rFonts w:ascii="Verdana" w:hAnsi="Verdana"/>
                <w:b/>
                <w:sz w:val="16"/>
              </w:rPr>
              <w:t>Στοιχεία Επιχείρησης</w:t>
            </w:r>
          </w:p>
        </w:tc>
        <w:tc>
          <w:tcPr>
            <w:tcW w:w="4203" w:type="dxa"/>
            <w:shd w:val="clear" w:color="auto" w:fill="DFDFDF"/>
          </w:tcPr>
          <w:p>
            <w:pPr>
              <w:pStyle w:val="TableParagraph"/>
              <w:spacing w:before="3"/>
              <w:rPr>
                <w:rFonts w:ascii="Verdana"/>
                <w:b/>
                <w:sz w:val="24"/>
              </w:rPr>
            </w:pPr>
          </w:p>
          <w:p>
            <w:pPr>
              <w:pStyle w:val="TableParagraph"/>
              <w:ind w:left="141" w:right="142"/>
              <w:jc w:val="center"/>
              <w:rPr>
                <w:rFonts w:ascii="Verdana" w:hAnsi="Verdana"/>
                <w:b/>
                <w:sz w:val="16"/>
              </w:rPr>
            </w:pPr>
            <w:r>
              <w:rPr>
                <w:rFonts w:ascii="Verdana" w:hAnsi="Verdana"/>
                <w:b/>
                <w:sz w:val="16"/>
              </w:rPr>
              <w:t>Επεξήγηση</w:t>
            </w:r>
          </w:p>
        </w:tc>
      </w:tr>
      <w:tr>
        <w:trPr>
          <w:trHeight w:val="1222" w:hRule="exact"/>
        </w:trPr>
        <w:tc>
          <w:tcPr>
            <w:tcW w:w="4150" w:type="dxa"/>
          </w:tcPr>
          <w:p>
            <w:pPr>
              <w:pStyle w:val="TableParagraph"/>
              <w:rPr>
                <w:rFonts w:ascii="Verdana"/>
                <w:b/>
                <w:sz w:val="20"/>
              </w:rPr>
            </w:pPr>
          </w:p>
          <w:p>
            <w:pPr>
              <w:pStyle w:val="TableParagraph"/>
              <w:spacing w:before="9"/>
              <w:rPr>
                <w:rFonts w:ascii="Verdana"/>
                <w:b/>
                <w:sz w:val="26"/>
              </w:rPr>
            </w:pPr>
          </w:p>
          <w:p>
            <w:pPr>
              <w:pStyle w:val="TableParagraph"/>
              <w:ind w:left="264" w:right="263"/>
              <w:jc w:val="center"/>
              <w:rPr>
                <w:rFonts w:ascii="Verdana" w:hAnsi="Verdana"/>
                <w:sz w:val="16"/>
              </w:rPr>
            </w:pPr>
            <w:r>
              <w:rPr>
                <w:rFonts w:ascii="Verdana" w:hAnsi="Verdana"/>
                <w:sz w:val="16"/>
              </w:rPr>
              <w:t>ΑΑ Επιχείρησης</w:t>
            </w:r>
          </w:p>
        </w:tc>
        <w:tc>
          <w:tcPr>
            <w:tcW w:w="4203" w:type="dxa"/>
          </w:tcPr>
          <w:p>
            <w:pPr>
              <w:pStyle w:val="TableParagraph"/>
              <w:spacing w:before="120"/>
              <w:ind w:left="143" w:right="142"/>
              <w:jc w:val="center"/>
              <w:rPr>
                <w:rFonts w:ascii="Verdana" w:hAnsi="Verdana"/>
                <w:sz w:val="16"/>
              </w:rPr>
            </w:pPr>
            <w:r>
              <w:rPr>
                <w:rFonts w:ascii="Verdana" w:hAnsi="Verdana"/>
                <w:sz w:val="16"/>
              </w:rPr>
              <w:t>Ο αύξων αριθμός της επιχείρησης με την οποία η αιτούσα λειτουργεί ως ενιαία οικονομική μονάδα (στην έννοια περιλαμβάνονται και οι συνδεδεμένες/συνεργαζόμενες επιχειρήσεις)</w:t>
            </w:r>
          </w:p>
        </w:tc>
      </w:tr>
      <w:tr>
        <w:trPr>
          <w:trHeight w:val="639" w:hRule="exact"/>
        </w:trPr>
        <w:tc>
          <w:tcPr>
            <w:tcW w:w="4150" w:type="dxa"/>
          </w:tcPr>
          <w:p>
            <w:pPr>
              <w:pStyle w:val="TableParagraph"/>
              <w:spacing w:before="11"/>
              <w:rPr>
                <w:rFonts w:ascii="Verdana"/>
                <w:b/>
                <w:sz w:val="22"/>
              </w:rPr>
            </w:pPr>
          </w:p>
          <w:p>
            <w:pPr>
              <w:pStyle w:val="TableParagraph"/>
              <w:ind w:left="264" w:right="263"/>
              <w:jc w:val="center"/>
              <w:rPr>
                <w:rFonts w:ascii="Verdana" w:hAnsi="Verdana"/>
                <w:sz w:val="16"/>
              </w:rPr>
            </w:pPr>
            <w:r>
              <w:rPr>
                <w:rFonts w:ascii="Verdana" w:hAnsi="Verdana"/>
                <w:sz w:val="16"/>
              </w:rPr>
              <w:t>Επωνυμία Επιχείρησης</w:t>
            </w:r>
          </w:p>
        </w:tc>
        <w:tc>
          <w:tcPr>
            <w:tcW w:w="4203" w:type="dxa"/>
          </w:tcPr>
          <w:p>
            <w:pPr/>
          </w:p>
        </w:tc>
      </w:tr>
    </w:tbl>
    <w:p>
      <w:pPr>
        <w:spacing w:after="0"/>
        <w:sectPr>
          <w:pgSz w:w="11910" w:h="16840"/>
          <w:pgMar w:header="748" w:footer="734" w:top="1420" w:bottom="920" w:left="700" w:right="740"/>
        </w:sectPr>
      </w:pPr>
    </w:p>
    <w:p>
      <w:pPr>
        <w:pStyle w:val="BodyText"/>
        <w:spacing w:before="10"/>
        <w:rPr>
          <w:rFonts w:ascii="Times New Roman"/>
          <w:sz w:val="23"/>
        </w:rPr>
      </w:pPr>
    </w:p>
    <w:tbl>
      <w:tblPr>
        <w:tblW w:w="0" w:type="auto"/>
        <w:jc w:val="left"/>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50"/>
        <w:gridCol w:w="4203"/>
      </w:tblGrid>
      <w:tr>
        <w:trPr>
          <w:trHeight w:val="674" w:hRule="exact"/>
        </w:trPr>
        <w:tc>
          <w:tcPr>
            <w:tcW w:w="4150" w:type="dxa"/>
            <w:shd w:val="clear" w:color="auto" w:fill="DFDFDF"/>
          </w:tcPr>
          <w:p>
            <w:pPr>
              <w:pStyle w:val="TableParagraph"/>
              <w:spacing w:before="10"/>
              <w:rPr>
                <w:rFonts w:ascii="Times New Roman"/>
                <w:sz w:val="25"/>
              </w:rPr>
            </w:pPr>
          </w:p>
          <w:p>
            <w:pPr>
              <w:pStyle w:val="TableParagraph"/>
              <w:ind w:left="264" w:right="264"/>
              <w:jc w:val="center"/>
              <w:rPr>
                <w:rFonts w:ascii="Verdana" w:hAnsi="Verdana"/>
                <w:b/>
                <w:sz w:val="16"/>
              </w:rPr>
            </w:pPr>
            <w:r>
              <w:rPr>
                <w:rFonts w:ascii="Verdana" w:hAnsi="Verdana"/>
                <w:b/>
                <w:sz w:val="16"/>
              </w:rPr>
              <w:t>Στοιχεία Επιχείρησης</w:t>
            </w:r>
          </w:p>
        </w:tc>
        <w:tc>
          <w:tcPr>
            <w:tcW w:w="4203" w:type="dxa"/>
            <w:shd w:val="clear" w:color="auto" w:fill="DFDFDF"/>
          </w:tcPr>
          <w:p>
            <w:pPr>
              <w:pStyle w:val="TableParagraph"/>
              <w:spacing w:before="10"/>
              <w:rPr>
                <w:rFonts w:ascii="Times New Roman"/>
                <w:sz w:val="25"/>
              </w:rPr>
            </w:pPr>
          </w:p>
          <w:p>
            <w:pPr>
              <w:pStyle w:val="TableParagraph"/>
              <w:ind w:left="141" w:right="142"/>
              <w:jc w:val="center"/>
              <w:rPr>
                <w:rFonts w:ascii="Verdana" w:hAnsi="Verdana"/>
                <w:b/>
                <w:sz w:val="16"/>
              </w:rPr>
            </w:pPr>
            <w:r>
              <w:rPr>
                <w:rFonts w:ascii="Verdana" w:hAnsi="Verdana"/>
                <w:b/>
                <w:sz w:val="16"/>
              </w:rPr>
              <w:t>Επεξήγηση</w:t>
            </w:r>
          </w:p>
        </w:tc>
      </w:tr>
      <w:tr>
        <w:trPr>
          <w:trHeight w:val="324" w:hRule="exact"/>
        </w:trPr>
        <w:tc>
          <w:tcPr>
            <w:tcW w:w="4150" w:type="dxa"/>
          </w:tcPr>
          <w:p>
            <w:pPr>
              <w:pStyle w:val="TableParagraph"/>
              <w:spacing w:before="122"/>
              <w:ind w:left="264" w:right="263"/>
              <w:jc w:val="center"/>
              <w:rPr>
                <w:rFonts w:ascii="Verdana" w:hAnsi="Verdana"/>
                <w:sz w:val="16"/>
              </w:rPr>
            </w:pPr>
            <w:r>
              <w:rPr>
                <w:rFonts w:ascii="Verdana" w:hAnsi="Verdana"/>
                <w:sz w:val="16"/>
              </w:rPr>
              <w:t>Α.Φ.Μ. Επιχείρησης</w:t>
            </w:r>
          </w:p>
        </w:tc>
        <w:tc>
          <w:tcPr>
            <w:tcW w:w="4203" w:type="dxa"/>
          </w:tcPr>
          <w:p>
            <w:pPr/>
          </w:p>
        </w:tc>
      </w:tr>
      <w:tr>
        <w:trPr>
          <w:trHeight w:val="324" w:hRule="exact"/>
        </w:trPr>
        <w:tc>
          <w:tcPr>
            <w:tcW w:w="4150" w:type="dxa"/>
          </w:tcPr>
          <w:p>
            <w:pPr>
              <w:pStyle w:val="TableParagraph"/>
              <w:spacing w:before="122"/>
              <w:ind w:left="264" w:right="265"/>
              <w:jc w:val="center"/>
              <w:rPr>
                <w:rFonts w:ascii="Verdana" w:hAnsi="Verdana"/>
                <w:sz w:val="16"/>
              </w:rPr>
            </w:pPr>
            <w:r>
              <w:rPr>
                <w:rFonts w:ascii="Verdana" w:hAnsi="Verdana"/>
                <w:sz w:val="16"/>
              </w:rPr>
              <w:t>Κ.Α.Δ. Επιχείρησης</w:t>
            </w:r>
          </w:p>
        </w:tc>
        <w:tc>
          <w:tcPr>
            <w:tcW w:w="4203" w:type="dxa"/>
          </w:tcPr>
          <w:p>
            <w:pPr/>
          </w:p>
        </w:tc>
      </w:tr>
      <w:tr>
        <w:trPr>
          <w:trHeight w:val="324" w:hRule="exact"/>
        </w:trPr>
        <w:tc>
          <w:tcPr>
            <w:tcW w:w="4150" w:type="dxa"/>
          </w:tcPr>
          <w:p>
            <w:pPr>
              <w:pStyle w:val="TableParagraph"/>
              <w:spacing w:before="122"/>
              <w:ind w:left="264" w:right="261"/>
              <w:jc w:val="center"/>
              <w:rPr>
                <w:rFonts w:ascii="Verdana" w:hAnsi="Verdana"/>
                <w:sz w:val="16"/>
              </w:rPr>
            </w:pPr>
            <w:r>
              <w:rPr>
                <w:rFonts w:ascii="Verdana" w:hAnsi="Verdana"/>
                <w:sz w:val="16"/>
              </w:rPr>
              <w:t>Ποσοστό Συμμετοχής (0-100)</w:t>
            </w:r>
          </w:p>
        </w:tc>
        <w:tc>
          <w:tcPr>
            <w:tcW w:w="4203" w:type="dxa"/>
          </w:tcPr>
          <w:p>
            <w:pPr/>
          </w:p>
        </w:tc>
      </w:tr>
      <w:tr>
        <w:trPr>
          <w:trHeight w:val="326" w:hRule="exact"/>
        </w:trPr>
        <w:tc>
          <w:tcPr>
            <w:tcW w:w="4150" w:type="dxa"/>
          </w:tcPr>
          <w:p>
            <w:pPr>
              <w:pStyle w:val="TableParagraph"/>
              <w:spacing w:before="124"/>
              <w:ind w:left="264" w:right="265"/>
              <w:jc w:val="center"/>
              <w:rPr>
                <w:rFonts w:ascii="Verdana" w:hAnsi="Verdana"/>
                <w:sz w:val="16"/>
              </w:rPr>
            </w:pPr>
            <w:r>
              <w:rPr>
                <w:rFonts w:ascii="Verdana" w:hAnsi="Verdana"/>
                <w:sz w:val="16"/>
              </w:rPr>
              <w:t>Επώνυμο Νομίμου Εκπροσώπου</w:t>
            </w:r>
          </w:p>
        </w:tc>
        <w:tc>
          <w:tcPr>
            <w:tcW w:w="4203" w:type="dxa"/>
          </w:tcPr>
          <w:p>
            <w:pPr/>
          </w:p>
        </w:tc>
      </w:tr>
      <w:tr>
        <w:trPr>
          <w:trHeight w:val="324" w:hRule="exact"/>
        </w:trPr>
        <w:tc>
          <w:tcPr>
            <w:tcW w:w="4150" w:type="dxa"/>
          </w:tcPr>
          <w:p>
            <w:pPr>
              <w:pStyle w:val="TableParagraph"/>
              <w:spacing w:before="122"/>
              <w:ind w:left="264" w:right="265"/>
              <w:jc w:val="center"/>
              <w:rPr>
                <w:rFonts w:ascii="Verdana" w:hAnsi="Verdana"/>
                <w:sz w:val="16"/>
              </w:rPr>
            </w:pPr>
            <w:r>
              <w:rPr>
                <w:rFonts w:ascii="Verdana" w:hAnsi="Verdana"/>
                <w:sz w:val="16"/>
              </w:rPr>
              <w:t>Όνομα Νομίμου Εκπροσώπου</w:t>
            </w:r>
          </w:p>
        </w:tc>
        <w:tc>
          <w:tcPr>
            <w:tcW w:w="4203" w:type="dxa"/>
          </w:tcPr>
          <w:p>
            <w:pPr/>
          </w:p>
        </w:tc>
      </w:tr>
      <w:tr>
        <w:trPr>
          <w:trHeight w:val="324" w:hRule="exact"/>
        </w:trPr>
        <w:tc>
          <w:tcPr>
            <w:tcW w:w="4150" w:type="dxa"/>
          </w:tcPr>
          <w:p>
            <w:pPr>
              <w:pStyle w:val="TableParagraph"/>
              <w:spacing w:before="122"/>
              <w:ind w:left="264" w:right="265"/>
              <w:jc w:val="center"/>
              <w:rPr>
                <w:rFonts w:ascii="Verdana" w:hAnsi="Verdana"/>
                <w:sz w:val="16"/>
              </w:rPr>
            </w:pPr>
            <w:r>
              <w:rPr>
                <w:rFonts w:ascii="Verdana" w:hAnsi="Verdana"/>
                <w:sz w:val="16"/>
              </w:rPr>
              <w:t>Πατρώνυμο Νομίμου Εκπροσώπου</w:t>
            </w:r>
          </w:p>
        </w:tc>
        <w:tc>
          <w:tcPr>
            <w:tcW w:w="4203" w:type="dxa"/>
          </w:tcPr>
          <w:p>
            <w:pPr/>
          </w:p>
        </w:tc>
      </w:tr>
      <w:tr>
        <w:trPr>
          <w:trHeight w:val="324" w:hRule="exact"/>
        </w:trPr>
        <w:tc>
          <w:tcPr>
            <w:tcW w:w="4150" w:type="dxa"/>
          </w:tcPr>
          <w:p>
            <w:pPr>
              <w:pStyle w:val="TableParagraph"/>
              <w:spacing w:before="122"/>
              <w:ind w:left="264" w:right="265"/>
              <w:jc w:val="center"/>
              <w:rPr>
                <w:rFonts w:ascii="Verdana" w:hAnsi="Verdana"/>
                <w:sz w:val="16"/>
              </w:rPr>
            </w:pPr>
            <w:r>
              <w:rPr>
                <w:rFonts w:ascii="Verdana" w:hAnsi="Verdana"/>
                <w:sz w:val="16"/>
              </w:rPr>
              <w:t>Α.Φ.Μ. Νομίμου Εκπροσώπου</w:t>
            </w:r>
          </w:p>
        </w:tc>
        <w:tc>
          <w:tcPr>
            <w:tcW w:w="4203" w:type="dxa"/>
          </w:tcPr>
          <w:p>
            <w:pPr/>
          </w:p>
        </w:tc>
      </w:tr>
      <w:tr>
        <w:trPr>
          <w:trHeight w:val="639" w:hRule="exact"/>
        </w:trPr>
        <w:tc>
          <w:tcPr>
            <w:tcW w:w="4150" w:type="dxa"/>
          </w:tcPr>
          <w:p>
            <w:pPr>
              <w:pStyle w:val="TableParagraph"/>
              <w:spacing w:line="310" w:lineRule="atLeast" w:before="7"/>
              <w:ind w:left="1214" w:right="206" w:hanging="994"/>
              <w:rPr>
                <w:rFonts w:ascii="Verdana" w:hAnsi="Verdana"/>
                <w:sz w:val="16"/>
              </w:rPr>
            </w:pPr>
            <w:r>
              <w:rPr>
                <w:rFonts w:ascii="Verdana" w:hAnsi="Verdana"/>
                <w:sz w:val="16"/>
              </w:rPr>
              <w:t>Έγγραφο Ταυτοποίησης Νομίμου Εκπροσώπου (Α.Δ.Τ. ή Ισοδύναμο)</w:t>
            </w:r>
          </w:p>
        </w:tc>
        <w:tc>
          <w:tcPr>
            <w:tcW w:w="4203" w:type="dxa"/>
          </w:tcPr>
          <w:p>
            <w:pPr/>
          </w:p>
        </w:tc>
      </w:tr>
      <w:tr>
        <w:trPr>
          <w:trHeight w:val="326" w:hRule="exact"/>
        </w:trPr>
        <w:tc>
          <w:tcPr>
            <w:tcW w:w="4150" w:type="dxa"/>
          </w:tcPr>
          <w:p>
            <w:pPr>
              <w:pStyle w:val="TableParagraph"/>
              <w:spacing w:before="124"/>
              <w:ind w:left="264" w:right="265"/>
              <w:jc w:val="center"/>
              <w:rPr>
                <w:rFonts w:ascii="Verdana" w:hAnsi="Verdana"/>
                <w:sz w:val="16"/>
              </w:rPr>
            </w:pPr>
            <w:r>
              <w:rPr>
                <w:rFonts w:ascii="Verdana" w:hAnsi="Verdana"/>
                <w:sz w:val="16"/>
              </w:rPr>
              <w:t>Θέση στην Επιχείρηση Νομίμου Εκπροσώπου</w:t>
            </w:r>
          </w:p>
        </w:tc>
        <w:tc>
          <w:tcPr>
            <w:tcW w:w="4203" w:type="dxa"/>
          </w:tcPr>
          <w:p>
            <w:pPr/>
          </w:p>
        </w:tc>
      </w:tr>
    </w:tbl>
    <w:p>
      <w:pPr>
        <w:spacing w:after="0"/>
        <w:sectPr>
          <w:pgSz w:w="11910" w:h="16840"/>
          <w:pgMar w:header="748" w:footer="734" w:top="1420" w:bottom="920" w:left="1100" w:right="1160"/>
        </w:sectPr>
      </w:pPr>
    </w:p>
    <w:p>
      <w:pPr>
        <w:pStyle w:val="BodyText"/>
        <w:spacing w:before="1"/>
        <w:rPr>
          <w:rFonts w:ascii="Times New Roman"/>
          <w:sz w:val="15"/>
        </w:rPr>
      </w:pPr>
    </w:p>
    <w:p>
      <w:pPr>
        <w:spacing w:before="101"/>
        <w:ind w:left="460" w:right="116" w:firstLine="0"/>
        <w:jc w:val="both"/>
        <w:rPr>
          <w:rFonts w:ascii="Verdana" w:hAnsi="Verdana"/>
          <w:sz w:val="16"/>
        </w:rPr>
      </w:pPr>
      <w:r>
        <w:rPr>
          <w:rFonts w:ascii="Verdana" w:hAnsi="Verdana"/>
          <w:b/>
          <w:sz w:val="16"/>
        </w:rPr>
        <w:t>Β.2: </w:t>
      </w:r>
      <w:r>
        <w:rPr>
          <w:rFonts w:ascii="Verdana" w:hAnsi="Verdana"/>
          <w:sz w:val="16"/>
        </w:rPr>
        <w:t>Το ύψος των ενισχύσεων για τις ίδιες επιλέξιμες δαπάνες που η αιτούσα, καθώς και οι επιχειρήσεις που λειτουργούν μαζί με αυτήν ως ενιαία οικονομική μονάδα (στην έννοια περιλαμβάνονται οι συνδεδεμένες με την αιτούσα επιχειρήσεις), έχουν αποκτήσει έννομο δικαίωμα λήψης της ενίσχυσης κατά τα τελευταία τρία οικονομικά έτη (τρέχον οικονομικό έτος και τα δύο προηγούμενα οικονομικά έτη) από την ημερομηνία υποβολής της αίτησης στο πλαίσιο της Πράξης, βάσει καθεστώτος de minimis.</w:t>
      </w:r>
    </w:p>
    <w:p>
      <w:pPr>
        <w:spacing w:before="120"/>
        <w:ind w:left="460" w:right="121" w:firstLine="0"/>
        <w:jc w:val="both"/>
        <w:rPr>
          <w:rFonts w:ascii="Verdana" w:hAnsi="Verdana"/>
          <w:sz w:val="16"/>
        </w:rPr>
      </w:pPr>
      <w:r>
        <w:rPr>
          <w:rFonts w:ascii="Verdana" w:hAnsi="Verdana"/>
          <w:sz w:val="16"/>
        </w:rPr>
        <w:t>Στη δήλωση θα αναφέρονται τα στοιχεία για τις ενισχύσεις που έχουν χορηγηθεί βάσει του καθεστώτος de minimis (πρόγραμμα, φορέας επιδότησης, χρονολογία ένταξης και ποσό). Στην περίπτωση που η επιχείρηση δεν έχει λάβει καμία ενίσχυση, θα το αναγράφει στην υπεύθυνη δήλωση.</w:t>
      </w:r>
    </w:p>
    <w:p>
      <w:pPr>
        <w:spacing w:before="120"/>
        <w:ind w:left="5140" w:right="4799" w:firstLine="0"/>
        <w:jc w:val="center"/>
        <w:rPr>
          <w:rFonts w:ascii="Verdana" w:hAnsi="Verdana"/>
          <w:b/>
          <w:sz w:val="16"/>
        </w:rPr>
      </w:pPr>
      <w:r>
        <w:rPr>
          <w:rFonts w:ascii="Verdana" w:hAnsi="Verdana"/>
          <w:b/>
          <w:sz w:val="16"/>
        </w:rPr>
        <w:t>Πίνακας 2: Πίνακας Επιχορηγήσεων de minimis</w:t>
      </w:r>
    </w:p>
    <w:tbl>
      <w:tblPr>
        <w:tblW w:w="0" w:type="auto"/>
        <w:jc w:val="left"/>
        <w:tblInd w:w="138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205"/>
        <w:gridCol w:w="1753"/>
        <w:gridCol w:w="1243"/>
        <w:gridCol w:w="1810"/>
        <w:gridCol w:w="1565"/>
        <w:gridCol w:w="1606"/>
        <w:gridCol w:w="1102"/>
        <w:gridCol w:w="1104"/>
      </w:tblGrid>
      <w:tr>
        <w:trPr>
          <w:trHeight w:val="834" w:hRule="exact"/>
        </w:trPr>
        <w:tc>
          <w:tcPr>
            <w:tcW w:w="11387" w:type="dxa"/>
            <w:gridSpan w:val="8"/>
            <w:tcBorders>
              <w:left w:val="single" w:sz="4" w:space="0" w:color="000000"/>
              <w:bottom w:val="single" w:sz="4" w:space="0" w:color="000000"/>
              <w:right w:val="single" w:sz="4" w:space="0" w:color="000000"/>
            </w:tcBorders>
            <w:shd w:val="clear" w:color="auto" w:fill="DFDFDF"/>
          </w:tcPr>
          <w:p>
            <w:pPr>
              <w:pStyle w:val="TableParagraph"/>
              <w:spacing w:before="115"/>
              <w:ind w:left="216" w:right="217"/>
              <w:jc w:val="center"/>
              <w:rPr>
                <w:rFonts w:ascii="Verdana" w:hAnsi="Verdana"/>
                <w:b/>
                <w:sz w:val="16"/>
              </w:rPr>
            </w:pPr>
            <w:r>
              <w:rPr>
                <w:rFonts w:ascii="Verdana" w:hAnsi="Verdana"/>
                <w:b/>
                <w:sz w:val="16"/>
              </w:rPr>
              <w:t>ΕΝΙΣΧΥΣΕΙΣ DE MINIMIS ΓΙΑ ΤΙΣ ΟΠΟΙΕΣ Η ΑΙΤΟΥΣΑ ΕΧΕΙ ΑΠΟΚΤΗΣΕΙ ΕΝΝΟΜΟ ΔΙΚΑΙΩΜΑ ΛΗΨΗΣ</w:t>
            </w:r>
          </w:p>
          <w:p>
            <w:pPr>
              <w:pStyle w:val="TableParagraph"/>
              <w:spacing w:before="120"/>
              <w:ind w:left="216" w:right="220"/>
              <w:jc w:val="center"/>
              <w:rPr>
                <w:rFonts w:ascii="Verdana" w:hAnsi="Verdana"/>
                <w:b/>
                <w:sz w:val="16"/>
              </w:rPr>
            </w:pPr>
            <w:r>
              <w:rPr>
                <w:rFonts w:ascii="Verdana" w:hAnsi="Verdana"/>
                <w:b/>
                <w:sz w:val="16"/>
              </w:rPr>
              <w:t>Αφορά στην επιχείρηση που υποβάλλει πρόταση (αιτούσα) καθώς και σε αυτές με την οποία η αιτούσα λειτουργεί ως ενιαία οικονομική μονάδα (στην έννοια περιλαμβάνονται οι συνδεδεμένες με την αιτούσα επιχειρήσεις).</w:t>
            </w:r>
          </w:p>
        </w:tc>
      </w:tr>
      <w:tr>
        <w:trPr>
          <w:trHeight w:val="322" w:hRule="exact"/>
        </w:trPr>
        <w:tc>
          <w:tcPr>
            <w:tcW w:w="1205"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Πρόγραμμα/</w:t>
            </w:r>
          </w:p>
        </w:tc>
        <w:tc>
          <w:tcPr>
            <w:tcW w:w="1753"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Αριθμός και</w:t>
            </w:r>
          </w:p>
        </w:tc>
        <w:tc>
          <w:tcPr>
            <w:tcW w:w="1243"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Ημ/νία</w:t>
            </w:r>
          </w:p>
        </w:tc>
        <w:tc>
          <w:tcPr>
            <w:tcW w:w="1810"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Ποσό δημόσιας</w:t>
            </w:r>
          </w:p>
        </w:tc>
        <w:tc>
          <w:tcPr>
            <w:tcW w:w="1565"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83" w:right="218"/>
              <w:jc w:val="center"/>
              <w:rPr>
                <w:rFonts w:ascii="Verdana" w:hAnsi="Verdana"/>
                <w:sz w:val="16"/>
              </w:rPr>
            </w:pPr>
            <w:r>
              <w:rPr>
                <w:rFonts w:ascii="Verdana" w:hAnsi="Verdana"/>
                <w:sz w:val="16"/>
              </w:rPr>
              <w:t>Ποσό Δημόσιας</w:t>
            </w:r>
          </w:p>
        </w:tc>
        <w:tc>
          <w:tcPr>
            <w:tcW w:w="1606"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Ημ/νία</w:t>
            </w:r>
          </w:p>
        </w:tc>
        <w:tc>
          <w:tcPr>
            <w:tcW w:w="1102"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Επωνυμία</w:t>
            </w:r>
          </w:p>
        </w:tc>
        <w:tc>
          <w:tcPr>
            <w:tcW w:w="1104" w:type="dxa"/>
            <w:tcBorders>
              <w:top w:val="single" w:sz="4" w:space="0" w:color="000000"/>
              <w:left w:val="single" w:sz="4" w:space="0" w:color="000000"/>
              <w:bottom w:val="nil"/>
              <w:right w:val="single" w:sz="4" w:space="0" w:color="000000"/>
            </w:tcBorders>
            <w:shd w:val="clear" w:color="auto" w:fill="DFDFDF"/>
          </w:tcPr>
          <w:p>
            <w:pPr>
              <w:pStyle w:val="TableParagraph"/>
              <w:spacing w:before="118"/>
              <w:ind w:left="103"/>
              <w:rPr>
                <w:rFonts w:ascii="Verdana" w:hAnsi="Verdana"/>
                <w:sz w:val="16"/>
              </w:rPr>
            </w:pPr>
            <w:r>
              <w:rPr>
                <w:rFonts w:ascii="Verdana" w:hAnsi="Verdana"/>
                <w:sz w:val="16"/>
              </w:rPr>
              <w:t>ΑΦΜ</w:t>
            </w:r>
          </w:p>
        </w:tc>
      </w:tr>
      <w:tr>
        <w:trPr>
          <w:trHeight w:val="195" w:hRule="exact"/>
        </w:trPr>
        <w:tc>
          <w:tcPr>
            <w:tcW w:w="1205"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Μέτρο/</w:t>
            </w:r>
          </w:p>
        </w:tc>
        <w:tc>
          <w:tcPr>
            <w:tcW w:w="1753"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ημερομηνία</w:t>
            </w:r>
          </w:p>
        </w:tc>
        <w:tc>
          <w:tcPr>
            <w:tcW w:w="1243"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Υπουργικής</w:t>
            </w:r>
          </w:p>
        </w:tc>
        <w:tc>
          <w:tcPr>
            <w:tcW w:w="1810"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χρηματοδότησης</w:t>
            </w:r>
          </w:p>
        </w:tc>
        <w:tc>
          <w:tcPr>
            <w:tcW w:w="1565" w:type="dxa"/>
            <w:tcBorders>
              <w:top w:val="nil"/>
              <w:left w:val="single" w:sz="4" w:space="0" w:color="000000"/>
              <w:bottom w:val="nil"/>
              <w:right w:val="single" w:sz="4" w:space="0" w:color="000000"/>
            </w:tcBorders>
            <w:shd w:val="clear" w:color="auto" w:fill="DFDFDF"/>
          </w:tcPr>
          <w:p>
            <w:pPr>
              <w:pStyle w:val="TableParagraph"/>
              <w:spacing w:line="190" w:lineRule="exact"/>
              <w:ind w:left="83" w:right="83"/>
              <w:jc w:val="center"/>
              <w:rPr>
                <w:rFonts w:ascii="Verdana" w:hAnsi="Verdana"/>
                <w:sz w:val="16"/>
              </w:rPr>
            </w:pPr>
            <w:r>
              <w:rPr>
                <w:rFonts w:ascii="Verdana" w:hAnsi="Verdana"/>
                <w:sz w:val="16"/>
              </w:rPr>
              <w:t>Χρηματοδότησης</w:t>
            </w:r>
          </w:p>
        </w:tc>
        <w:tc>
          <w:tcPr>
            <w:tcW w:w="1606"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καταβολής</w:t>
            </w:r>
          </w:p>
        </w:tc>
        <w:tc>
          <w:tcPr>
            <w:tcW w:w="1102"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Δικαιούχου</w:t>
            </w:r>
          </w:p>
        </w:tc>
        <w:tc>
          <w:tcPr>
            <w:tcW w:w="1104"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Δικαιούχου</w:t>
            </w:r>
          </w:p>
        </w:tc>
      </w:tr>
      <w:tr>
        <w:trPr>
          <w:trHeight w:val="1555" w:hRule="exact"/>
        </w:trPr>
        <w:tc>
          <w:tcPr>
            <w:tcW w:w="1205"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ight="202"/>
              <w:rPr>
                <w:rFonts w:ascii="Verdana" w:hAnsi="Verdana"/>
                <w:sz w:val="16"/>
              </w:rPr>
            </w:pPr>
            <w:r>
              <w:rPr>
                <w:rFonts w:ascii="Verdana" w:hAnsi="Verdana"/>
                <w:sz w:val="16"/>
              </w:rPr>
              <w:t>Δράση από το οποίο η επιχείρηση έχει αποκτήσει έννομο δικαίωμα λήψης της</w:t>
            </w:r>
          </w:p>
        </w:tc>
        <w:tc>
          <w:tcPr>
            <w:tcW w:w="1753" w:type="dxa"/>
            <w:tcBorders>
              <w:top w:val="nil"/>
              <w:left w:val="single" w:sz="4" w:space="0" w:color="000000"/>
              <w:bottom w:val="nil"/>
              <w:right w:val="single" w:sz="4" w:space="0" w:color="000000"/>
            </w:tcBorders>
            <w:shd w:val="clear" w:color="auto" w:fill="DFDFDF"/>
          </w:tcPr>
          <w:p>
            <w:pPr>
              <w:pStyle w:val="TableParagraph"/>
              <w:spacing w:before="115"/>
              <w:ind w:left="103" w:right="102"/>
              <w:rPr>
                <w:rFonts w:ascii="Verdana" w:hAnsi="Verdana"/>
                <w:sz w:val="16"/>
              </w:rPr>
            </w:pPr>
            <w:r>
              <w:rPr>
                <w:rFonts w:ascii="Verdana" w:hAnsi="Verdana"/>
                <w:sz w:val="16"/>
              </w:rPr>
              <w:t>Υπουργικής Απόφασης </w:t>
            </w:r>
            <w:r>
              <w:rPr>
                <w:rFonts w:ascii="Verdana" w:hAnsi="Verdana"/>
                <w:spacing w:val="-1"/>
                <w:sz w:val="16"/>
              </w:rPr>
              <w:t>Ένταξης/υπαγωγής </w:t>
            </w:r>
            <w:r>
              <w:rPr>
                <w:rFonts w:ascii="Verdana" w:hAnsi="Verdana"/>
                <w:sz w:val="16"/>
              </w:rPr>
              <w:t>ή ημερομηνία λήψης του έννομου δικαιώματος</w:t>
            </w:r>
          </w:p>
        </w:tc>
        <w:tc>
          <w:tcPr>
            <w:tcW w:w="1243"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ight="83"/>
              <w:rPr>
                <w:rFonts w:ascii="Verdana" w:hAnsi="Verdana"/>
                <w:sz w:val="16"/>
              </w:rPr>
            </w:pPr>
            <w:r>
              <w:rPr>
                <w:rFonts w:ascii="Verdana" w:hAnsi="Verdana"/>
                <w:sz w:val="16"/>
              </w:rPr>
              <w:t>Απόφασης Ένταξης ή ημερομηνία λήψης του έννομου δικαιώματος.</w:t>
            </w:r>
          </w:p>
        </w:tc>
        <w:tc>
          <w:tcPr>
            <w:tcW w:w="1810"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ight="84"/>
              <w:rPr>
                <w:rFonts w:ascii="Verdana" w:hAnsi="Verdana"/>
                <w:sz w:val="16"/>
              </w:rPr>
            </w:pPr>
            <w:r>
              <w:rPr>
                <w:rFonts w:ascii="Verdana" w:hAnsi="Verdana"/>
                <w:sz w:val="16"/>
              </w:rPr>
              <w:t>που αναγράφεται στην Απόφαση Ένταξης/υπαγωγής.</w:t>
            </w:r>
          </w:p>
        </w:tc>
        <w:tc>
          <w:tcPr>
            <w:tcW w:w="1565"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Pr>
                <w:rFonts w:ascii="Verdana" w:hAnsi="Verdana"/>
                <w:sz w:val="16"/>
              </w:rPr>
            </w:pPr>
            <w:r>
              <w:rPr>
                <w:rFonts w:ascii="Verdana" w:hAnsi="Verdana"/>
                <w:sz w:val="16"/>
              </w:rPr>
              <w:t>που έχει καταβληθεί πραγματικά στην επιχείρηση.</w:t>
            </w:r>
          </w:p>
        </w:tc>
        <w:tc>
          <w:tcPr>
            <w:tcW w:w="1606"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ight="82"/>
              <w:rPr>
                <w:rFonts w:ascii="Verdana" w:hAnsi="Verdana"/>
                <w:sz w:val="16"/>
              </w:rPr>
            </w:pPr>
            <w:r>
              <w:rPr>
                <w:rFonts w:ascii="Verdana" w:hAnsi="Verdana"/>
                <w:sz w:val="16"/>
              </w:rPr>
              <w:t>τελευταίας χρηματοδότησης.</w:t>
            </w:r>
          </w:p>
        </w:tc>
        <w:tc>
          <w:tcPr>
            <w:tcW w:w="1102"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ight="91"/>
              <w:rPr>
                <w:rFonts w:ascii="Verdana" w:hAnsi="Verdana"/>
                <w:sz w:val="16"/>
              </w:rPr>
            </w:pPr>
            <w:r>
              <w:rPr>
                <w:rFonts w:ascii="Verdana" w:hAnsi="Verdana"/>
                <w:sz w:val="16"/>
              </w:rPr>
              <w:t>της Ενίσχυσης.</w:t>
            </w:r>
          </w:p>
        </w:tc>
        <w:tc>
          <w:tcPr>
            <w:tcW w:w="1104" w:type="dxa"/>
            <w:tcBorders>
              <w:top w:val="nil"/>
              <w:left w:val="single" w:sz="4" w:space="0" w:color="000000"/>
              <w:bottom w:val="nil"/>
              <w:right w:val="single" w:sz="4" w:space="0" w:color="000000"/>
            </w:tcBorders>
            <w:shd w:val="clear" w:color="auto" w:fill="DFDFDF"/>
          </w:tcPr>
          <w:p>
            <w:pPr>
              <w:pStyle w:val="TableParagraph"/>
              <w:spacing w:line="194" w:lineRule="exact" w:before="1"/>
              <w:ind w:left="103" w:right="93"/>
              <w:rPr>
                <w:rFonts w:ascii="Verdana" w:hAnsi="Verdana"/>
                <w:sz w:val="16"/>
              </w:rPr>
            </w:pPr>
            <w:r>
              <w:rPr>
                <w:rFonts w:ascii="Verdana" w:hAnsi="Verdana"/>
                <w:sz w:val="16"/>
              </w:rPr>
              <w:t>της Ενίσχυσης.</w:t>
            </w:r>
          </w:p>
        </w:tc>
      </w:tr>
      <w:tr>
        <w:trPr>
          <w:trHeight w:val="194" w:hRule="exact"/>
        </w:trPr>
        <w:tc>
          <w:tcPr>
            <w:tcW w:w="1205"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ενίσχυσης</w:t>
            </w:r>
          </w:p>
        </w:tc>
        <w:tc>
          <w:tcPr>
            <w:tcW w:w="1753" w:type="dxa"/>
            <w:tcBorders>
              <w:top w:val="nil"/>
              <w:left w:val="single" w:sz="4" w:space="0" w:color="000000"/>
              <w:bottom w:val="nil"/>
              <w:right w:val="single" w:sz="4" w:space="0" w:color="000000"/>
            </w:tcBorders>
            <w:shd w:val="clear" w:color="auto" w:fill="DFDFDF"/>
          </w:tcPr>
          <w:p>
            <w:pPr/>
          </w:p>
        </w:tc>
        <w:tc>
          <w:tcPr>
            <w:tcW w:w="1243" w:type="dxa"/>
            <w:tcBorders>
              <w:top w:val="nil"/>
              <w:left w:val="single" w:sz="4" w:space="0" w:color="000000"/>
              <w:bottom w:val="nil"/>
              <w:right w:val="single" w:sz="4" w:space="0" w:color="000000"/>
            </w:tcBorders>
            <w:shd w:val="clear" w:color="auto" w:fill="DFDFDF"/>
          </w:tcPr>
          <w:p>
            <w:pPr/>
          </w:p>
        </w:tc>
        <w:tc>
          <w:tcPr>
            <w:tcW w:w="1810" w:type="dxa"/>
            <w:tcBorders>
              <w:top w:val="nil"/>
              <w:left w:val="single" w:sz="4" w:space="0" w:color="000000"/>
              <w:bottom w:val="nil"/>
              <w:right w:val="single" w:sz="4" w:space="0" w:color="000000"/>
            </w:tcBorders>
            <w:shd w:val="clear" w:color="auto" w:fill="DFDFDF"/>
          </w:tcPr>
          <w:p>
            <w:pPr/>
          </w:p>
        </w:tc>
        <w:tc>
          <w:tcPr>
            <w:tcW w:w="1565" w:type="dxa"/>
            <w:tcBorders>
              <w:top w:val="nil"/>
              <w:left w:val="single" w:sz="4" w:space="0" w:color="000000"/>
              <w:bottom w:val="nil"/>
              <w:right w:val="single" w:sz="4" w:space="0" w:color="000000"/>
            </w:tcBorders>
            <w:shd w:val="clear" w:color="auto" w:fill="DFDFDF"/>
          </w:tcPr>
          <w:p>
            <w:pPr/>
          </w:p>
        </w:tc>
        <w:tc>
          <w:tcPr>
            <w:tcW w:w="1606" w:type="dxa"/>
            <w:tcBorders>
              <w:top w:val="nil"/>
              <w:left w:val="single" w:sz="4" w:space="0" w:color="000000"/>
              <w:bottom w:val="nil"/>
              <w:right w:val="single" w:sz="4" w:space="0" w:color="000000"/>
            </w:tcBorders>
            <w:shd w:val="clear" w:color="auto" w:fill="DFDFDF"/>
          </w:tcPr>
          <w:p>
            <w:pPr/>
          </w:p>
        </w:tc>
        <w:tc>
          <w:tcPr>
            <w:tcW w:w="1102" w:type="dxa"/>
            <w:tcBorders>
              <w:top w:val="nil"/>
              <w:left w:val="single" w:sz="4" w:space="0" w:color="000000"/>
              <w:bottom w:val="nil"/>
              <w:right w:val="single" w:sz="4" w:space="0" w:color="000000"/>
            </w:tcBorders>
            <w:shd w:val="clear" w:color="auto" w:fill="DFDFDF"/>
          </w:tcPr>
          <w:p>
            <w:pPr/>
          </w:p>
        </w:tc>
        <w:tc>
          <w:tcPr>
            <w:tcW w:w="1104" w:type="dxa"/>
            <w:tcBorders>
              <w:top w:val="nil"/>
              <w:left w:val="single" w:sz="4" w:space="0" w:color="000000"/>
              <w:bottom w:val="nil"/>
              <w:right w:val="single" w:sz="4" w:space="0" w:color="000000"/>
            </w:tcBorders>
            <w:shd w:val="clear" w:color="auto" w:fill="DFDFDF"/>
          </w:tcPr>
          <w:p>
            <w:pPr/>
          </w:p>
        </w:tc>
      </w:tr>
      <w:tr>
        <w:trPr>
          <w:trHeight w:val="194" w:hRule="exact"/>
        </w:trPr>
        <w:tc>
          <w:tcPr>
            <w:tcW w:w="1205"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(από</w:t>
            </w:r>
          </w:p>
        </w:tc>
        <w:tc>
          <w:tcPr>
            <w:tcW w:w="1753" w:type="dxa"/>
            <w:tcBorders>
              <w:top w:val="nil"/>
              <w:left w:val="single" w:sz="4" w:space="0" w:color="000000"/>
              <w:bottom w:val="nil"/>
              <w:right w:val="single" w:sz="4" w:space="0" w:color="000000"/>
            </w:tcBorders>
            <w:shd w:val="clear" w:color="auto" w:fill="DFDFDF"/>
          </w:tcPr>
          <w:p>
            <w:pPr/>
          </w:p>
        </w:tc>
        <w:tc>
          <w:tcPr>
            <w:tcW w:w="1243" w:type="dxa"/>
            <w:tcBorders>
              <w:top w:val="nil"/>
              <w:left w:val="single" w:sz="4" w:space="0" w:color="000000"/>
              <w:bottom w:val="nil"/>
              <w:right w:val="single" w:sz="4" w:space="0" w:color="000000"/>
            </w:tcBorders>
            <w:shd w:val="clear" w:color="auto" w:fill="DFDFDF"/>
          </w:tcPr>
          <w:p>
            <w:pPr/>
          </w:p>
        </w:tc>
        <w:tc>
          <w:tcPr>
            <w:tcW w:w="1810" w:type="dxa"/>
            <w:tcBorders>
              <w:top w:val="nil"/>
              <w:left w:val="single" w:sz="4" w:space="0" w:color="000000"/>
              <w:bottom w:val="nil"/>
              <w:right w:val="single" w:sz="4" w:space="0" w:color="000000"/>
            </w:tcBorders>
            <w:shd w:val="clear" w:color="auto" w:fill="DFDFDF"/>
          </w:tcPr>
          <w:p>
            <w:pPr/>
          </w:p>
        </w:tc>
        <w:tc>
          <w:tcPr>
            <w:tcW w:w="1565" w:type="dxa"/>
            <w:tcBorders>
              <w:top w:val="nil"/>
              <w:left w:val="single" w:sz="4" w:space="0" w:color="000000"/>
              <w:bottom w:val="nil"/>
              <w:right w:val="single" w:sz="4" w:space="0" w:color="000000"/>
            </w:tcBorders>
            <w:shd w:val="clear" w:color="auto" w:fill="DFDFDF"/>
          </w:tcPr>
          <w:p>
            <w:pPr/>
          </w:p>
        </w:tc>
        <w:tc>
          <w:tcPr>
            <w:tcW w:w="1606" w:type="dxa"/>
            <w:tcBorders>
              <w:top w:val="nil"/>
              <w:left w:val="single" w:sz="4" w:space="0" w:color="000000"/>
              <w:bottom w:val="nil"/>
              <w:right w:val="single" w:sz="4" w:space="0" w:color="000000"/>
            </w:tcBorders>
            <w:shd w:val="clear" w:color="auto" w:fill="DFDFDF"/>
          </w:tcPr>
          <w:p>
            <w:pPr/>
          </w:p>
        </w:tc>
        <w:tc>
          <w:tcPr>
            <w:tcW w:w="1102" w:type="dxa"/>
            <w:tcBorders>
              <w:top w:val="nil"/>
              <w:left w:val="single" w:sz="4" w:space="0" w:color="000000"/>
              <w:bottom w:val="nil"/>
              <w:right w:val="single" w:sz="4" w:space="0" w:color="000000"/>
            </w:tcBorders>
            <w:shd w:val="clear" w:color="auto" w:fill="DFDFDF"/>
          </w:tcPr>
          <w:p>
            <w:pPr/>
          </w:p>
        </w:tc>
        <w:tc>
          <w:tcPr>
            <w:tcW w:w="1104" w:type="dxa"/>
            <w:tcBorders>
              <w:top w:val="nil"/>
              <w:left w:val="single" w:sz="4" w:space="0" w:color="000000"/>
              <w:bottom w:val="nil"/>
              <w:right w:val="single" w:sz="4" w:space="0" w:color="000000"/>
            </w:tcBorders>
            <w:shd w:val="clear" w:color="auto" w:fill="DFDFDF"/>
          </w:tcPr>
          <w:p>
            <w:pPr/>
          </w:p>
        </w:tc>
      </w:tr>
      <w:tr>
        <w:trPr>
          <w:trHeight w:val="195" w:hRule="exact"/>
        </w:trPr>
        <w:tc>
          <w:tcPr>
            <w:tcW w:w="1205"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sz w:val="16"/>
              </w:rPr>
            </w:pPr>
            <w:r>
              <w:rPr>
                <w:rFonts w:ascii="Verdana"/>
                <w:sz w:val="16"/>
              </w:rPr>
              <w:t>1/1/2014</w:t>
            </w:r>
          </w:p>
        </w:tc>
        <w:tc>
          <w:tcPr>
            <w:tcW w:w="1753" w:type="dxa"/>
            <w:tcBorders>
              <w:top w:val="nil"/>
              <w:left w:val="single" w:sz="4" w:space="0" w:color="000000"/>
              <w:bottom w:val="nil"/>
              <w:right w:val="single" w:sz="4" w:space="0" w:color="000000"/>
            </w:tcBorders>
            <w:shd w:val="clear" w:color="auto" w:fill="DFDFDF"/>
          </w:tcPr>
          <w:p>
            <w:pPr/>
          </w:p>
        </w:tc>
        <w:tc>
          <w:tcPr>
            <w:tcW w:w="1243" w:type="dxa"/>
            <w:tcBorders>
              <w:top w:val="nil"/>
              <w:left w:val="single" w:sz="4" w:space="0" w:color="000000"/>
              <w:bottom w:val="nil"/>
              <w:right w:val="single" w:sz="4" w:space="0" w:color="000000"/>
            </w:tcBorders>
            <w:shd w:val="clear" w:color="auto" w:fill="DFDFDF"/>
          </w:tcPr>
          <w:p>
            <w:pPr/>
          </w:p>
        </w:tc>
        <w:tc>
          <w:tcPr>
            <w:tcW w:w="1810" w:type="dxa"/>
            <w:tcBorders>
              <w:top w:val="nil"/>
              <w:left w:val="single" w:sz="4" w:space="0" w:color="000000"/>
              <w:bottom w:val="nil"/>
              <w:right w:val="single" w:sz="4" w:space="0" w:color="000000"/>
            </w:tcBorders>
            <w:shd w:val="clear" w:color="auto" w:fill="DFDFDF"/>
          </w:tcPr>
          <w:p>
            <w:pPr/>
          </w:p>
        </w:tc>
        <w:tc>
          <w:tcPr>
            <w:tcW w:w="1565" w:type="dxa"/>
            <w:tcBorders>
              <w:top w:val="nil"/>
              <w:left w:val="single" w:sz="4" w:space="0" w:color="000000"/>
              <w:bottom w:val="nil"/>
              <w:right w:val="single" w:sz="4" w:space="0" w:color="000000"/>
            </w:tcBorders>
            <w:shd w:val="clear" w:color="auto" w:fill="DFDFDF"/>
          </w:tcPr>
          <w:p>
            <w:pPr/>
          </w:p>
        </w:tc>
        <w:tc>
          <w:tcPr>
            <w:tcW w:w="1606" w:type="dxa"/>
            <w:tcBorders>
              <w:top w:val="nil"/>
              <w:left w:val="single" w:sz="4" w:space="0" w:color="000000"/>
              <w:bottom w:val="nil"/>
              <w:right w:val="single" w:sz="4" w:space="0" w:color="000000"/>
            </w:tcBorders>
            <w:shd w:val="clear" w:color="auto" w:fill="DFDFDF"/>
          </w:tcPr>
          <w:p>
            <w:pPr/>
          </w:p>
        </w:tc>
        <w:tc>
          <w:tcPr>
            <w:tcW w:w="1102" w:type="dxa"/>
            <w:tcBorders>
              <w:top w:val="nil"/>
              <w:left w:val="single" w:sz="4" w:space="0" w:color="000000"/>
              <w:bottom w:val="nil"/>
              <w:right w:val="single" w:sz="4" w:space="0" w:color="000000"/>
            </w:tcBorders>
            <w:shd w:val="clear" w:color="auto" w:fill="DFDFDF"/>
          </w:tcPr>
          <w:p>
            <w:pPr/>
          </w:p>
        </w:tc>
        <w:tc>
          <w:tcPr>
            <w:tcW w:w="1104" w:type="dxa"/>
            <w:tcBorders>
              <w:top w:val="nil"/>
              <w:left w:val="single" w:sz="4" w:space="0" w:color="000000"/>
              <w:bottom w:val="nil"/>
              <w:right w:val="single" w:sz="4" w:space="0" w:color="000000"/>
            </w:tcBorders>
            <w:shd w:val="clear" w:color="auto" w:fill="DFDFDF"/>
          </w:tcPr>
          <w:p>
            <w:pPr/>
          </w:p>
        </w:tc>
      </w:tr>
      <w:tr>
        <w:trPr>
          <w:trHeight w:val="195" w:hRule="exact"/>
        </w:trPr>
        <w:tc>
          <w:tcPr>
            <w:tcW w:w="1205"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και μετά)</w:t>
            </w:r>
          </w:p>
        </w:tc>
        <w:tc>
          <w:tcPr>
            <w:tcW w:w="1753" w:type="dxa"/>
            <w:tcBorders>
              <w:top w:val="nil"/>
              <w:left w:val="single" w:sz="4" w:space="0" w:color="000000"/>
              <w:bottom w:val="nil"/>
              <w:right w:val="single" w:sz="4" w:space="0" w:color="000000"/>
            </w:tcBorders>
            <w:shd w:val="clear" w:color="auto" w:fill="DFDFDF"/>
          </w:tcPr>
          <w:p>
            <w:pPr/>
          </w:p>
        </w:tc>
        <w:tc>
          <w:tcPr>
            <w:tcW w:w="1243" w:type="dxa"/>
            <w:tcBorders>
              <w:top w:val="nil"/>
              <w:left w:val="single" w:sz="4" w:space="0" w:color="000000"/>
              <w:bottom w:val="nil"/>
              <w:right w:val="single" w:sz="4" w:space="0" w:color="000000"/>
            </w:tcBorders>
            <w:shd w:val="clear" w:color="auto" w:fill="DFDFDF"/>
          </w:tcPr>
          <w:p>
            <w:pPr/>
          </w:p>
        </w:tc>
        <w:tc>
          <w:tcPr>
            <w:tcW w:w="1810" w:type="dxa"/>
            <w:tcBorders>
              <w:top w:val="nil"/>
              <w:left w:val="single" w:sz="4" w:space="0" w:color="000000"/>
              <w:bottom w:val="nil"/>
              <w:right w:val="single" w:sz="4" w:space="0" w:color="000000"/>
            </w:tcBorders>
            <w:shd w:val="clear" w:color="auto" w:fill="DFDFDF"/>
          </w:tcPr>
          <w:p>
            <w:pPr/>
          </w:p>
        </w:tc>
        <w:tc>
          <w:tcPr>
            <w:tcW w:w="1565" w:type="dxa"/>
            <w:tcBorders>
              <w:top w:val="nil"/>
              <w:left w:val="single" w:sz="4" w:space="0" w:color="000000"/>
              <w:bottom w:val="nil"/>
              <w:right w:val="single" w:sz="4" w:space="0" w:color="000000"/>
            </w:tcBorders>
            <w:shd w:val="clear" w:color="auto" w:fill="DFDFDF"/>
          </w:tcPr>
          <w:p>
            <w:pPr/>
          </w:p>
        </w:tc>
        <w:tc>
          <w:tcPr>
            <w:tcW w:w="1606" w:type="dxa"/>
            <w:tcBorders>
              <w:top w:val="nil"/>
              <w:left w:val="single" w:sz="4" w:space="0" w:color="000000"/>
              <w:bottom w:val="nil"/>
              <w:right w:val="single" w:sz="4" w:space="0" w:color="000000"/>
            </w:tcBorders>
            <w:shd w:val="clear" w:color="auto" w:fill="DFDFDF"/>
          </w:tcPr>
          <w:p>
            <w:pPr/>
          </w:p>
        </w:tc>
        <w:tc>
          <w:tcPr>
            <w:tcW w:w="1102" w:type="dxa"/>
            <w:tcBorders>
              <w:top w:val="nil"/>
              <w:left w:val="single" w:sz="4" w:space="0" w:color="000000"/>
              <w:bottom w:val="nil"/>
              <w:right w:val="single" w:sz="4" w:space="0" w:color="000000"/>
            </w:tcBorders>
            <w:shd w:val="clear" w:color="auto" w:fill="DFDFDF"/>
          </w:tcPr>
          <w:p>
            <w:pPr/>
          </w:p>
        </w:tc>
        <w:tc>
          <w:tcPr>
            <w:tcW w:w="1104" w:type="dxa"/>
            <w:tcBorders>
              <w:top w:val="nil"/>
              <w:left w:val="single" w:sz="4" w:space="0" w:color="000000"/>
              <w:bottom w:val="nil"/>
              <w:right w:val="single" w:sz="4" w:space="0" w:color="000000"/>
            </w:tcBorders>
            <w:shd w:val="clear" w:color="auto" w:fill="DFDFDF"/>
          </w:tcPr>
          <w:p>
            <w:pPr/>
          </w:p>
        </w:tc>
      </w:tr>
      <w:tr>
        <w:trPr>
          <w:trHeight w:val="194" w:hRule="exact"/>
        </w:trPr>
        <w:tc>
          <w:tcPr>
            <w:tcW w:w="1205"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και φορέας</w:t>
            </w:r>
          </w:p>
        </w:tc>
        <w:tc>
          <w:tcPr>
            <w:tcW w:w="1753" w:type="dxa"/>
            <w:tcBorders>
              <w:top w:val="nil"/>
              <w:left w:val="single" w:sz="4" w:space="0" w:color="000000"/>
              <w:bottom w:val="nil"/>
              <w:right w:val="single" w:sz="4" w:space="0" w:color="000000"/>
            </w:tcBorders>
            <w:shd w:val="clear" w:color="auto" w:fill="DFDFDF"/>
          </w:tcPr>
          <w:p>
            <w:pPr/>
          </w:p>
        </w:tc>
        <w:tc>
          <w:tcPr>
            <w:tcW w:w="1243" w:type="dxa"/>
            <w:tcBorders>
              <w:top w:val="nil"/>
              <w:left w:val="single" w:sz="4" w:space="0" w:color="000000"/>
              <w:bottom w:val="nil"/>
              <w:right w:val="single" w:sz="4" w:space="0" w:color="000000"/>
            </w:tcBorders>
            <w:shd w:val="clear" w:color="auto" w:fill="DFDFDF"/>
          </w:tcPr>
          <w:p>
            <w:pPr/>
          </w:p>
        </w:tc>
        <w:tc>
          <w:tcPr>
            <w:tcW w:w="1810" w:type="dxa"/>
            <w:tcBorders>
              <w:top w:val="nil"/>
              <w:left w:val="single" w:sz="4" w:space="0" w:color="000000"/>
              <w:bottom w:val="nil"/>
              <w:right w:val="single" w:sz="4" w:space="0" w:color="000000"/>
            </w:tcBorders>
            <w:shd w:val="clear" w:color="auto" w:fill="DFDFDF"/>
          </w:tcPr>
          <w:p>
            <w:pPr/>
          </w:p>
        </w:tc>
        <w:tc>
          <w:tcPr>
            <w:tcW w:w="1565" w:type="dxa"/>
            <w:tcBorders>
              <w:top w:val="nil"/>
              <w:left w:val="single" w:sz="4" w:space="0" w:color="000000"/>
              <w:bottom w:val="nil"/>
              <w:right w:val="single" w:sz="4" w:space="0" w:color="000000"/>
            </w:tcBorders>
            <w:shd w:val="clear" w:color="auto" w:fill="DFDFDF"/>
          </w:tcPr>
          <w:p>
            <w:pPr/>
          </w:p>
        </w:tc>
        <w:tc>
          <w:tcPr>
            <w:tcW w:w="1606" w:type="dxa"/>
            <w:tcBorders>
              <w:top w:val="nil"/>
              <w:left w:val="single" w:sz="4" w:space="0" w:color="000000"/>
              <w:bottom w:val="nil"/>
              <w:right w:val="single" w:sz="4" w:space="0" w:color="000000"/>
            </w:tcBorders>
            <w:shd w:val="clear" w:color="auto" w:fill="DFDFDF"/>
          </w:tcPr>
          <w:p>
            <w:pPr/>
          </w:p>
        </w:tc>
        <w:tc>
          <w:tcPr>
            <w:tcW w:w="1102" w:type="dxa"/>
            <w:tcBorders>
              <w:top w:val="nil"/>
              <w:left w:val="single" w:sz="4" w:space="0" w:color="000000"/>
              <w:bottom w:val="nil"/>
              <w:right w:val="single" w:sz="4" w:space="0" w:color="000000"/>
            </w:tcBorders>
            <w:shd w:val="clear" w:color="auto" w:fill="DFDFDF"/>
          </w:tcPr>
          <w:p>
            <w:pPr/>
          </w:p>
        </w:tc>
        <w:tc>
          <w:tcPr>
            <w:tcW w:w="1104" w:type="dxa"/>
            <w:tcBorders>
              <w:top w:val="nil"/>
              <w:left w:val="single" w:sz="4" w:space="0" w:color="000000"/>
              <w:bottom w:val="nil"/>
              <w:right w:val="single" w:sz="4" w:space="0" w:color="000000"/>
            </w:tcBorders>
            <w:shd w:val="clear" w:color="auto" w:fill="DFDFDF"/>
          </w:tcPr>
          <w:p>
            <w:pPr/>
          </w:p>
        </w:tc>
      </w:tr>
      <w:tr>
        <w:trPr>
          <w:trHeight w:val="194" w:hRule="exact"/>
        </w:trPr>
        <w:tc>
          <w:tcPr>
            <w:tcW w:w="1205" w:type="dxa"/>
            <w:tcBorders>
              <w:top w:val="nil"/>
              <w:left w:val="single" w:sz="4" w:space="0" w:color="000000"/>
              <w:bottom w:val="nil"/>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χορήγησης</w:t>
            </w:r>
          </w:p>
        </w:tc>
        <w:tc>
          <w:tcPr>
            <w:tcW w:w="1753" w:type="dxa"/>
            <w:tcBorders>
              <w:top w:val="nil"/>
              <w:left w:val="single" w:sz="4" w:space="0" w:color="000000"/>
              <w:bottom w:val="nil"/>
              <w:right w:val="single" w:sz="4" w:space="0" w:color="000000"/>
            </w:tcBorders>
            <w:shd w:val="clear" w:color="auto" w:fill="DFDFDF"/>
          </w:tcPr>
          <w:p>
            <w:pPr/>
          </w:p>
        </w:tc>
        <w:tc>
          <w:tcPr>
            <w:tcW w:w="1243" w:type="dxa"/>
            <w:tcBorders>
              <w:top w:val="nil"/>
              <w:left w:val="single" w:sz="4" w:space="0" w:color="000000"/>
              <w:bottom w:val="nil"/>
              <w:right w:val="single" w:sz="4" w:space="0" w:color="000000"/>
            </w:tcBorders>
            <w:shd w:val="clear" w:color="auto" w:fill="DFDFDF"/>
          </w:tcPr>
          <w:p>
            <w:pPr/>
          </w:p>
        </w:tc>
        <w:tc>
          <w:tcPr>
            <w:tcW w:w="1810" w:type="dxa"/>
            <w:tcBorders>
              <w:top w:val="nil"/>
              <w:left w:val="single" w:sz="4" w:space="0" w:color="000000"/>
              <w:bottom w:val="nil"/>
              <w:right w:val="single" w:sz="4" w:space="0" w:color="000000"/>
            </w:tcBorders>
            <w:shd w:val="clear" w:color="auto" w:fill="DFDFDF"/>
          </w:tcPr>
          <w:p>
            <w:pPr/>
          </w:p>
        </w:tc>
        <w:tc>
          <w:tcPr>
            <w:tcW w:w="1565" w:type="dxa"/>
            <w:tcBorders>
              <w:top w:val="nil"/>
              <w:left w:val="single" w:sz="4" w:space="0" w:color="000000"/>
              <w:bottom w:val="nil"/>
              <w:right w:val="single" w:sz="4" w:space="0" w:color="000000"/>
            </w:tcBorders>
            <w:shd w:val="clear" w:color="auto" w:fill="DFDFDF"/>
          </w:tcPr>
          <w:p>
            <w:pPr/>
          </w:p>
        </w:tc>
        <w:tc>
          <w:tcPr>
            <w:tcW w:w="1606" w:type="dxa"/>
            <w:tcBorders>
              <w:top w:val="nil"/>
              <w:left w:val="single" w:sz="4" w:space="0" w:color="000000"/>
              <w:bottom w:val="nil"/>
              <w:right w:val="single" w:sz="4" w:space="0" w:color="000000"/>
            </w:tcBorders>
            <w:shd w:val="clear" w:color="auto" w:fill="DFDFDF"/>
          </w:tcPr>
          <w:p>
            <w:pPr/>
          </w:p>
        </w:tc>
        <w:tc>
          <w:tcPr>
            <w:tcW w:w="1102" w:type="dxa"/>
            <w:tcBorders>
              <w:top w:val="nil"/>
              <w:left w:val="single" w:sz="4" w:space="0" w:color="000000"/>
              <w:bottom w:val="nil"/>
              <w:right w:val="single" w:sz="4" w:space="0" w:color="000000"/>
            </w:tcBorders>
            <w:shd w:val="clear" w:color="auto" w:fill="DFDFDF"/>
          </w:tcPr>
          <w:p>
            <w:pPr/>
          </w:p>
        </w:tc>
        <w:tc>
          <w:tcPr>
            <w:tcW w:w="1104" w:type="dxa"/>
            <w:tcBorders>
              <w:top w:val="nil"/>
              <w:left w:val="single" w:sz="4" w:space="0" w:color="000000"/>
              <w:bottom w:val="nil"/>
              <w:right w:val="single" w:sz="4" w:space="0" w:color="000000"/>
            </w:tcBorders>
            <w:shd w:val="clear" w:color="auto" w:fill="DFDFDF"/>
          </w:tcPr>
          <w:p>
            <w:pPr/>
          </w:p>
        </w:tc>
      </w:tr>
      <w:tr>
        <w:trPr>
          <w:trHeight w:val="197" w:hRule="exact"/>
        </w:trPr>
        <w:tc>
          <w:tcPr>
            <w:tcW w:w="1205" w:type="dxa"/>
            <w:tcBorders>
              <w:top w:val="nil"/>
              <w:left w:val="single" w:sz="4" w:space="0" w:color="000000"/>
              <w:bottom w:val="single" w:sz="4" w:space="0" w:color="000000"/>
              <w:right w:val="single" w:sz="4" w:space="0" w:color="000000"/>
            </w:tcBorders>
            <w:shd w:val="clear" w:color="auto" w:fill="DFDFDF"/>
          </w:tcPr>
          <w:p>
            <w:pPr>
              <w:pStyle w:val="TableParagraph"/>
              <w:spacing w:line="190" w:lineRule="exact"/>
              <w:ind w:left="103"/>
              <w:rPr>
                <w:rFonts w:ascii="Verdana" w:hAnsi="Verdana"/>
                <w:sz w:val="16"/>
              </w:rPr>
            </w:pPr>
            <w:r>
              <w:rPr>
                <w:rFonts w:ascii="Verdana" w:hAnsi="Verdana"/>
                <w:sz w:val="16"/>
              </w:rPr>
              <w:t>ενίσχυσης.</w:t>
            </w:r>
          </w:p>
        </w:tc>
        <w:tc>
          <w:tcPr>
            <w:tcW w:w="1753" w:type="dxa"/>
            <w:tcBorders>
              <w:top w:val="nil"/>
              <w:left w:val="single" w:sz="4" w:space="0" w:color="000000"/>
              <w:bottom w:val="single" w:sz="4" w:space="0" w:color="000000"/>
              <w:right w:val="single" w:sz="4" w:space="0" w:color="000000"/>
            </w:tcBorders>
            <w:shd w:val="clear" w:color="auto" w:fill="DFDFDF"/>
          </w:tcPr>
          <w:p>
            <w:pPr/>
          </w:p>
        </w:tc>
        <w:tc>
          <w:tcPr>
            <w:tcW w:w="1243" w:type="dxa"/>
            <w:tcBorders>
              <w:top w:val="nil"/>
              <w:left w:val="single" w:sz="4" w:space="0" w:color="000000"/>
              <w:bottom w:val="single" w:sz="4" w:space="0" w:color="000000"/>
              <w:right w:val="single" w:sz="4" w:space="0" w:color="000000"/>
            </w:tcBorders>
            <w:shd w:val="clear" w:color="auto" w:fill="DFDFDF"/>
          </w:tcPr>
          <w:p>
            <w:pPr/>
          </w:p>
        </w:tc>
        <w:tc>
          <w:tcPr>
            <w:tcW w:w="1810" w:type="dxa"/>
            <w:tcBorders>
              <w:top w:val="nil"/>
              <w:left w:val="single" w:sz="4" w:space="0" w:color="000000"/>
              <w:bottom w:val="single" w:sz="4" w:space="0" w:color="000000"/>
              <w:right w:val="single" w:sz="4" w:space="0" w:color="000000"/>
            </w:tcBorders>
            <w:shd w:val="clear" w:color="auto" w:fill="DFDFDF"/>
          </w:tcPr>
          <w:p>
            <w:pPr/>
          </w:p>
        </w:tc>
        <w:tc>
          <w:tcPr>
            <w:tcW w:w="1565" w:type="dxa"/>
            <w:tcBorders>
              <w:top w:val="nil"/>
              <w:left w:val="single" w:sz="4" w:space="0" w:color="000000"/>
              <w:bottom w:val="single" w:sz="4" w:space="0" w:color="000000"/>
              <w:right w:val="single" w:sz="4" w:space="0" w:color="000000"/>
            </w:tcBorders>
            <w:shd w:val="clear" w:color="auto" w:fill="DFDFDF"/>
          </w:tcPr>
          <w:p>
            <w:pPr/>
          </w:p>
        </w:tc>
        <w:tc>
          <w:tcPr>
            <w:tcW w:w="1606" w:type="dxa"/>
            <w:tcBorders>
              <w:top w:val="nil"/>
              <w:left w:val="single" w:sz="4" w:space="0" w:color="000000"/>
              <w:bottom w:val="single" w:sz="4" w:space="0" w:color="000000"/>
              <w:right w:val="single" w:sz="4" w:space="0" w:color="000000"/>
            </w:tcBorders>
            <w:shd w:val="clear" w:color="auto" w:fill="DFDFDF"/>
          </w:tcPr>
          <w:p>
            <w:pPr/>
          </w:p>
        </w:tc>
        <w:tc>
          <w:tcPr>
            <w:tcW w:w="1102" w:type="dxa"/>
            <w:tcBorders>
              <w:top w:val="nil"/>
              <w:left w:val="single" w:sz="4" w:space="0" w:color="000000"/>
              <w:bottom w:val="single" w:sz="4" w:space="0" w:color="000000"/>
              <w:right w:val="single" w:sz="4" w:space="0" w:color="000000"/>
            </w:tcBorders>
            <w:shd w:val="clear" w:color="auto" w:fill="DFDFDF"/>
          </w:tcPr>
          <w:p>
            <w:pPr/>
          </w:p>
        </w:tc>
        <w:tc>
          <w:tcPr>
            <w:tcW w:w="1104" w:type="dxa"/>
            <w:tcBorders>
              <w:top w:val="nil"/>
              <w:left w:val="single" w:sz="4" w:space="0" w:color="000000"/>
              <w:bottom w:val="single" w:sz="4" w:space="0" w:color="000000"/>
              <w:right w:val="single" w:sz="4" w:space="0" w:color="000000"/>
            </w:tcBorders>
            <w:shd w:val="clear" w:color="auto" w:fill="DFDFDF"/>
          </w:tcPr>
          <w:p>
            <w:pPr/>
          </w:p>
        </w:tc>
      </w:tr>
      <w:tr>
        <w:trPr>
          <w:trHeight w:val="324" w:hRule="exact"/>
        </w:trPr>
        <w:tc>
          <w:tcPr>
            <w:tcW w:w="1205" w:type="dxa"/>
            <w:tcBorders>
              <w:top w:val="single" w:sz="4" w:space="0" w:color="000000"/>
              <w:left w:val="single" w:sz="4" w:space="0" w:color="000000"/>
              <w:bottom w:val="single" w:sz="4" w:space="0" w:color="000000"/>
              <w:right w:val="single" w:sz="4" w:space="0" w:color="000000"/>
            </w:tcBorders>
          </w:tcPr>
          <w:p>
            <w:pPr/>
          </w:p>
        </w:tc>
        <w:tc>
          <w:tcPr>
            <w:tcW w:w="1753" w:type="dxa"/>
            <w:tcBorders>
              <w:top w:val="single" w:sz="4" w:space="0" w:color="000000"/>
              <w:left w:val="single" w:sz="4" w:space="0" w:color="000000"/>
              <w:bottom w:val="single" w:sz="4" w:space="0" w:color="000000"/>
              <w:right w:val="single" w:sz="4" w:space="0" w:color="000000"/>
            </w:tcBorders>
          </w:tcPr>
          <w:p>
            <w:pPr/>
          </w:p>
        </w:tc>
        <w:tc>
          <w:tcPr>
            <w:tcW w:w="1243" w:type="dxa"/>
            <w:tcBorders>
              <w:top w:val="single" w:sz="4" w:space="0" w:color="000000"/>
              <w:left w:val="single" w:sz="4" w:space="0" w:color="000000"/>
              <w:bottom w:val="single" w:sz="4" w:space="0" w:color="000000"/>
              <w:right w:val="single" w:sz="4" w:space="0" w:color="000000"/>
            </w:tcBorders>
          </w:tcPr>
          <w:p>
            <w:pPr/>
          </w:p>
        </w:tc>
        <w:tc>
          <w:tcPr>
            <w:tcW w:w="1810" w:type="dxa"/>
            <w:tcBorders>
              <w:top w:val="single" w:sz="4" w:space="0" w:color="000000"/>
              <w:left w:val="single" w:sz="4" w:space="0" w:color="000000"/>
              <w:bottom w:val="single" w:sz="4" w:space="0" w:color="000000"/>
              <w:right w:val="single" w:sz="4" w:space="0" w:color="000000"/>
            </w:tcBorders>
          </w:tcPr>
          <w:p>
            <w:pPr/>
          </w:p>
        </w:tc>
        <w:tc>
          <w:tcPr>
            <w:tcW w:w="1565" w:type="dxa"/>
            <w:tcBorders>
              <w:top w:val="single" w:sz="4" w:space="0" w:color="000000"/>
              <w:left w:val="single" w:sz="4" w:space="0" w:color="000000"/>
              <w:bottom w:val="single" w:sz="4" w:space="0" w:color="000000"/>
              <w:right w:val="single" w:sz="4" w:space="0" w:color="000000"/>
            </w:tcBorders>
          </w:tcPr>
          <w:p>
            <w:pPr/>
          </w:p>
        </w:tc>
        <w:tc>
          <w:tcPr>
            <w:tcW w:w="1606" w:type="dxa"/>
            <w:tcBorders>
              <w:top w:val="single" w:sz="4" w:space="0" w:color="000000"/>
              <w:left w:val="single" w:sz="4" w:space="0" w:color="000000"/>
              <w:bottom w:val="single" w:sz="4" w:space="0" w:color="000000"/>
              <w:right w:val="single" w:sz="4" w:space="0" w:color="000000"/>
            </w:tcBorders>
          </w:tcPr>
          <w:p>
            <w:pPr/>
          </w:p>
        </w:tc>
        <w:tc>
          <w:tcPr>
            <w:tcW w:w="1102" w:type="dxa"/>
            <w:tcBorders>
              <w:top w:val="single" w:sz="4" w:space="0" w:color="000000"/>
              <w:left w:val="single" w:sz="4" w:space="0" w:color="000000"/>
              <w:bottom w:val="single" w:sz="4" w:space="0" w:color="000000"/>
              <w:right w:val="single" w:sz="4" w:space="0" w:color="000000"/>
            </w:tcBorders>
          </w:tcPr>
          <w:p>
            <w:pPr/>
          </w:p>
        </w:tc>
        <w:tc>
          <w:tcPr>
            <w:tcW w:w="1104" w:type="dxa"/>
            <w:tcBorders>
              <w:top w:val="single" w:sz="4" w:space="0" w:color="000000"/>
              <w:left w:val="single" w:sz="4" w:space="0" w:color="000000"/>
              <w:bottom w:val="single" w:sz="4" w:space="0" w:color="000000"/>
              <w:right w:val="single" w:sz="4" w:space="0" w:color="000000"/>
            </w:tcBorders>
          </w:tcPr>
          <w:p>
            <w:pPr/>
          </w:p>
        </w:tc>
      </w:tr>
      <w:tr>
        <w:trPr>
          <w:trHeight w:val="326" w:hRule="exact"/>
        </w:trPr>
        <w:tc>
          <w:tcPr>
            <w:tcW w:w="1205" w:type="dxa"/>
            <w:tcBorders>
              <w:top w:val="single" w:sz="4" w:space="0" w:color="000000"/>
              <w:left w:val="single" w:sz="4" w:space="0" w:color="000000"/>
              <w:bottom w:val="single" w:sz="4" w:space="0" w:color="000000"/>
              <w:right w:val="single" w:sz="4" w:space="0" w:color="000000"/>
            </w:tcBorders>
          </w:tcPr>
          <w:p>
            <w:pPr/>
          </w:p>
        </w:tc>
        <w:tc>
          <w:tcPr>
            <w:tcW w:w="1753" w:type="dxa"/>
            <w:tcBorders>
              <w:top w:val="single" w:sz="4" w:space="0" w:color="000000"/>
              <w:left w:val="single" w:sz="4" w:space="0" w:color="000000"/>
              <w:bottom w:val="single" w:sz="4" w:space="0" w:color="000000"/>
              <w:right w:val="single" w:sz="4" w:space="0" w:color="000000"/>
            </w:tcBorders>
          </w:tcPr>
          <w:p>
            <w:pPr/>
          </w:p>
        </w:tc>
        <w:tc>
          <w:tcPr>
            <w:tcW w:w="1243" w:type="dxa"/>
            <w:tcBorders>
              <w:top w:val="single" w:sz="4" w:space="0" w:color="000000"/>
              <w:left w:val="single" w:sz="4" w:space="0" w:color="000000"/>
              <w:bottom w:val="single" w:sz="4" w:space="0" w:color="000000"/>
              <w:right w:val="single" w:sz="4" w:space="0" w:color="000000"/>
            </w:tcBorders>
          </w:tcPr>
          <w:p>
            <w:pPr/>
          </w:p>
        </w:tc>
        <w:tc>
          <w:tcPr>
            <w:tcW w:w="1810" w:type="dxa"/>
            <w:tcBorders>
              <w:top w:val="single" w:sz="4" w:space="0" w:color="000000"/>
              <w:left w:val="single" w:sz="4" w:space="0" w:color="000000"/>
              <w:bottom w:val="single" w:sz="4" w:space="0" w:color="000000"/>
              <w:right w:val="single" w:sz="4" w:space="0" w:color="000000"/>
            </w:tcBorders>
          </w:tcPr>
          <w:p>
            <w:pPr/>
          </w:p>
        </w:tc>
        <w:tc>
          <w:tcPr>
            <w:tcW w:w="1565" w:type="dxa"/>
            <w:tcBorders>
              <w:top w:val="single" w:sz="4" w:space="0" w:color="000000"/>
              <w:left w:val="single" w:sz="4" w:space="0" w:color="000000"/>
              <w:bottom w:val="single" w:sz="4" w:space="0" w:color="000000"/>
              <w:right w:val="single" w:sz="4" w:space="0" w:color="000000"/>
            </w:tcBorders>
          </w:tcPr>
          <w:p>
            <w:pPr/>
          </w:p>
        </w:tc>
        <w:tc>
          <w:tcPr>
            <w:tcW w:w="1606" w:type="dxa"/>
            <w:tcBorders>
              <w:top w:val="single" w:sz="4" w:space="0" w:color="000000"/>
              <w:left w:val="single" w:sz="4" w:space="0" w:color="000000"/>
              <w:bottom w:val="single" w:sz="4" w:space="0" w:color="000000"/>
              <w:right w:val="single" w:sz="4" w:space="0" w:color="000000"/>
            </w:tcBorders>
          </w:tcPr>
          <w:p>
            <w:pPr/>
          </w:p>
        </w:tc>
        <w:tc>
          <w:tcPr>
            <w:tcW w:w="1102" w:type="dxa"/>
            <w:tcBorders>
              <w:top w:val="single" w:sz="4" w:space="0" w:color="000000"/>
              <w:left w:val="single" w:sz="4" w:space="0" w:color="000000"/>
              <w:bottom w:val="single" w:sz="4" w:space="0" w:color="000000"/>
              <w:right w:val="single" w:sz="4" w:space="0" w:color="000000"/>
            </w:tcBorders>
          </w:tcPr>
          <w:p>
            <w:pPr/>
          </w:p>
        </w:tc>
        <w:tc>
          <w:tcPr>
            <w:tcW w:w="1104" w:type="dxa"/>
            <w:tcBorders>
              <w:top w:val="single" w:sz="4" w:space="0" w:color="000000"/>
              <w:left w:val="single" w:sz="4" w:space="0" w:color="000000"/>
              <w:bottom w:val="single" w:sz="4" w:space="0" w:color="000000"/>
              <w:right w:val="single" w:sz="4" w:space="0" w:color="000000"/>
            </w:tcBorders>
          </w:tcPr>
          <w:p>
            <w:pPr/>
          </w:p>
        </w:tc>
      </w:tr>
      <w:tr>
        <w:trPr>
          <w:trHeight w:val="324" w:hRule="exact"/>
        </w:trPr>
        <w:tc>
          <w:tcPr>
            <w:tcW w:w="1205" w:type="dxa"/>
            <w:tcBorders>
              <w:top w:val="single" w:sz="4" w:space="0" w:color="000000"/>
              <w:left w:val="single" w:sz="4" w:space="0" w:color="000000"/>
              <w:bottom w:val="single" w:sz="4" w:space="0" w:color="000000"/>
              <w:right w:val="single" w:sz="4" w:space="0" w:color="000000"/>
            </w:tcBorders>
          </w:tcPr>
          <w:p>
            <w:pPr/>
          </w:p>
        </w:tc>
        <w:tc>
          <w:tcPr>
            <w:tcW w:w="1753" w:type="dxa"/>
            <w:tcBorders>
              <w:top w:val="single" w:sz="4" w:space="0" w:color="000000"/>
              <w:left w:val="single" w:sz="4" w:space="0" w:color="000000"/>
              <w:bottom w:val="single" w:sz="4" w:space="0" w:color="000000"/>
              <w:right w:val="single" w:sz="4" w:space="0" w:color="000000"/>
            </w:tcBorders>
          </w:tcPr>
          <w:p>
            <w:pPr/>
          </w:p>
        </w:tc>
        <w:tc>
          <w:tcPr>
            <w:tcW w:w="1243" w:type="dxa"/>
            <w:tcBorders>
              <w:top w:val="single" w:sz="4" w:space="0" w:color="000000"/>
              <w:left w:val="single" w:sz="4" w:space="0" w:color="000000"/>
              <w:bottom w:val="single" w:sz="4" w:space="0" w:color="000000"/>
              <w:right w:val="single" w:sz="4" w:space="0" w:color="000000"/>
            </w:tcBorders>
          </w:tcPr>
          <w:p>
            <w:pPr/>
          </w:p>
        </w:tc>
        <w:tc>
          <w:tcPr>
            <w:tcW w:w="1810" w:type="dxa"/>
            <w:tcBorders>
              <w:top w:val="single" w:sz="4" w:space="0" w:color="000000"/>
              <w:left w:val="single" w:sz="4" w:space="0" w:color="000000"/>
              <w:bottom w:val="single" w:sz="4" w:space="0" w:color="000000"/>
              <w:right w:val="single" w:sz="4" w:space="0" w:color="000000"/>
            </w:tcBorders>
          </w:tcPr>
          <w:p>
            <w:pPr/>
          </w:p>
        </w:tc>
        <w:tc>
          <w:tcPr>
            <w:tcW w:w="1565" w:type="dxa"/>
            <w:tcBorders>
              <w:top w:val="single" w:sz="4" w:space="0" w:color="000000"/>
              <w:left w:val="single" w:sz="4" w:space="0" w:color="000000"/>
              <w:bottom w:val="single" w:sz="4" w:space="0" w:color="000000"/>
              <w:right w:val="single" w:sz="4" w:space="0" w:color="000000"/>
            </w:tcBorders>
          </w:tcPr>
          <w:p>
            <w:pPr/>
          </w:p>
        </w:tc>
        <w:tc>
          <w:tcPr>
            <w:tcW w:w="1606" w:type="dxa"/>
            <w:tcBorders>
              <w:top w:val="single" w:sz="4" w:space="0" w:color="000000"/>
              <w:left w:val="single" w:sz="4" w:space="0" w:color="000000"/>
              <w:bottom w:val="single" w:sz="4" w:space="0" w:color="000000"/>
              <w:right w:val="single" w:sz="4" w:space="0" w:color="000000"/>
            </w:tcBorders>
          </w:tcPr>
          <w:p>
            <w:pPr/>
          </w:p>
        </w:tc>
        <w:tc>
          <w:tcPr>
            <w:tcW w:w="1102" w:type="dxa"/>
            <w:tcBorders>
              <w:top w:val="single" w:sz="4" w:space="0" w:color="000000"/>
              <w:left w:val="single" w:sz="4" w:space="0" w:color="000000"/>
              <w:bottom w:val="single" w:sz="4" w:space="0" w:color="000000"/>
              <w:right w:val="single" w:sz="4" w:space="0" w:color="000000"/>
            </w:tcBorders>
          </w:tcPr>
          <w:p>
            <w:pPr/>
          </w:p>
        </w:tc>
        <w:tc>
          <w:tcPr>
            <w:tcW w:w="1104" w:type="dxa"/>
            <w:tcBorders>
              <w:top w:val="single" w:sz="4" w:space="0" w:color="000000"/>
              <w:left w:val="single" w:sz="4" w:space="0" w:color="000000"/>
              <w:bottom w:val="single" w:sz="4" w:space="0" w:color="000000"/>
              <w:right w:val="single" w:sz="4" w:space="0" w:color="000000"/>
            </w:tcBorders>
          </w:tcPr>
          <w:p>
            <w:pPr/>
          </w:p>
        </w:tc>
      </w:tr>
      <w:tr>
        <w:trPr>
          <w:trHeight w:val="324" w:hRule="exact"/>
        </w:trPr>
        <w:tc>
          <w:tcPr>
            <w:tcW w:w="1205" w:type="dxa"/>
            <w:tcBorders>
              <w:top w:val="single" w:sz="4" w:space="0" w:color="000000"/>
              <w:left w:val="single" w:sz="4" w:space="0" w:color="000000"/>
              <w:bottom w:val="single" w:sz="4" w:space="0" w:color="000000"/>
              <w:right w:val="single" w:sz="4" w:space="0" w:color="000000"/>
            </w:tcBorders>
          </w:tcPr>
          <w:p>
            <w:pPr/>
          </w:p>
        </w:tc>
        <w:tc>
          <w:tcPr>
            <w:tcW w:w="1753" w:type="dxa"/>
            <w:tcBorders>
              <w:top w:val="single" w:sz="4" w:space="0" w:color="000000"/>
              <w:left w:val="single" w:sz="4" w:space="0" w:color="000000"/>
              <w:bottom w:val="single" w:sz="4" w:space="0" w:color="000000"/>
              <w:right w:val="single" w:sz="4" w:space="0" w:color="000000"/>
            </w:tcBorders>
          </w:tcPr>
          <w:p>
            <w:pPr/>
          </w:p>
        </w:tc>
        <w:tc>
          <w:tcPr>
            <w:tcW w:w="1243" w:type="dxa"/>
            <w:tcBorders>
              <w:top w:val="single" w:sz="4" w:space="0" w:color="000000"/>
              <w:left w:val="single" w:sz="4" w:space="0" w:color="000000"/>
              <w:bottom w:val="single" w:sz="4" w:space="0" w:color="000000"/>
              <w:right w:val="single" w:sz="4" w:space="0" w:color="000000"/>
            </w:tcBorders>
          </w:tcPr>
          <w:p>
            <w:pPr/>
          </w:p>
        </w:tc>
        <w:tc>
          <w:tcPr>
            <w:tcW w:w="1810" w:type="dxa"/>
            <w:tcBorders>
              <w:top w:val="single" w:sz="4" w:space="0" w:color="000000"/>
              <w:left w:val="single" w:sz="4" w:space="0" w:color="000000"/>
              <w:bottom w:val="single" w:sz="4" w:space="0" w:color="000000"/>
              <w:right w:val="single" w:sz="4" w:space="0" w:color="000000"/>
            </w:tcBorders>
          </w:tcPr>
          <w:p>
            <w:pPr/>
          </w:p>
        </w:tc>
        <w:tc>
          <w:tcPr>
            <w:tcW w:w="1565" w:type="dxa"/>
            <w:tcBorders>
              <w:top w:val="single" w:sz="4" w:space="0" w:color="000000"/>
              <w:left w:val="single" w:sz="4" w:space="0" w:color="000000"/>
              <w:bottom w:val="single" w:sz="4" w:space="0" w:color="000000"/>
              <w:right w:val="single" w:sz="4" w:space="0" w:color="000000"/>
            </w:tcBorders>
          </w:tcPr>
          <w:p>
            <w:pPr/>
          </w:p>
        </w:tc>
        <w:tc>
          <w:tcPr>
            <w:tcW w:w="1606" w:type="dxa"/>
            <w:tcBorders>
              <w:top w:val="single" w:sz="4" w:space="0" w:color="000000"/>
              <w:left w:val="single" w:sz="4" w:space="0" w:color="000000"/>
              <w:bottom w:val="single" w:sz="4" w:space="0" w:color="000000"/>
              <w:right w:val="single" w:sz="4" w:space="0" w:color="000000"/>
            </w:tcBorders>
          </w:tcPr>
          <w:p>
            <w:pPr/>
          </w:p>
        </w:tc>
        <w:tc>
          <w:tcPr>
            <w:tcW w:w="1102" w:type="dxa"/>
            <w:tcBorders>
              <w:top w:val="single" w:sz="4" w:space="0" w:color="000000"/>
              <w:left w:val="single" w:sz="4" w:space="0" w:color="000000"/>
              <w:bottom w:val="single" w:sz="4" w:space="0" w:color="000000"/>
              <w:right w:val="single" w:sz="4" w:space="0" w:color="000000"/>
            </w:tcBorders>
          </w:tcPr>
          <w:p>
            <w:pPr/>
          </w:p>
        </w:tc>
        <w:tc>
          <w:tcPr>
            <w:tcW w:w="1104" w:type="dxa"/>
            <w:tcBorders>
              <w:top w:val="single" w:sz="4" w:space="0" w:color="000000"/>
              <w:left w:val="single" w:sz="4" w:space="0" w:color="000000"/>
              <w:bottom w:val="single" w:sz="4" w:space="0" w:color="000000"/>
              <w:right w:val="single" w:sz="4" w:space="0" w:color="000000"/>
            </w:tcBorders>
          </w:tcPr>
          <w:p>
            <w:pPr/>
          </w:p>
        </w:tc>
      </w:tr>
      <w:tr>
        <w:trPr>
          <w:trHeight w:val="324" w:hRule="exact"/>
        </w:trPr>
        <w:tc>
          <w:tcPr>
            <w:tcW w:w="1205" w:type="dxa"/>
            <w:tcBorders>
              <w:top w:val="single" w:sz="4" w:space="0" w:color="000000"/>
              <w:left w:val="single" w:sz="4" w:space="0" w:color="000000"/>
              <w:bottom w:val="single" w:sz="4" w:space="0" w:color="000000"/>
              <w:right w:val="single" w:sz="4" w:space="0" w:color="000000"/>
            </w:tcBorders>
          </w:tcPr>
          <w:p>
            <w:pPr/>
          </w:p>
        </w:tc>
        <w:tc>
          <w:tcPr>
            <w:tcW w:w="1753" w:type="dxa"/>
            <w:tcBorders>
              <w:top w:val="single" w:sz="4" w:space="0" w:color="000000"/>
              <w:left w:val="single" w:sz="4" w:space="0" w:color="000000"/>
              <w:bottom w:val="single" w:sz="4" w:space="0" w:color="000000"/>
              <w:right w:val="single" w:sz="4" w:space="0" w:color="000000"/>
            </w:tcBorders>
          </w:tcPr>
          <w:p>
            <w:pPr/>
          </w:p>
        </w:tc>
        <w:tc>
          <w:tcPr>
            <w:tcW w:w="1243" w:type="dxa"/>
            <w:tcBorders>
              <w:top w:val="single" w:sz="4" w:space="0" w:color="000000"/>
              <w:left w:val="single" w:sz="4" w:space="0" w:color="000000"/>
              <w:bottom w:val="single" w:sz="4" w:space="0" w:color="000000"/>
              <w:right w:val="single" w:sz="4" w:space="0" w:color="000000"/>
            </w:tcBorders>
          </w:tcPr>
          <w:p>
            <w:pPr/>
          </w:p>
        </w:tc>
        <w:tc>
          <w:tcPr>
            <w:tcW w:w="1810" w:type="dxa"/>
            <w:tcBorders>
              <w:top w:val="single" w:sz="4" w:space="0" w:color="000000"/>
              <w:left w:val="single" w:sz="4" w:space="0" w:color="000000"/>
              <w:bottom w:val="single" w:sz="4" w:space="0" w:color="000000"/>
              <w:right w:val="single" w:sz="4" w:space="0" w:color="000000"/>
            </w:tcBorders>
          </w:tcPr>
          <w:p>
            <w:pPr/>
          </w:p>
        </w:tc>
        <w:tc>
          <w:tcPr>
            <w:tcW w:w="1565" w:type="dxa"/>
            <w:tcBorders>
              <w:top w:val="single" w:sz="4" w:space="0" w:color="000000"/>
              <w:left w:val="single" w:sz="4" w:space="0" w:color="000000"/>
              <w:bottom w:val="single" w:sz="4" w:space="0" w:color="000000"/>
              <w:right w:val="single" w:sz="4" w:space="0" w:color="000000"/>
            </w:tcBorders>
          </w:tcPr>
          <w:p>
            <w:pPr/>
          </w:p>
        </w:tc>
        <w:tc>
          <w:tcPr>
            <w:tcW w:w="1606" w:type="dxa"/>
            <w:tcBorders>
              <w:top w:val="single" w:sz="4" w:space="0" w:color="000000"/>
              <w:left w:val="single" w:sz="4" w:space="0" w:color="000000"/>
              <w:bottom w:val="single" w:sz="4" w:space="0" w:color="000000"/>
              <w:right w:val="single" w:sz="4" w:space="0" w:color="000000"/>
            </w:tcBorders>
          </w:tcPr>
          <w:p>
            <w:pPr/>
          </w:p>
        </w:tc>
        <w:tc>
          <w:tcPr>
            <w:tcW w:w="1102" w:type="dxa"/>
            <w:tcBorders>
              <w:top w:val="single" w:sz="4" w:space="0" w:color="000000"/>
              <w:left w:val="single" w:sz="4" w:space="0" w:color="000000"/>
              <w:bottom w:val="single" w:sz="4" w:space="0" w:color="000000"/>
              <w:right w:val="single" w:sz="4" w:space="0" w:color="000000"/>
            </w:tcBorders>
          </w:tcPr>
          <w:p>
            <w:pPr/>
          </w:p>
        </w:tc>
        <w:tc>
          <w:tcPr>
            <w:tcW w:w="1104" w:type="dxa"/>
            <w:tcBorders>
              <w:top w:val="single" w:sz="4" w:space="0" w:color="000000"/>
              <w:left w:val="single" w:sz="4" w:space="0" w:color="000000"/>
              <w:bottom w:val="single" w:sz="4" w:space="0" w:color="000000"/>
              <w:right w:val="single" w:sz="4" w:space="0" w:color="000000"/>
            </w:tcBorders>
          </w:tcPr>
          <w:p>
            <w:pPr/>
          </w:p>
        </w:tc>
      </w:tr>
    </w:tbl>
    <w:p>
      <w:pPr>
        <w:spacing w:before="118"/>
        <w:ind w:left="100" w:right="114" w:firstLine="0"/>
        <w:jc w:val="both"/>
        <w:rPr>
          <w:rFonts w:ascii="Verdana" w:hAnsi="Verdana"/>
          <w:sz w:val="16"/>
        </w:rPr>
      </w:pPr>
      <w:r>
        <w:rPr>
          <w:rFonts w:ascii="Verdana" w:hAnsi="Verdana"/>
          <w:sz w:val="16"/>
        </w:rPr>
        <w:t>Επισημαίνεται ότι ως ημερομηνία δημόσιας χρηματοδότησης θεωρείται η ημερομηνία έκδοσης της Υπουργικής Απόφασης ένταξης/υπαγωγής και εν γένει παραχώρησης του έννομου δικαιώματος λήψης της ενίσχυσης. Ελέγχεται από την αρμόδια αρχή το σύνολο των ενισχύσεων ήσσονος σημασίας που η επιχείρηση λαμβάνει, τόσο κατά τη διάρκεια του οικείου οικονομικού έτους, όσο και των δύο προηγούμενων οικονομικών ετών προκειμένου να εξακριβωθεί αν η νέα ενίσχυση δεν οδηγεί σε υπέρβαση του ανώτατου ορίου που ισχύει για τις ενισχύσεις ήσσονος σημασίας</w:t>
      </w:r>
    </w:p>
    <w:p>
      <w:pPr>
        <w:spacing w:after="0"/>
        <w:jc w:val="both"/>
        <w:rPr>
          <w:rFonts w:ascii="Verdana" w:hAnsi="Verdana"/>
          <w:sz w:val="16"/>
        </w:rPr>
        <w:sectPr>
          <w:headerReference w:type="default" r:id="rId97"/>
          <w:footerReference w:type="default" r:id="rId98"/>
          <w:pgSz w:w="16840" w:h="11910" w:orient="landscape"/>
          <w:pgMar w:header="748" w:footer="734" w:top="1180" w:bottom="920" w:left="1340" w:right="1320"/>
          <w:pgNumType w:start="6"/>
        </w:sectPr>
      </w:pPr>
    </w:p>
    <w:p>
      <w:pPr>
        <w:pStyle w:val="BodyText"/>
        <w:spacing w:before="3"/>
        <w:rPr>
          <w:rFonts w:ascii="Verdana"/>
          <w:sz w:val="14"/>
        </w:rPr>
      </w:pPr>
    </w:p>
    <w:p>
      <w:pPr>
        <w:spacing w:before="101"/>
        <w:ind w:left="100" w:right="0" w:firstLine="0"/>
        <w:jc w:val="left"/>
        <w:rPr>
          <w:rFonts w:ascii="Verdana" w:hAnsi="Verdana"/>
          <w:b/>
          <w:sz w:val="16"/>
        </w:rPr>
      </w:pPr>
      <w:r>
        <w:rPr>
          <w:rFonts w:ascii="Verdana" w:hAnsi="Verdana"/>
          <w:b/>
          <w:sz w:val="16"/>
          <w:u w:val="single"/>
        </w:rPr>
        <w:t>Β.3:</w:t>
      </w:r>
    </w:p>
    <w:p>
      <w:pPr>
        <w:pStyle w:val="ListParagraph"/>
        <w:numPr>
          <w:ilvl w:val="0"/>
          <w:numId w:val="19"/>
        </w:numPr>
        <w:tabs>
          <w:tab w:pos="461" w:val="left" w:leader="none"/>
        </w:tabs>
        <w:spacing w:line="240" w:lineRule="auto" w:before="120" w:after="0"/>
        <w:ind w:left="460" w:right="113" w:hanging="360"/>
        <w:jc w:val="both"/>
        <w:rPr>
          <w:rFonts w:ascii="Symbol" w:hAnsi="Symbol"/>
          <w:sz w:val="16"/>
        </w:rPr>
      </w:pPr>
      <w:r>
        <w:rPr>
          <w:rFonts w:ascii="Verdana" w:hAnsi="Verdana"/>
          <w:sz w:val="16"/>
        </w:rPr>
        <w:t>Το ύψος των ενισχύσεων που έχει συμπεριληφθεί σε επενδυτική πρόταση, η οποία έχει υποβληθεί από την αιτούσα επιχείρηση καθώς και από τις επιχειρήσεις που λειτουργούν μαζί με αυτήν ως ενιαία οικονομική μονάδα (στην έννοια περιλαμβάνονται οι συνδεδεμένες με την αιτούσα επιχειρήσεις) έχουν αποκτήσει έννομο δικαίωμα λήψης της ενίσχυσης κατά τα τελευταία τρία οικονομικά έτη (τρέχον οικονομικό έτος και τα δύο προηγούμενα οικονομικά έτη) από την ημερομηνία υποβολής της αίτησης στο πλαίσιο της Πράξης βάσει οιουδήποτε άλλου</w:t>
      </w:r>
      <w:r>
        <w:rPr>
          <w:rFonts w:ascii="Verdana" w:hAnsi="Verdana"/>
          <w:spacing w:val="-15"/>
          <w:sz w:val="16"/>
        </w:rPr>
        <w:t> </w:t>
      </w:r>
      <w:r>
        <w:rPr>
          <w:rFonts w:ascii="Verdana" w:hAnsi="Verdana"/>
          <w:sz w:val="16"/>
        </w:rPr>
        <w:t>καθεστώτος</w:t>
      </w:r>
    </w:p>
    <w:p>
      <w:pPr>
        <w:pStyle w:val="BodyText"/>
        <w:rPr>
          <w:rFonts w:ascii="Verdana"/>
          <w:sz w:val="20"/>
        </w:rPr>
      </w:pPr>
    </w:p>
    <w:p>
      <w:pPr>
        <w:pStyle w:val="BodyText"/>
        <w:spacing w:before="8"/>
        <w:rPr>
          <w:rFonts w:ascii="Verdana"/>
          <w:sz w:val="19"/>
        </w:rPr>
      </w:pPr>
    </w:p>
    <w:p>
      <w:pPr>
        <w:spacing w:line="357" w:lineRule="auto" w:before="1"/>
        <w:ind w:left="5594" w:right="1642" w:hanging="3594"/>
        <w:jc w:val="left"/>
        <w:rPr>
          <w:rFonts w:ascii="Verdana" w:hAnsi="Verdana"/>
          <w:b/>
          <w:sz w:val="20"/>
        </w:rPr>
      </w:pPr>
      <w:r>
        <w:rPr/>
        <w:pict>
          <v:shape style="position:absolute;margin-left:138.139999pt;margin-top:30.266705pt;width:565.9pt;height:246.55pt;mso-position-horizontal-relative:page;mso-position-vertical-relative:paragraph;z-index:184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3"/>
                    <w:gridCol w:w="1983"/>
                    <w:gridCol w:w="2153"/>
                    <w:gridCol w:w="1562"/>
                    <w:gridCol w:w="1609"/>
                    <w:gridCol w:w="1102"/>
                    <w:gridCol w:w="1102"/>
                  </w:tblGrid>
                  <w:tr>
                    <w:trPr>
                      <w:trHeight w:val="1030" w:hRule="exact"/>
                    </w:trPr>
                    <w:tc>
                      <w:tcPr>
                        <w:tcW w:w="11303" w:type="dxa"/>
                        <w:gridSpan w:val="7"/>
                        <w:shd w:val="clear" w:color="auto" w:fill="DFDFDF"/>
                      </w:tcPr>
                      <w:p>
                        <w:pPr>
                          <w:pStyle w:val="TableParagraph"/>
                          <w:spacing w:before="123"/>
                          <w:ind w:left="175" w:right="177"/>
                          <w:jc w:val="center"/>
                          <w:rPr>
                            <w:rFonts w:ascii="Verdana" w:hAnsi="Verdana"/>
                            <w:b/>
                            <w:sz w:val="16"/>
                          </w:rPr>
                        </w:pPr>
                        <w:r>
                          <w:rPr>
                            <w:rFonts w:ascii="Verdana" w:hAnsi="Verdana"/>
                            <w:b/>
                            <w:sz w:val="16"/>
                          </w:rPr>
                          <w:t>ΕΝΙΣΧΥΣΕΙΣ (ΠΛΗΝ DE MINIMIS) ΓΙΑ ΤΙΣ ΟΠΟΙΕΣ Η ΑΙΤΟΥΣΑ ΕΧΕΙ ΑΠΟΚΤΗΣΕΙ ΕΝΝΟΜΟ ΔΙΚΑΙΩΜΑ ΛΗΨΗΣ, ΒΑΣΕΙ ΟΠΟΙΟΥΔΗΠΟΤΕ ΑΛΛΟΥ ΚΑΘΕΣΤΩΤΟΣ ΕΝΙΣΧΥΣΗΣ</w:t>
                        </w:r>
                      </w:p>
                      <w:p>
                        <w:pPr>
                          <w:pStyle w:val="TableParagraph"/>
                          <w:spacing w:before="122"/>
                          <w:ind w:left="175" w:right="177"/>
                          <w:jc w:val="center"/>
                          <w:rPr>
                            <w:rFonts w:ascii="Verdana" w:hAnsi="Verdana"/>
                            <w:b/>
                            <w:sz w:val="16"/>
                          </w:rPr>
                        </w:pPr>
                        <w:r>
                          <w:rPr>
                            <w:rFonts w:ascii="Verdana" w:hAnsi="Verdana"/>
                            <w:b/>
                            <w:sz w:val="16"/>
                          </w:rPr>
                          <w:t>Αφορά στην επιχείρηση που υποβάλλει πρόταση (αιτούσα) καθώς και σε αυτές με την οποία η αιτούσα λειτουργεί ως ενιαία οικονομική μονάδα (στην έννοια περιλαμβάνονται οι συνδεδεμένες με την αιτούσα επιχειρήσεις).</w:t>
                        </w:r>
                      </w:p>
                    </w:tc>
                  </w:tr>
                  <w:tr>
                    <w:trPr>
                      <w:trHeight w:val="321" w:hRule="exact"/>
                    </w:trPr>
                    <w:tc>
                      <w:tcPr>
                        <w:tcW w:w="1793" w:type="dxa"/>
                        <w:tcBorders>
                          <w:bottom w:val="nil"/>
                        </w:tcBorders>
                        <w:shd w:val="clear" w:color="auto" w:fill="DFDFDF"/>
                      </w:tcPr>
                      <w:p>
                        <w:pPr>
                          <w:pStyle w:val="TableParagraph"/>
                          <w:spacing w:before="122"/>
                          <w:ind w:left="103"/>
                          <w:rPr>
                            <w:rFonts w:ascii="Verdana" w:hAnsi="Verdana"/>
                            <w:sz w:val="16"/>
                          </w:rPr>
                        </w:pPr>
                        <w:r>
                          <w:rPr>
                            <w:rFonts w:ascii="Verdana" w:hAnsi="Verdana"/>
                            <w:sz w:val="16"/>
                          </w:rPr>
                          <w:t>Πρόγραμμα/</w:t>
                        </w:r>
                      </w:p>
                    </w:tc>
                    <w:tc>
                      <w:tcPr>
                        <w:tcW w:w="1983" w:type="dxa"/>
                        <w:tcBorders>
                          <w:bottom w:val="nil"/>
                        </w:tcBorders>
                        <w:shd w:val="clear" w:color="auto" w:fill="DFDFDF"/>
                      </w:tcPr>
                      <w:p>
                        <w:pPr>
                          <w:pStyle w:val="TableParagraph"/>
                          <w:spacing w:before="122"/>
                          <w:ind w:left="103"/>
                          <w:rPr>
                            <w:rFonts w:ascii="Verdana" w:hAnsi="Verdana"/>
                            <w:sz w:val="16"/>
                          </w:rPr>
                        </w:pPr>
                        <w:r>
                          <w:rPr>
                            <w:rFonts w:ascii="Verdana" w:hAnsi="Verdana"/>
                            <w:sz w:val="16"/>
                          </w:rPr>
                          <w:t>Αριθμός και</w:t>
                        </w:r>
                      </w:p>
                    </w:tc>
                    <w:tc>
                      <w:tcPr>
                        <w:tcW w:w="2153" w:type="dxa"/>
                        <w:tcBorders>
                          <w:bottom w:val="nil"/>
                        </w:tcBorders>
                        <w:shd w:val="clear" w:color="auto" w:fill="DFDFDF"/>
                      </w:tcPr>
                      <w:p>
                        <w:pPr>
                          <w:pStyle w:val="TableParagraph"/>
                          <w:spacing w:before="122"/>
                          <w:ind w:left="103"/>
                          <w:rPr>
                            <w:rFonts w:ascii="Verdana" w:hAnsi="Verdana"/>
                            <w:sz w:val="16"/>
                          </w:rPr>
                        </w:pPr>
                        <w:r>
                          <w:rPr>
                            <w:rFonts w:ascii="Verdana" w:hAnsi="Verdana"/>
                            <w:sz w:val="16"/>
                          </w:rPr>
                          <w:t>Ποσό δημόσιας</w:t>
                        </w:r>
                      </w:p>
                    </w:tc>
                    <w:tc>
                      <w:tcPr>
                        <w:tcW w:w="1562" w:type="dxa"/>
                        <w:tcBorders>
                          <w:bottom w:val="nil"/>
                        </w:tcBorders>
                        <w:shd w:val="clear" w:color="auto" w:fill="DFDFDF"/>
                      </w:tcPr>
                      <w:p>
                        <w:pPr>
                          <w:pStyle w:val="TableParagraph"/>
                          <w:spacing w:before="122"/>
                          <w:ind w:left="100"/>
                          <w:rPr>
                            <w:rFonts w:ascii="Verdana" w:hAnsi="Verdana"/>
                            <w:sz w:val="16"/>
                          </w:rPr>
                        </w:pPr>
                        <w:r>
                          <w:rPr>
                            <w:rFonts w:ascii="Verdana" w:hAnsi="Verdana"/>
                            <w:sz w:val="16"/>
                          </w:rPr>
                          <w:t>Ποσό Δημόσιας</w:t>
                        </w:r>
                      </w:p>
                    </w:tc>
                    <w:tc>
                      <w:tcPr>
                        <w:tcW w:w="1609" w:type="dxa"/>
                        <w:tcBorders>
                          <w:bottom w:val="nil"/>
                        </w:tcBorders>
                        <w:shd w:val="clear" w:color="auto" w:fill="DFDFDF"/>
                      </w:tcPr>
                      <w:p>
                        <w:pPr>
                          <w:pStyle w:val="TableParagraph"/>
                          <w:spacing w:before="122"/>
                          <w:ind w:left="103"/>
                          <w:rPr>
                            <w:rFonts w:ascii="Verdana" w:hAnsi="Verdana"/>
                            <w:sz w:val="16"/>
                          </w:rPr>
                        </w:pPr>
                        <w:r>
                          <w:rPr>
                            <w:rFonts w:ascii="Verdana" w:hAnsi="Verdana"/>
                            <w:sz w:val="16"/>
                          </w:rPr>
                          <w:t>Ημ/νία</w:t>
                        </w:r>
                      </w:p>
                    </w:tc>
                    <w:tc>
                      <w:tcPr>
                        <w:tcW w:w="1102" w:type="dxa"/>
                        <w:tcBorders>
                          <w:bottom w:val="nil"/>
                        </w:tcBorders>
                        <w:shd w:val="clear" w:color="auto" w:fill="DFDFDF"/>
                      </w:tcPr>
                      <w:p>
                        <w:pPr>
                          <w:pStyle w:val="TableParagraph"/>
                          <w:spacing w:before="122"/>
                          <w:ind w:left="103"/>
                          <w:rPr>
                            <w:rFonts w:ascii="Verdana" w:hAnsi="Verdana"/>
                            <w:sz w:val="16"/>
                          </w:rPr>
                        </w:pPr>
                        <w:r>
                          <w:rPr>
                            <w:rFonts w:ascii="Verdana" w:hAnsi="Verdana"/>
                            <w:sz w:val="16"/>
                          </w:rPr>
                          <w:t>Επωνυμία</w:t>
                        </w:r>
                      </w:p>
                    </w:tc>
                    <w:tc>
                      <w:tcPr>
                        <w:tcW w:w="1102" w:type="dxa"/>
                        <w:tcBorders>
                          <w:bottom w:val="nil"/>
                        </w:tcBorders>
                        <w:shd w:val="clear" w:color="auto" w:fill="DFDFDF"/>
                      </w:tcPr>
                      <w:p>
                        <w:pPr>
                          <w:pStyle w:val="TableParagraph"/>
                          <w:spacing w:before="122"/>
                          <w:ind w:left="103"/>
                          <w:rPr>
                            <w:rFonts w:ascii="Verdana" w:hAnsi="Verdana"/>
                            <w:sz w:val="16"/>
                          </w:rPr>
                        </w:pPr>
                        <w:r>
                          <w:rPr>
                            <w:rFonts w:ascii="Verdana" w:hAnsi="Verdana"/>
                            <w:sz w:val="16"/>
                          </w:rPr>
                          <w:t>ΑΦΜ</w:t>
                        </w: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Μέτρο/ Δράση από</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ημερομηνία</w:t>
                        </w:r>
                      </w:p>
                    </w:tc>
                    <w:tc>
                      <w:tcPr>
                        <w:tcW w:w="2153" w:type="dxa"/>
                        <w:tcBorders>
                          <w:top w:val="nil"/>
                          <w:bottom w:val="nil"/>
                        </w:tcBorders>
                        <w:shd w:val="clear" w:color="auto" w:fill="DFDFDF"/>
                      </w:tcPr>
                      <w:p>
                        <w:pPr>
                          <w:pStyle w:val="TableParagraph"/>
                          <w:ind w:left="103"/>
                          <w:rPr>
                            <w:rFonts w:ascii="Verdana" w:hAnsi="Verdana"/>
                            <w:sz w:val="16"/>
                          </w:rPr>
                        </w:pPr>
                        <w:r>
                          <w:rPr>
                            <w:rFonts w:ascii="Verdana" w:hAnsi="Verdana"/>
                            <w:sz w:val="16"/>
                          </w:rPr>
                          <w:t>χρηματοδότησης που</w:t>
                        </w:r>
                      </w:p>
                    </w:tc>
                    <w:tc>
                      <w:tcPr>
                        <w:tcW w:w="1562" w:type="dxa"/>
                        <w:tcBorders>
                          <w:top w:val="nil"/>
                          <w:bottom w:val="nil"/>
                        </w:tcBorders>
                        <w:shd w:val="clear" w:color="auto" w:fill="DFDFDF"/>
                      </w:tcPr>
                      <w:p>
                        <w:pPr>
                          <w:pStyle w:val="TableParagraph"/>
                          <w:ind w:left="100"/>
                          <w:rPr>
                            <w:rFonts w:ascii="Verdana" w:hAnsi="Verdana"/>
                            <w:sz w:val="16"/>
                          </w:rPr>
                        </w:pPr>
                        <w:r>
                          <w:rPr>
                            <w:rFonts w:ascii="Verdana" w:hAnsi="Verdana"/>
                            <w:sz w:val="16"/>
                          </w:rPr>
                          <w:t>Χρηματοδότησης</w:t>
                        </w:r>
                      </w:p>
                    </w:tc>
                    <w:tc>
                      <w:tcPr>
                        <w:tcW w:w="1609" w:type="dxa"/>
                        <w:tcBorders>
                          <w:top w:val="nil"/>
                          <w:bottom w:val="nil"/>
                        </w:tcBorders>
                        <w:shd w:val="clear" w:color="auto" w:fill="DFDFDF"/>
                      </w:tcPr>
                      <w:p>
                        <w:pPr>
                          <w:pStyle w:val="TableParagraph"/>
                          <w:ind w:left="103"/>
                          <w:rPr>
                            <w:rFonts w:ascii="Verdana" w:hAnsi="Verdana"/>
                            <w:sz w:val="16"/>
                          </w:rPr>
                        </w:pPr>
                        <w:r>
                          <w:rPr>
                            <w:rFonts w:ascii="Verdana" w:hAnsi="Verdana"/>
                            <w:sz w:val="16"/>
                          </w:rPr>
                          <w:t>καταβολής</w:t>
                        </w:r>
                      </w:p>
                    </w:tc>
                    <w:tc>
                      <w:tcPr>
                        <w:tcW w:w="1102" w:type="dxa"/>
                        <w:tcBorders>
                          <w:top w:val="nil"/>
                          <w:bottom w:val="nil"/>
                        </w:tcBorders>
                        <w:shd w:val="clear" w:color="auto" w:fill="DFDFDF"/>
                      </w:tcPr>
                      <w:p>
                        <w:pPr>
                          <w:pStyle w:val="TableParagraph"/>
                          <w:ind w:left="103"/>
                          <w:rPr>
                            <w:rFonts w:ascii="Verdana" w:hAnsi="Verdana"/>
                            <w:sz w:val="16"/>
                          </w:rPr>
                        </w:pPr>
                        <w:r>
                          <w:rPr>
                            <w:rFonts w:ascii="Verdana" w:hAnsi="Verdana"/>
                            <w:sz w:val="16"/>
                          </w:rPr>
                          <w:t>Δικαιούχου</w:t>
                        </w:r>
                      </w:p>
                    </w:tc>
                    <w:tc>
                      <w:tcPr>
                        <w:tcW w:w="1102" w:type="dxa"/>
                        <w:tcBorders>
                          <w:top w:val="nil"/>
                          <w:bottom w:val="nil"/>
                        </w:tcBorders>
                        <w:shd w:val="clear" w:color="auto" w:fill="DFDFDF"/>
                      </w:tcPr>
                      <w:p>
                        <w:pPr>
                          <w:pStyle w:val="TableParagraph"/>
                          <w:ind w:left="103"/>
                          <w:rPr>
                            <w:rFonts w:ascii="Verdana" w:hAnsi="Verdana"/>
                            <w:sz w:val="16"/>
                          </w:rPr>
                        </w:pPr>
                        <w:r>
                          <w:rPr>
                            <w:rFonts w:ascii="Verdana" w:hAnsi="Verdana"/>
                            <w:sz w:val="16"/>
                          </w:rPr>
                          <w:t>Δικαιούχου</w:t>
                        </w: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το οποίο η</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Υπουργικής</w:t>
                        </w:r>
                      </w:p>
                    </w:tc>
                    <w:tc>
                      <w:tcPr>
                        <w:tcW w:w="215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αναγράφεται στην</w:t>
                        </w:r>
                      </w:p>
                    </w:tc>
                    <w:tc>
                      <w:tcPr>
                        <w:tcW w:w="1562" w:type="dxa"/>
                        <w:tcBorders>
                          <w:top w:val="nil"/>
                          <w:bottom w:val="nil"/>
                        </w:tcBorders>
                        <w:shd w:val="clear" w:color="auto" w:fill="DFDFDF"/>
                      </w:tcPr>
                      <w:p>
                        <w:pPr>
                          <w:pStyle w:val="TableParagraph"/>
                          <w:ind w:left="100"/>
                          <w:rPr>
                            <w:rFonts w:ascii="Verdana" w:hAnsi="Verdana"/>
                            <w:sz w:val="16"/>
                          </w:rPr>
                        </w:pPr>
                        <w:r>
                          <w:rPr>
                            <w:rFonts w:ascii="Verdana" w:hAnsi="Verdana"/>
                            <w:sz w:val="16"/>
                          </w:rPr>
                          <w:t>που έχει</w:t>
                        </w:r>
                      </w:p>
                    </w:tc>
                    <w:tc>
                      <w:tcPr>
                        <w:tcW w:w="1609" w:type="dxa"/>
                        <w:tcBorders>
                          <w:top w:val="nil"/>
                          <w:bottom w:val="nil"/>
                        </w:tcBorders>
                        <w:shd w:val="clear" w:color="auto" w:fill="DFDFDF"/>
                      </w:tcPr>
                      <w:p>
                        <w:pPr>
                          <w:pStyle w:val="TableParagraph"/>
                          <w:ind w:left="103"/>
                          <w:rPr>
                            <w:rFonts w:ascii="Verdana" w:hAnsi="Verdana"/>
                            <w:sz w:val="16"/>
                          </w:rPr>
                        </w:pPr>
                        <w:r>
                          <w:rPr>
                            <w:rFonts w:ascii="Verdana" w:hAnsi="Verdana"/>
                            <w:sz w:val="16"/>
                          </w:rPr>
                          <w:t>τελευταίας</w:t>
                        </w:r>
                      </w:p>
                    </w:tc>
                    <w:tc>
                      <w:tcPr>
                        <w:tcW w:w="1102" w:type="dxa"/>
                        <w:tcBorders>
                          <w:top w:val="nil"/>
                          <w:bottom w:val="nil"/>
                        </w:tcBorders>
                        <w:shd w:val="clear" w:color="auto" w:fill="DFDFDF"/>
                      </w:tcPr>
                      <w:p>
                        <w:pPr>
                          <w:pStyle w:val="TableParagraph"/>
                          <w:ind w:left="103"/>
                          <w:rPr>
                            <w:rFonts w:ascii="Verdana" w:hAnsi="Verdana"/>
                            <w:sz w:val="16"/>
                          </w:rPr>
                        </w:pPr>
                        <w:r>
                          <w:rPr>
                            <w:rFonts w:ascii="Verdana" w:hAnsi="Verdana"/>
                            <w:sz w:val="16"/>
                          </w:rPr>
                          <w:t>της</w:t>
                        </w:r>
                      </w:p>
                    </w:tc>
                    <w:tc>
                      <w:tcPr>
                        <w:tcW w:w="1102" w:type="dxa"/>
                        <w:tcBorders>
                          <w:top w:val="nil"/>
                          <w:bottom w:val="nil"/>
                        </w:tcBorders>
                        <w:shd w:val="clear" w:color="auto" w:fill="DFDFDF"/>
                      </w:tcPr>
                      <w:p>
                        <w:pPr>
                          <w:pStyle w:val="TableParagraph"/>
                          <w:ind w:left="103"/>
                          <w:rPr>
                            <w:rFonts w:ascii="Verdana" w:hAnsi="Verdana"/>
                            <w:sz w:val="16"/>
                          </w:rPr>
                        </w:pPr>
                        <w:r>
                          <w:rPr>
                            <w:rFonts w:ascii="Verdana" w:hAnsi="Verdana"/>
                            <w:sz w:val="16"/>
                          </w:rPr>
                          <w:t>της</w:t>
                        </w:r>
                      </w:p>
                    </w:tc>
                  </w:tr>
                  <w:tr>
                    <w:trPr>
                      <w:trHeight w:val="195"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επιχείρηση έχει</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Απόφασης</w:t>
                        </w:r>
                      </w:p>
                    </w:tc>
                    <w:tc>
                      <w:tcPr>
                        <w:tcW w:w="215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Απόφαση</w:t>
                        </w:r>
                      </w:p>
                    </w:tc>
                    <w:tc>
                      <w:tcPr>
                        <w:tcW w:w="1562" w:type="dxa"/>
                        <w:tcBorders>
                          <w:top w:val="nil"/>
                          <w:bottom w:val="nil"/>
                        </w:tcBorders>
                        <w:shd w:val="clear" w:color="auto" w:fill="DFDFDF"/>
                      </w:tcPr>
                      <w:p>
                        <w:pPr>
                          <w:pStyle w:val="TableParagraph"/>
                          <w:ind w:left="100"/>
                          <w:rPr>
                            <w:rFonts w:ascii="Verdana" w:hAnsi="Verdana"/>
                            <w:sz w:val="16"/>
                          </w:rPr>
                        </w:pPr>
                        <w:r>
                          <w:rPr>
                            <w:rFonts w:ascii="Verdana" w:hAnsi="Verdana"/>
                            <w:sz w:val="16"/>
                          </w:rPr>
                          <w:t>καταβληθεί</w:t>
                        </w:r>
                      </w:p>
                    </w:tc>
                    <w:tc>
                      <w:tcPr>
                        <w:tcW w:w="1609" w:type="dxa"/>
                        <w:tcBorders>
                          <w:top w:val="nil"/>
                          <w:bottom w:val="nil"/>
                        </w:tcBorders>
                        <w:shd w:val="clear" w:color="auto" w:fill="DFDFDF"/>
                      </w:tcPr>
                      <w:p>
                        <w:pPr>
                          <w:pStyle w:val="TableParagraph"/>
                          <w:ind w:left="103"/>
                          <w:rPr>
                            <w:rFonts w:ascii="Verdana" w:hAnsi="Verdana"/>
                            <w:sz w:val="16"/>
                          </w:rPr>
                        </w:pPr>
                        <w:r>
                          <w:rPr>
                            <w:rFonts w:ascii="Verdana" w:hAnsi="Verdana"/>
                            <w:sz w:val="16"/>
                          </w:rPr>
                          <w:t>χρηματοδότησης.</w:t>
                        </w:r>
                      </w:p>
                    </w:tc>
                    <w:tc>
                      <w:tcPr>
                        <w:tcW w:w="1102" w:type="dxa"/>
                        <w:tcBorders>
                          <w:top w:val="nil"/>
                          <w:bottom w:val="nil"/>
                        </w:tcBorders>
                        <w:shd w:val="clear" w:color="auto" w:fill="DFDFDF"/>
                      </w:tcPr>
                      <w:p>
                        <w:pPr>
                          <w:pStyle w:val="TableParagraph"/>
                          <w:ind w:left="103"/>
                          <w:rPr>
                            <w:rFonts w:ascii="Verdana" w:hAnsi="Verdana"/>
                            <w:sz w:val="16"/>
                          </w:rPr>
                        </w:pPr>
                        <w:r>
                          <w:rPr>
                            <w:rFonts w:ascii="Verdana" w:hAnsi="Verdana"/>
                            <w:sz w:val="16"/>
                          </w:rPr>
                          <w:t>Ενίσχυσης.</w:t>
                        </w:r>
                      </w:p>
                    </w:tc>
                    <w:tc>
                      <w:tcPr>
                        <w:tcW w:w="1102" w:type="dxa"/>
                        <w:tcBorders>
                          <w:top w:val="nil"/>
                          <w:bottom w:val="nil"/>
                        </w:tcBorders>
                        <w:shd w:val="clear" w:color="auto" w:fill="DFDFDF"/>
                      </w:tcPr>
                      <w:p>
                        <w:pPr>
                          <w:pStyle w:val="TableParagraph"/>
                          <w:ind w:left="103"/>
                          <w:rPr>
                            <w:rFonts w:ascii="Verdana" w:hAnsi="Verdana"/>
                            <w:sz w:val="16"/>
                          </w:rPr>
                        </w:pPr>
                        <w:r>
                          <w:rPr>
                            <w:rFonts w:ascii="Verdana" w:hAnsi="Verdana"/>
                            <w:sz w:val="16"/>
                          </w:rPr>
                          <w:t>Ενίσχυσης.</w:t>
                        </w: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αποκτήσει έννομο</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Ένταξης/υπαγωγής ή</w:t>
                        </w:r>
                      </w:p>
                    </w:tc>
                    <w:tc>
                      <w:tcPr>
                        <w:tcW w:w="215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Ένταξης/υπαγωγής.</w:t>
                        </w:r>
                      </w:p>
                    </w:tc>
                    <w:tc>
                      <w:tcPr>
                        <w:tcW w:w="1562" w:type="dxa"/>
                        <w:tcBorders>
                          <w:top w:val="nil"/>
                          <w:bottom w:val="nil"/>
                        </w:tcBorders>
                        <w:shd w:val="clear" w:color="auto" w:fill="DFDFDF"/>
                      </w:tcPr>
                      <w:p>
                        <w:pPr>
                          <w:pStyle w:val="TableParagraph"/>
                          <w:ind w:left="100"/>
                          <w:rPr>
                            <w:rFonts w:ascii="Verdana" w:hAnsi="Verdana"/>
                            <w:sz w:val="16"/>
                          </w:rPr>
                        </w:pPr>
                        <w:r>
                          <w:rPr>
                            <w:rFonts w:ascii="Verdana" w:hAnsi="Verdana"/>
                            <w:sz w:val="16"/>
                          </w:rPr>
                          <w:t>πραγματικά</w:t>
                        </w:r>
                      </w:p>
                    </w:tc>
                    <w:tc>
                      <w:tcPr>
                        <w:tcW w:w="1609" w:type="dxa"/>
                        <w:tcBorders>
                          <w:top w:val="nil"/>
                          <w:bottom w:val="nil"/>
                        </w:tcBorders>
                        <w:shd w:val="clear" w:color="auto" w:fill="DFDFDF"/>
                      </w:tcPr>
                      <w:p>
                        <w:pPr/>
                      </w:p>
                    </w:tc>
                    <w:tc>
                      <w:tcPr>
                        <w:tcW w:w="1102" w:type="dxa"/>
                        <w:tcBorders>
                          <w:top w:val="nil"/>
                          <w:bottom w:val="nil"/>
                        </w:tcBorders>
                        <w:shd w:val="clear" w:color="auto" w:fill="DFDFDF"/>
                      </w:tcPr>
                      <w:p>
                        <w:pPr/>
                      </w:p>
                    </w:tc>
                    <w:tc>
                      <w:tcPr>
                        <w:tcW w:w="1102" w:type="dxa"/>
                        <w:tcBorders>
                          <w:top w:val="nil"/>
                          <w:bottom w:val="nil"/>
                        </w:tcBorders>
                        <w:shd w:val="clear" w:color="auto" w:fill="DFDFDF"/>
                      </w:tcPr>
                      <w:p>
                        <w:pP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δικαίωμα λήψης</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ημερομηνία λήψης</w:t>
                        </w:r>
                      </w:p>
                    </w:tc>
                    <w:tc>
                      <w:tcPr>
                        <w:tcW w:w="2153" w:type="dxa"/>
                        <w:tcBorders>
                          <w:top w:val="nil"/>
                          <w:bottom w:val="nil"/>
                        </w:tcBorders>
                        <w:shd w:val="clear" w:color="auto" w:fill="DFDFDF"/>
                      </w:tcPr>
                      <w:p>
                        <w:pPr/>
                      </w:p>
                    </w:tc>
                    <w:tc>
                      <w:tcPr>
                        <w:tcW w:w="1562" w:type="dxa"/>
                        <w:tcBorders>
                          <w:top w:val="nil"/>
                          <w:bottom w:val="nil"/>
                        </w:tcBorders>
                        <w:shd w:val="clear" w:color="auto" w:fill="DFDFDF"/>
                      </w:tcPr>
                      <w:p>
                        <w:pPr>
                          <w:pStyle w:val="TableParagraph"/>
                          <w:ind w:left="100"/>
                          <w:rPr>
                            <w:rFonts w:ascii="Verdana" w:hAnsi="Verdana"/>
                            <w:sz w:val="16"/>
                          </w:rPr>
                        </w:pPr>
                        <w:r>
                          <w:rPr>
                            <w:rFonts w:ascii="Verdana" w:hAnsi="Verdana"/>
                            <w:sz w:val="16"/>
                          </w:rPr>
                          <w:t>στην επιχείρηση.</w:t>
                        </w:r>
                      </w:p>
                    </w:tc>
                    <w:tc>
                      <w:tcPr>
                        <w:tcW w:w="1609" w:type="dxa"/>
                        <w:tcBorders>
                          <w:top w:val="nil"/>
                          <w:bottom w:val="nil"/>
                        </w:tcBorders>
                        <w:shd w:val="clear" w:color="auto" w:fill="DFDFDF"/>
                      </w:tcPr>
                      <w:p>
                        <w:pPr/>
                      </w:p>
                    </w:tc>
                    <w:tc>
                      <w:tcPr>
                        <w:tcW w:w="1102" w:type="dxa"/>
                        <w:tcBorders>
                          <w:top w:val="nil"/>
                          <w:bottom w:val="nil"/>
                        </w:tcBorders>
                        <w:shd w:val="clear" w:color="auto" w:fill="DFDFDF"/>
                      </w:tcPr>
                      <w:p>
                        <w:pPr/>
                      </w:p>
                    </w:tc>
                    <w:tc>
                      <w:tcPr>
                        <w:tcW w:w="1102" w:type="dxa"/>
                        <w:tcBorders>
                          <w:top w:val="nil"/>
                          <w:bottom w:val="nil"/>
                        </w:tcBorders>
                        <w:shd w:val="clear" w:color="auto" w:fill="DFDFDF"/>
                      </w:tcPr>
                      <w:p>
                        <w:pP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της ενίσχυσης (από</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του έννομου</w:t>
                        </w:r>
                      </w:p>
                    </w:tc>
                    <w:tc>
                      <w:tcPr>
                        <w:tcW w:w="2153" w:type="dxa"/>
                        <w:tcBorders>
                          <w:top w:val="nil"/>
                          <w:bottom w:val="nil"/>
                        </w:tcBorders>
                        <w:shd w:val="clear" w:color="auto" w:fill="DFDFDF"/>
                      </w:tcPr>
                      <w:p>
                        <w:pPr/>
                      </w:p>
                    </w:tc>
                    <w:tc>
                      <w:tcPr>
                        <w:tcW w:w="1562" w:type="dxa"/>
                        <w:tcBorders>
                          <w:top w:val="nil"/>
                          <w:bottom w:val="nil"/>
                        </w:tcBorders>
                        <w:shd w:val="clear" w:color="auto" w:fill="DFDFDF"/>
                      </w:tcPr>
                      <w:p>
                        <w:pPr/>
                      </w:p>
                    </w:tc>
                    <w:tc>
                      <w:tcPr>
                        <w:tcW w:w="1609" w:type="dxa"/>
                        <w:tcBorders>
                          <w:top w:val="nil"/>
                          <w:bottom w:val="nil"/>
                        </w:tcBorders>
                        <w:shd w:val="clear" w:color="auto" w:fill="DFDFDF"/>
                      </w:tcPr>
                      <w:p>
                        <w:pPr/>
                      </w:p>
                    </w:tc>
                    <w:tc>
                      <w:tcPr>
                        <w:tcW w:w="1102" w:type="dxa"/>
                        <w:tcBorders>
                          <w:top w:val="nil"/>
                          <w:bottom w:val="nil"/>
                        </w:tcBorders>
                        <w:shd w:val="clear" w:color="auto" w:fill="DFDFDF"/>
                      </w:tcPr>
                      <w:p>
                        <w:pPr/>
                      </w:p>
                    </w:tc>
                    <w:tc>
                      <w:tcPr>
                        <w:tcW w:w="1102" w:type="dxa"/>
                        <w:tcBorders>
                          <w:top w:val="nil"/>
                          <w:bottom w:val="nil"/>
                        </w:tcBorders>
                        <w:shd w:val="clear" w:color="auto" w:fill="DFDFDF"/>
                      </w:tcPr>
                      <w:p>
                        <w:pPr/>
                      </w:p>
                    </w:tc>
                  </w:tr>
                  <w:tr>
                    <w:trPr>
                      <w:trHeight w:val="195"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1/1/2014 και μετά)</w:t>
                        </w:r>
                      </w:p>
                    </w:tc>
                    <w:tc>
                      <w:tcPr>
                        <w:tcW w:w="198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δικαιώματος</w:t>
                        </w:r>
                      </w:p>
                    </w:tc>
                    <w:tc>
                      <w:tcPr>
                        <w:tcW w:w="2153" w:type="dxa"/>
                        <w:tcBorders>
                          <w:top w:val="nil"/>
                          <w:bottom w:val="nil"/>
                        </w:tcBorders>
                        <w:shd w:val="clear" w:color="auto" w:fill="DFDFDF"/>
                      </w:tcPr>
                      <w:p>
                        <w:pPr/>
                      </w:p>
                    </w:tc>
                    <w:tc>
                      <w:tcPr>
                        <w:tcW w:w="1562" w:type="dxa"/>
                        <w:tcBorders>
                          <w:top w:val="nil"/>
                          <w:bottom w:val="nil"/>
                        </w:tcBorders>
                        <w:shd w:val="clear" w:color="auto" w:fill="DFDFDF"/>
                      </w:tcPr>
                      <w:p>
                        <w:pPr/>
                      </w:p>
                    </w:tc>
                    <w:tc>
                      <w:tcPr>
                        <w:tcW w:w="1609" w:type="dxa"/>
                        <w:tcBorders>
                          <w:top w:val="nil"/>
                          <w:bottom w:val="nil"/>
                        </w:tcBorders>
                        <w:shd w:val="clear" w:color="auto" w:fill="DFDFDF"/>
                      </w:tcPr>
                      <w:p>
                        <w:pPr/>
                      </w:p>
                    </w:tc>
                    <w:tc>
                      <w:tcPr>
                        <w:tcW w:w="1102" w:type="dxa"/>
                        <w:tcBorders>
                          <w:top w:val="nil"/>
                          <w:bottom w:val="nil"/>
                        </w:tcBorders>
                        <w:shd w:val="clear" w:color="auto" w:fill="DFDFDF"/>
                      </w:tcPr>
                      <w:p>
                        <w:pPr/>
                      </w:p>
                    </w:tc>
                    <w:tc>
                      <w:tcPr>
                        <w:tcW w:w="1102" w:type="dxa"/>
                        <w:tcBorders>
                          <w:top w:val="nil"/>
                          <w:bottom w:val="nil"/>
                        </w:tcBorders>
                        <w:shd w:val="clear" w:color="auto" w:fill="DFDFDF"/>
                      </w:tcPr>
                      <w:p>
                        <w:pP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και φορέας</w:t>
                        </w:r>
                      </w:p>
                    </w:tc>
                    <w:tc>
                      <w:tcPr>
                        <w:tcW w:w="1983" w:type="dxa"/>
                        <w:tcBorders>
                          <w:top w:val="nil"/>
                          <w:bottom w:val="nil"/>
                        </w:tcBorders>
                        <w:shd w:val="clear" w:color="auto" w:fill="DFDFDF"/>
                      </w:tcPr>
                      <w:p>
                        <w:pPr/>
                      </w:p>
                    </w:tc>
                    <w:tc>
                      <w:tcPr>
                        <w:tcW w:w="2153" w:type="dxa"/>
                        <w:tcBorders>
                          <w:top w:val="nil"/>
                          <w:bottom w:val="nil"/>
                        </w:tcBorders>
                        <w:shd w:val="clear" w:color="auto" w:fill="DFDFDF"/>
                      </w:tcPr>
                      <w:p>
                        <w:pPr/>
                      </w:p>
                    </w:tc>
                    <w:tc>
                      <w:tcPr>
                        <w:tcW w:w="1562" w:type="dxa"/>
                        <w:tcBorders>
                          <w:top w:val="nil"/>
                          <w:bottom w:val="nil"/>
                        </w:tcBorders>
                        <w:shd w:val="clear" w:color="auto" w:fill="DFDFDF"/>
                      </w:tcPr>
                      <w:p>
                        <w:pPr/>
                      </w:p>
                    </w:tc>
                    <w:tc>
                      <w:tcPr>
                        <w:tcW w:w="1609" w:type="dxa"/>
                        <w:tcBorders>
                          <w:top w:val="nil"/>
                          <w:bottom w:val="nil"/>
                        </w:tcBorders>
                        <w:shd w:val="clear" w:color="auto" w:fill="DFDFDF"/>
                      </w:tcPr>
                      <w:p>
                        <w:pPr/>
                      </w:p>
                    </w:tc>
                    <w:tc>
                      <w:tcPr>
                        <w:tcW w:w="1102" w:type="dxa"/>
                        <w:tcBorders>
                          <w:top w:val="nil"/>
                          <w:bottom w:val="nil"/>
                        </w:tcBorders>
                        <w:shd w:val="clear" w:color="auto" w:fill="DFDFDF"/>
                      </w:tcPr>
                      <w:p>
                        <w:pPr/>
                      </w:p>
                    </w:tc>
                    <w:tc>
                      <w:tcPr>
                        <w:tcW w:w="1102" w:type="dxa"/>
                        <w:tcBorders>
                          <w:top w:val="nil"/>
                          <w:bottom w:val="nil"/>
                        </w:tcBorders>
                        <w:shd w:val="clear" w:color="auto" w:fill="DFDFDF"/>
                      </w:tcPr>
                      <w:p>
                        <w:pPr/>
                      </w:p>
                    </w:tc>
                  </w:tr>
                  <w:tr>
                    <w:trPr>
                      <w:trHeight w:val="194" w:hRule="exact"/>
                    </w:trPr>
                    <w:tc>
                      <w:tcPr>
                        <w:tcW w:w="1793" w:type="dxa"/>
                        <w:tcBorders>
                          <w:top w:val="nil"/>
                          <w:bottom w:val="nil"/>
                        </w:tcBorders>
                        <w:shd w:val="clear" w:color="auto" w:fill="DFDFDF"/>
                      </w:tcPr>
                      <w:p>
                        <w:pPr>
                          <w:pStyle w:val="TableParagraph"/>
                          <w:ind w:left="103"/>
                          <w:rPr>
                            <w:rFonts w:ascii="Verdana" w:hAnsi="Verdana"/>
                            <w:sz w:val="16"/>
                          </w:rPr>
                        </w:pPr>
                        <w:r>
                          <w:rPr>
                            <w:rFonts w:ascii="Verdana" w:hAnsi="Verdana"/>
                            <w:sz w:val="16"/>
                          </w:rPr>
                          <w:t>χορήγησης</w:t>
                        </w:r>
                      </w:p>
                    </w:tc>
                    <w:tc>
                      <w:tcPr>
                        <w:tcW w:w="1983" w:type="dxa"/>
                        <w:tcBorders>
                          <w:top w:val="nil"/>
                          <w:bottom w:val="nil"/>
                        </w:tcBorders>
                        <w:shd w:val="clear" w:color="auto" w:fill="DFDFDF"/>
                      </w:tcPr>
                      <w:p>
                        <w:pPr/>
                      </w:p>
                    </w:tc>
                    <w:tc>
                      <w:tcPr>
                        <w:tcW w:w="2153" w:type="dxa"/>
                        <w:tcBorders>
                          <w:top w:val="nil"/>
                          <w:bottom w:val="nil"/>
                        </w:tcBorders>
                        <w:shd w:val="clear" w:color="auto" w:fill="DFDFDF"/>
                      </w:tcPr>
                      <w:p>
                        <w:pPr/>
                      </w:p>
                    </w:tc>
                    <w:tc>
                      <w:tcPr>
                        <w:tcW w:w="1562" w:type="dxa"/>
                        <w:tcBorders>
                          <w:top w:val="nil"/>
                          <w:bottom w:val="nil"/>
                        </w:tcBorders>
                        <w:shd w:val="clear" w:color="auto" w:fill="DFDFDF"/>
                      </w:tcPr>
                      <w:p>
                        <w:pPr/>
                      </w:p>
                    </w:tc>
                    <w:tc>
                      <w:tcPr>
                        <w:tcW w:w="1609" w:type="dxa"/>
                        <w:tcBorders>
                          <w:top w:val="nil"/>
                          <w:bottom w:val="nil"/>
                        </w:tcBorders>
                        <w:shd w:val="clear" w:color="auto" w:fill="DFDFDF"/>
                      </w:tcPr>
                      <w:p>
                        <w:pPr/>
                      </w:p>
                    </w:tc>
                    <w:tc>
                      <w:tcPr>
                        <w:tcW w:w="1102" w:type="dxa"/>
                        <w:tcBorders>
                          <w:top w:val="nil"/>
                          <w:bottom w:val="nil"/>
                        </w:tcBorders>
                        <w:shd w:val="clear" w:color="auto" w:fill="DFDFDF"/>
                      </w:tcPr>
                      <w:p>
                        <w:pPr/>
                      </w:p>
                    </w:tc>
                    <w:tc>
                      <w:tcPr>
                        <w:tcW w:w="1102" w:type="dxa"/>
                        <w:tcBorders>
                          <w:top w:val="nil"/>
                          <w:bottom w:val="nil"/>
                        </w:tcBorders>
                        <w:shd w:val="clear" w:color="auto" w:fill="DFDFDF"/>
                      </w:tcPr>
                      <w:p>
                        <w:pPr/>
                      </w:p>
                    </w:tc>
                  </w:tr>
                  <w:tr>
                    <w:trPr>
                      <w:trHeight w:val="197" w:hRule="exact"/>
                    </w:trPr>
                    <w:tc>
                      <w:tcPr>
                        <w:tcW w:w="1793" w:type="dxa"/>
                        <w:tcBorders>
                          <w:top w:val="nil"/>
                        </w:tcBorders>
                        <w:shd w:val="clear" w:color="auto" w:fill="DFDFDF"/>
                      </w:tcPr>
                      <w:p>
                        <w:pPr>
                          <w:pStyle w:val="TableParagraph"/>
                          <w:ind w:left="103"/>
                          <w:rPr>
                            <w:rFonts w:ascii="Verdana" w:hAnsi="Verdana"/>
                            <w:sz w:val="16"/>
                          </w:rPr>
                        </w:pPr>
                        <w:r>
                          <w:rPr>
                            <w:rFonts w:ascii="Verdana" w:hAnsi="Verdana"/>
                            <w:sz w:val="16"/>
                          </w:rPr>
                          <w:t>ενίσχυσης.</w:t>
                        </w:r>
                      </w:p>
                    </w:tc>
                    <w:tc>
                      <w:tcPr>
                        <w:tcW w:w="1983" w:type="dxa"/>
                        <w:tcBorders>
                          <w:top w:val="nil"/>
                        </w:tcBorders>
                        <w:shd w:val="clear" w:color="auto" w:fill="DFDFDF"/>
                      </w:tcPr>
                      <w:p>
                        <w:pPr/>
                      </w:p>
                    </w:tc>
                    <w:tc>
                      <w:tcPr>
                        <w:tcW w:w="2153" w:type="dxa"/>
                        <w:tcBorders>
                          <w:top w:val="nil"/>
                        </w:tcBorders>
                        <w:shd w:val="clear" w:color="auto" w:fill="DFDFDF"/>
                      </w:tcPr>
                      <w:p>
                        <w:pPr/>
                      </w:p>
                    </w:tc>
                    <w:tc>
                      <w:tcPr>
                        <w:tcW w:w="1562" w:type="dxa"/>
                        <w:tcBorders>
                          <w:top w:val="nil"/>
                        </w:tcBorders>
                        <w:shd w:val="clear" w:color="auto" w:fill="DFDFDF"/>
                      </w:tcPr>
                      <w:p>
                        <w:pPr/>
                      </w:p>
                    </w:tc>
                    <w:tc>
                      <w:tcPr>
                        <w:tcW w:w="1609" w:type="dxa"/>
                        <w:tcBorders>
                          <w:top w:val="nil"/>
                        </w:tcBorders>
                        <w:shd w:val="clear" w:color="auto" w:fill="DFDFDF"/>
                      </w:tcPr>
                      <w:p>
                        <w:pPr/>
                      </w:p>
                    </w:tc>
                    <w:tc>
                      <w:tcPr>
                        <w:tcW w:w="1102" w:type="dxa"/>
                        <w:tcBorders>
                          <w:top w:val="nil"/>
                        </w:tcBorders>
                        <w:shd w:val="clear" w:color="auto" w:fill="DFDFDF"/>
                      </w:tcPr>
                      <w:p>
                        <w:pPr/>
                      </w:p>
                    </w:tc>
                    <w:tc>
                      <w:tcPr>
                        <w:tcW w:w="1102" w:type="dxa"/>
                        <w:tcBorders>
                          <w:top w:val="nil"/>
                        </w:tcBorders>
                        <w:shd w:val="clear" w:color="auto" w:fill="DFDFDF"/>
                      </w:tcPr>
                      <w:p>
                        <w:pPr/>
                      </w:p>
                    </w:tc>
                  </w:tr>
                  <w:tr>
                    <w:trPr>
                      <w:trHeight w:val="324" w:hRule="exact"/>
                    </w:trPr>
                    <w:tc>
                      <w:tcPr>
                        <w:tcW w:w="1793" w:type="dxa"/>
                      </w:tcPr>
                      <w:p>
                        <w:pPr/>
                      </w:p>
                    </w:tc>
                    <w:tc>
                      <w:tcPr>
                        <w:tcW w:w="1983" w:type="dxa"/>
                      </w:tcPr>
                      <w:p>
                        <w:pPr/>
                      </w:p>
                    </w:tc>
                    <w:tc>
                      <w:tcPr>
                        <w:tcW w:w="2153" w:type="dxa"/>
                      </w:tcPr>
                      <w:p>
                        <w:pPr/>
                      </w:p>
                    </w:tc>
                    <w:tc>
                      <w:tcPr>
                        <w:tcW w:w="1562" w:type="dxa"/>
                      </w:tcPr>
                      <w:p>
                        <w:pPr/>
                      </w:p>
                    </w:tc>
                    <w:tc>
                      <w:tcPr>
                        <w:tcW w:w="1609" w:type="dxa"/>
                      </w:tcPr>
                      <w:p>
                        <w:pPr/>
                      </w:p>
                    </w:tc>
                    <w:tc>
                      <w:tcPr>
                        <w:tcW w:w="1102" w:type="dxa"/>
                      </w:tcPr>
                      <w:p>
                        <w:pPr/>
                      </w:p>
                    </w:tc>
                    <w:tc>
                      <w:tcPr>
                        <w:tcW w:w="1102" w:type="dxa"/>
                      </w:tcPr>
                      <w:p>
                        <w:pPr/>
                      </w:p>
                    </w:tc>
                  </w:tr>
                  <w:tr>
                    <w:trPr>
                      <w:trHeight w:val="324" w:hRule="exact"/>
                    </w:trPr>
                    <w:tc>
                      <w:tcPr>
                        <w:tcW w:w="1793" w:type="dxa"/>
                      </w:tcPr>
                      <w:p>
                        <w:pPr/>
                      </w:p>
                    </w:tc>
                    <w:tc>
                      <w:tcPr>
                        <w:tcW w:w="1983" w:type="dxa"/>
                      </w:tcPr>
                      <w:p>
                        <w:pPr/>
                      </w:p>
                    </w:tc>
                    <w:tc>
                      <w:tcPr>
                        <w:tcW w:w="2153" w:type="dxa"/>
                      </w:tcPr>
                      <w:p>
                        <w:pPr/>
                      </w:p>
                    </w:tc>
                    <w:tc>
                      <w:tcPr>
                        <w:tcW w:w="1562" w:type="dxa"/>
                      </w:tcPr>
                      <w:p>
                        <w:pPr/>
                      </w:p>
                    </w:tc>
                    <w:tc>
                      <w:tcPr>
                        <w:tcW w:w="1609" w:type="dxa"/>
                      </w:tcPr>
                      <w:p>
                        <w:pPr/>
                      </w:p>
                    </w:tc>
                    <w:tc>
                      <w:tcPr>
                        <w:tcW w:w="1102" w:type="dxa"/>
                      </w:tcPr>
                      <w:p>
                        <w:pPr/>
                      </w:p>
                    </w:tc>
                    <w:tc>
                      <w:tcPr>
                        <w:tcW w:w="1102" w:type="dxa"/>
                      </w:tcPr>
                      <w:p>
                        <w:pPr/>
                      </w:p>
                    </w:tc>
                  </w:tr>
                  <w:tr>
                    <w:trPr>
                      <w:trHeight w:val="326" w:hRule="exact"/>
                    </w:trPr>
                    <w:tc>
                      <w:tcPr>
                        <w:tcW w:w="1793" w:type="dxa"/>
                      </w:tcPr>
                      <w:p>
                        <w:pPr/>
                      </w:p>
                    </w:tc>
                    <w:tc>
                      <w:tcPr>
                        <w:tcW w:w="1983" w:type="dxa"/>
                      </w:tcPr>
                      <w:p>
                        <w:pPr/>
                      </w:p>
                    </w:tc>
                    <w:tc>
                      <w:tcPr>
                        <w:tcW w:w="2153" w:type="dxa"/>
                      </w:tcPr>
                      <w:p>
                        <w:pPr/>
                      </w:p>
                    </w:tc>
                    <w:tc>
                      <w:tcPr>
                        <w:tcW w:w="1562" w:type="dxa"/>
                      </w:tcPr>
                      <w:p>
                        <w:pPr/>
                      </w:p>
                    </w:tc>
                    <w:tc>
                      <w:tcPr>
                        <w:tcW w:w="1609" w:type="dxa"/>
                      </w:tcPr>
                      <w:p>
                        <w:pPr/>
                      </w:p>
                    </w:tc>
                    <w:tc>
                      <w:tcPr>
                        <w:tcW w:w="1102" w:type="dxa"/>
                      </w:tcPr>
                      <w:p>
                        <w:pPr/>
                      </w:p>
                    </w:tc>
                    <w:tc>
                      <w:tcPr>
                        <w:tcW w:w="1102" w:type="dxa"/>
                      </w:tcPr>
                      <w:p>
                        <w:pPr/>
                      </w:p>
                    </w:tc>
                  </w:tr>
                  <w:tr>
                    <w:trPr>
                      <w:trHeight w:val="324" w:hRule="exact"/>
                    </w:trPr>
                    <w:tc>
                      <w:tcPr>
                        <w:tcW w:w="1793" w:type="dxa"/>
                      </w:tcPr>
                      <w:p>
                        <w:pPr/>
                      </w:p>
                    </w:tc>
                    <w:tc>
                      <w:tcPr>
                        <w:tcW w:w="1983" w:type="dxa"/>
                      </w:tcPr>
                      <w:p>
                        <w:pPr/>
                      </w:p>
                    </w:tc>
                    <w:tc>
                      <w:tcPr>
                        <w:tcW w:w="2153" w:type="dxa"/>
                      </w:tcPr>
                      <w:p>
                        <w:pPr/>
                      </w:p>
                    </w:tc>
                    <w:tc>
                      <w:tcPr>
                        <w:tcW w:w="1562" w:type="dxa"/>
                      </w:tcPr>
                      <w:p>
                        <w:pPr/>
                      </w:p>
                    </w:tc>
                    <w:tc>
                      <w:tcPr>
                        <w:tcW w:w="1609" w:type="dxa"/>
                      </w:tcPr>
                      <w:p>
                        <w:pPr/>
                      </w:p>
                    </w:tc>
                    <w:tc>
                      <w:tcPr>
                        <w:tcW w:w="1102" w:type="dxa"/>
                      </w:tcPr>
                      <w:p>
                        <w:pPr/>
                      </w:p>
                    </w:tc>
                    <w:tc>
                      <w:tcPr>
                        <w:tcW w:w="1102" w:type="dxa"/>
                      </w:tcPr>
                      <w:p>
                        <w:pPr/>
                      </w:p>
                    </w:tc>
                  </w:tr>
                  <w:tr>
                    <w:trPr>
                      <w:trHeight w:val="324" w:hRule="exact"/>
                    </w:trPr>
                    <w:tc>
                      <w:tcPr>
                        <w:tcW w:w="1793" w:type="dxa"/>
                      </w:tcPr>
                      <w:p>
                        <w:pPr/>
                      </w:p>
                    </w:tc>
                    <w:tc>
                      <w:tcPr>
                        <w:tcW w:w="1983" w:type="dxa"/>
                      </w:tcPr>
                      <w:p>
                        <w:pPr/>
                      </w:p>
                    </w:tc>
                    <w:tc>
                      <w:tcPr>
                        <w:tcW w:w="2153" w:type="dxa"/>
                      </w:tcPr>
                      <w:p>
                        <w:pPr/>
                      </w:p>
                    </w:tc>
                    <w:tc>
                      <w:tcPr>
                        <w:tcW w:w="1562" w:type="dxa"/>
                      </w:tcPr>
                      <w:p>
                        <w:pPr/>
                      </w:p>
                    </w:tc>
                    <w:tc>
                      <w:tcPr>
                        <w:tcW w:w="1609" w:type="dxa"/>
                      </w:tcPr>
                      <w:p>
                        <w:pPr/>
                      </w:p>
                    </w:tc>
                    <w:tc>
                      <w:tcPr>
                        <w:tcW w:w="1102" w:type="dxa"/>
                      </w:tcPr>
                      <w:p>
                        <w:pPr/>
                      </w:p>
                    </w:tc>
                    <w:tc>
                      <w:tcPr>
                        <w:tcW w:w="1102" w:type="dxa"/>
                      </w:tcPr>
                      <w:p>
                        <w:pPr/>
                      </w:p>
                    </w:tc>
                  </w:tr>
                </w:tbl>
                <w:p>
                  <w:pPr>
                    <w:pStyle w:val="BodyText"/>
                  </w:pPr>
                </w:p>
              </w:txbxContent>
            </v:textbox>
            <w10:wrap type="none"/>
          </v:shape>
        </w:pict>
      </w:r>
      <w:r>
        <w:rPr>
          <w:rFonts w:ascii="Verdana" w:hAnsi="Verdana"/>
          <w:b/>
          <w:sz w:val="20"/>
        </w:rPr>
        <w:t>Πίνακας 3: Πίνακας Επιχορηγήσεων βάσει οποιουδήποτε άλλου (πλην de minimis) καθεστώτος τα τελευταία 3 οικονομικά έτη</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6"/>
        <w:rPr>
          <w:rFonts w:ascii="Verdana"/>
          <w:b/>
          <w:sz w:val="17"/>
        </w:rPr>
      </w:pPr>
    </w:p>
    <w:p>
      <w:pPr>
        <w:spacing w:before="101"/>
        <w:ind w:left="100" w:right="0" w:firstLine="0"/>
        <w:jc w:val="left"/>
        <w:rPr>
          <w:rFonts w:ascii="Verdana" w:hAnsi="Verdana"/>
          <w:sz w:val="16"/>
        </w:rPr>
      </w:pPr>
      <w:r>
        <w:rPr>
          <w:rFonts w:ascii="Verdana" w:hAnsi="Verdana"/>
          <w:sz w:val="16"/>
        </w:rPr>
        <w:t>Επισημαίνεται ότι ως ημερομηνία δημόσιας χρηματοδότησης θεωρείται η ημερομηνία έκδοσης της Υπουργικής Απόφασης ένταξης/υπαγωγής και εν γένει παραχώρησης του έννομου δικαιώματος λήψης της ενίσχυσης</w:t>
      </w:r>
    </w:p>
    <w:p>
      <w:pPr>
        <w:spacing w:after="0"/>
        <w:jc w:val="left"/>
        <w:rPr>
          <w:rFonts w:ascii="Verdana" w:hAnsi="Verdana"/>
          <w:sz w:val="16"/>
        </w:rPr>
        <w:sectPr>
          <w:pgSz w:w="16840" w:h="11910" w:orient="landscape"/>
          <w:pgMar w:header="748" w:footer="734" w:top="1180" w:bottom="920" w:left="1340" w:right="1320"/>
        </w:sectPr>
      </w:pPr>
    </w:p>
    <w:p>
      <w:pPr>
        <w:pStyle w:val="BodyText"/>
        <w:spacing w:before="4"/>
        <w:rPr>
          <w:rFonts w:ascii="Verdana"/>
          <w:sz w:val="24"/>
        </w:rPr>
      </w:pPr>
    </w:p>
    <w:p>
      <w:pPr>
        <w:spacing w:before="101"/>
        <w:ind w:left="480" w:right="0" w:firstLine="0"/>
        <w:jc w:val="left"/>
        <w:rPr>
          <w:rFonts w:ascii="Verdana" w:hAnsi="Verdana"/>
          <w:b/>
          <w:sz w:val="16"/>
        </w:rPr>
      </w:pPr>
      <w:r>
        <w:rPr>
          <w:rFonts w:ascii="Verdana" w:hAnsi="Verdana"/>
          <w:b/>
          <w:sz w:val="16"/>
          <w:u w:val="single"/>
        </w:rPr>
        <w:t>Β.4:</w:t>
      </w:r>
    </w:p>
    <w:p>
      <w:pPr>
        <w:pStyle w:val="ListParagraph"/>
        <w:numPr>
          <w:ilvl w:val="1"/>
          <w:numId w:val="19"/>
        </w:numPr>
        <w:tabs>
          <w:tab w:pos="1020" w:val="left" w:leader="none"/>
          <w:tab w:pos="1021" w:val="left" w:leader="none"/>
        </w:tabs>
        <w:spacing w:line="240" w:lineRule="auto" w:before="120" w:after="0"/>
        <w:ind w:left="1020" w:right="710" w:hanging="540"/>
        <w:jc w:val="left"/>
        <w:rPr>
          <w:rFonts w:ascii="Symbol" w:hAnsi="Symbol"/>
          <w:sz w:val="16"/>
        </w:rPr>
      </w:pPr>
      <w:r>
        <w:rPr>
          <w:rFonts w:ascii="Verdana" w:hAnsi="Verdana"/>
          <w:sz w:val="16"/>
        </w:rPr>
        <w:t>Το</w:t>
      </w:r>
      <w:r>
        <w:rPr>
          <w:rFonts w:ascii="Verdana" w:hAnsi="Verdana"/>
          <w:spacing w:val="-2"/>
          <w:sz w:val="16"/>
        </w:rPr>
        <w:t> </w:t>
      </w:r>
      <w:r>
        <w:rPr>
          <w:rFonts w:ascii="Verdana" w:hAnsi="Verdana"/>
          <w:sz w:val="16"/>
        </w:rPr>
        <w:t>ύψος</w:t>
      </w:r>
      <w:r>
        <w:rPr>
          <w:rFonts w:ascii="Verdana" w:hAnsi="Verdana"/>
          <w:spacing w:val="-2"/>
          <w:sz w:val="16"/>
        </w:rPr>
        <w:t> </w:t>
      </w:r>
      <w:r>
        <w:rPr>
          <w:rFonts w:ascii="Verdana" w:hAnsi="Verdana"/>
          <w:sz w:val="16"/>
        </w:rPr>
        <w:t>των</w:t>
      </w:r>
      <w:r>
        <w:rPr>
          <w:rFonts w:ascii="Verdana" w:hAnsi="Verdana"/>
          <w:spacing w:val="-2"/>
          <w:sz w:val="16"/>
        </w:rPr>
        <w:t> </w:t>
      </w:r>
      <w:r>
        <w:rPr>
          <w:rFonts w:ascii="Verdana" w:hAnsi="Verdana"/>
          <w:sz w:val="16"/>
        </w:rPr>
        <w:t>ενισχύσεων,</w:t>
      </w:r>
      <w:r>
        <w:rPr>
          <w:rFonts w:ascii="Verdana" w:hAnsi="Verdana"/>
          <w:spacing w:val="-6"/>
          <w:sz w:val="16"/>
        </w:rPr>
        <w:t> </w:t>
      </w:r>
      <w:r>
        <w:rPr>
          <w:rFonts w:ascii="Verdana" w:hAnsi="Verdana"/>
          <w:sz w:val="16"/>
        </w:rPr>
        <w:t>οι</w:t>
      </w:r>
      <w:r>
        <w:rPr>
          <w:rFonts w:ascii="Verdana" w:hAnsi="Verdana"/>
          <w:spacing w:val="-5"/>
          <w:sz w:val="16"/>
        </w:rPr>
        <w:t> </w:t>
      </w:r>
      <w:r>
        <w:rPr>
          <w:rFonts w:ascii="Verdana" w:hAnsi="Verdana"/>
          <w:sz w:val="16"/>
        </w:rPr>
        <w:t>οποίες</w:t>
      </w:r>
      <w:r>
        <w:rPr>
          <w:rFonts w:ascii="Verdana" w:hAnsi="Verdana"/>
          <w:spacing w:val="-2"/>
          <w:sz w:val="16"/>
        </w:rPr>
        <w:t> </w:t>
      </w:r>
      <w:r>
        <w:rPr>
          <w:rFonts w:ascii="Verdana" w:hAnsi="Verdana"/>
          <w:sz w:val="16"/>
        </w:rPr>
        <w:t>έχουν</w:t>
      </w:r>
      <w:r>
        <w:rPr>
          <w:rFonts w:ascii="Verdana" w:hAnsi="Verdana"/>
          <w:spacing w:val="-2"/>
          <w:sz w:val="16"/>
        </w:rPr>
        <w:t> </w:t>
      </w:r>
      <w:r>
        <w:rPr>
          <w:rFonts w:ascii="Verdana" w:hAnsi="Verdana"/>
          <w:sz w:val="16"/>
        </w:rPr>
        <w:t>υποβληθεί</w:t>
      </w:r>
      <w:r>
        <w:rPr>
          <w:rFonts w:ascii="Verdana" w:hAnsi="Verdana"/>
          <w:spacing w:val="-4"/>
          <w:sz w:val="16"/>
        </w:rPr>
        <w:t> </w:t>
      </w:r>
      <w:r>
        <w:rPr>
          <w:rFonts w:ascii="Verdana" w:hAnsi="Verdana"/>
          <w:sz w:val="16"/>
        </w:rPr>
        <w:t>από</w:t>
      </w:r>
      <w:r>
        <w:rPr>
          <w:rFonts w:ascii="Verdana" w:hAnsi="Verdana"/>
          <w:spacing w:val="-4"/>
          <w:sz w:val="16"/>
        </w:rPr>
        <w:t> </w:t>
      </w:r>
      <w:r>
        <w:rPr>
          <w:rFonts w:ascii="Verdana" w:hAnsi="Verdana"/>
          <w:sz w:val="16"/>
        </w:rPr>
        <w:t>την</w:t>
      </w:r>
      <w:r>
        <w:rPr>
          <w:rFonts w:ascii="Verdana" w:hAnsi="Verdana"/>
          <w:spacing w:val="-4"/>
          <w:sz w:val="16"/>
        </w:rPr>
        <w:t> </w:t>
      </w:r>
      <w:r>
        <w:rPr>
          <w:rFonts w:ascii="Verdana" w:hAnsi="Verdana"/>
          <w:sz w:val="16"/>
        </w:rPr>
        <w:t>αιτούσα</w:t>
      </w:r>
      <w:r>
        <w:rPr>
          <w:rFonts w:ascii="Verdana" w:hAnsi="Verdana"/>
          <w:spacing w:val="-4"/>
          <w:sz w:val="16"/>
        </w:rPr>
        <w:t> </w:t>
      </w:r>
      <w:r>
        <w:rPr>
          <w:rFonts w:ascii="Verdana" w:hAnsi="Verdana"/>
          <w:sz w:val="16"/>
        </w:rPr>
        <w:t>επιχείρηση</w:t>
      </w:r>
      <w:r>
        <w:rPr>
          <w:rFonts w:ascii="Verdana" w:hAnsi="Verdana"/>
          <w:spacing w:val="-6"/>
          <w:sz w:val="16"/>
        </w:rPr>
        <w:t> </w:t>
      </w:r>
      <w:r>
        <w:rPr>
          <w:rFonts w:ascii="Verdana" w:hAnsi="Verdana"/>
          <w:sz w:val="16"/>
        </w:rPr>
        <w:t>καθώς</w:t>
      </w:r>
      <w:r>
        <w:rPr>
          <w:rFonts w:ascii="Verdana" w:hAnsi="Verdana"/>
          <w:spacing w:val="-5"/>
          <w:sz w:val="16"/>
        </w:rPr>
        <w:t> </w:t>
      </w:r>
      <w:r>
        <w:rPr>
          <w:rFonts w:ascii="Verdana" w:hAnsi="Verdana"/>
          <w:sz w:val="16"/>
        </w:rPr>
        <w:t>και</w:t>
      </w:r>
      <w:r>
        <w:rPr>
          <w:rFonts w:ascii="Verdana" w:hAnsi="Verdana"/>
          <w:spacing w:val="-3"/>
          <w:sz w:val="16"/>
        </w:rPr>
        <w:t> </w:t>
      </w:r>
      <w:r>
        <w:rPr>
          <w:rFonts w:ascii="Verdana" w:hAnsi="Verdana"/>
          <w:sz w:val="16"/>
        </w:rPr>
        <w:t>από</w:t>
      </w:r>
      <w:r>
        <w:rPr>
          <w:rFonts w:ascii="Verdana" w:hAnsi="Verdana"/>
          <w:spacing w:val="-4"/>
          <w:sz w:val="16"/>
        </w:rPr>
        <w:t> </w:t>
      </w:r>
      <w:r>
        <w:rPr>
          <w:rFonts w:ascii="Verdana" w:hAnsi="Verdana"/>
          <w:sz w:val="16"/>
        </w:rPr>
        <w:t>τις</w:t>
      </w:r>
      <w:r>
        <w:rPr>
          <w:rFonts w:ascii="Verdana" w:hAnsi="Verdana"/>
          <w:spacing w:val="-2"/>
          <w:sz w:val="16"/>
        </w:rPr>
        <w:t> </w:t>
      </w:r>
      <w:r>
        <w:rPr>
          <w:rFonts w:ascii="Verdana" w:hAnsi="Verdana"/>
          <w:sz w:val="16"/>
        </w:rPr>
        <w:t>επιχειρήσεις που λειτουργούν μαζί με αυτήν ως ενιαία οικονομική μονάδα (στην έννοια περιλαμβάνονται οι συνδεδεμένες με την αιτούσα επιχειρήσεις) και βρίσκεται σε στάδιο αξιολόγησης ή ένταξης, βάσει οποιουδήποτε καθεστώτος (πρόγραμμα, φορέας επιδότησης, ημερομηνία υποβολής αίτησης, αιτούμενη</w:t>
      </w:r>
      <w:r>
        <w:rPr>
          <w:rFonts w:ascii="Verdana" w:hAnsi="Verdana"/>
          <w:spacing w:val="-32"/>
          <w:sz w:val="16"/>
        </w:rPr>
        <w:t> </w:t>
      </w:r>
      <w:r>
        <w:rPr>
          <w:rFonts w:ascii="Verdana" w:hAnsi="Verdana"/>
          <w:sz w:val="16"/>
        </w:rPr>
        <w:t>επιχορήγηση).</w:t>
      </w:r>
    </w:p>
    <w:p>
      <w:pPr>
        <w:pStyle w:val="BodyText"/>
        <w:rPr>
          <w:rFonts w:ascii="Verdana"/>
          <w:sz w:val="20"/>
        </w:rPr>
      </w:pPr>
    </w:p>
    <w:p>
      <w:pPr>
        <w:pStyle w:val="BodyText"/>
        <w:spacing w:before="3"/>
        <w:rPr>
          <w:rFonts w:ascii="Verdana"/>
        </w:rPr>
      </w:pPr>
    </w:p>
    <w:p>
      <w:pPr>
        <w:spacing w:before="0"/>
        <w:ind w:left="480" w:right="437" w:firstLine="0"/>
        <w:jc w:val="left"/>
        <w:rPr>
          <w:rFonts w:ascii="Verdana" w:hAnsi="Verdana"/>
          <w:b/>
          <w:sz w:val="20"/>
        </w:rPr>
      </w:pPr>
      <w:r>
        <w:rPr>
          <w:rFonts w:ascii="Verdana" w:hAnsi="Verdana"/>
          <w:b/>
          <w:sz w:val="20"/>
        </w:rPr>
        <w:t>Πίνακας 4: Πίνακας αιτούμενων επιχορηγήσεων που βρίσκονται σε στάδιο αξιολόγησης ή ένταξης βάσει καθεστώτος de minimis για οποιαδήποτε δαπάνη ή οιουδήποτε άλλου καθεστώτος</w:t>
      </w:r>
    </w:p>
    <w:p>
      <w:pPr>
        <w:pStyle w:val="BodyText"/>
        <w:spacing w:before="11"/>
        <w:rPr>
          <w:rFonts w:ascii="Verdana"/>
          <w:b/>
          <w:sz w:val="27"/>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1"/>
        <w:gridCol w:w="1983"/>
        <w:gridCol w:w="2160"/>
        <w:gridCol w:w="2521"/>
        <w:gridCol w:w="1980"/>
      </w:tblGrid>
      <w:tr>
        <w:trPr>
          <w:trHeight w:val="833" w:hRule="exact"/>
        </w:trPr>
        <w:tc>
          <w:tcPr>
            <w:tcW w:w="10465" w:type="dxa"/>
            <w:gridSpan w:val="5"/>
            <w:shd w:val="clear" w:color="auto" w:fill="DFDFDF"/>
          </w:tcPr>
          <w:p>
            <w:pPr>
              <w:pStyle w:val="TableParagraph"/>
              <w:spacing w:before="122"/>
              <w:ind w:left="190" w:right="194"/>
              <w:jc w:val="center"/>
              <w:rPr>
                <w:rFonts w:ascii="Verdana" w:hAnsi="Verdana"/>
                <w:b/>
                <w:sz w:val="16"/>
              </w:rPr>
            </w:pPr>
            <w:r>
              <w:rPr>
                <w:rFonts w:ascii="Verdana" w:hAnsi="Verdana"/>
                <w:b/>
                <w:sz w:val="16"/>
              </w:rPr>
              <w:t>ΑΙΤΟΥΜΕΝΕΣ ΕΝΙΣΧΥΣΕΙΣ που βρίσκονται σε στάδιο αξιολόγησης ή ένταξης</w:t>
            </w:r>
          </w:p>
          <w:p>
            <w:pPr>
              <w:pStyle w:val="TableParagraph"/>
              <w:spacing w:before="120"/>
              <w:ind w:left="190" w:right="195"/>
              <w:jc w:val="center"/>
              <w:rPr>
                <w:rFonts w:ascii="Verdana" w:hAnsi="Verdana"/>
                <w:b/>
                <w:sz w:val="16"/>
              </w:rPr>
            </w:pPr>
            <w:r>
              <w:rPr>
                <w:rFonts w:ascii="Verdana" w:hAnsi="Verdana"/>
                <w:b/>
                <w:sz w:val="16"/>
              </w:rPr>
              <w:t>Αφορά στην επιχείρηση που υποβάλλει πρόταση (αιτούσα) καθώς και σε αυτές με την οποία η αιτούσα λειτουργεί ως ενιαία οικονομική μονάδα (στην έννοια περιλαμβάνονται οι συνδεδεμένες με την αιτούσα επιχειρήσεις).</w:t>
            </w:r>
          </w:p>
        </w:tc>
      </w:tr>
      <w:tr>
        <w:trPr>
          <w:trHeight w:val="1685" w:hRule="exact"/>
        </w:trPr>
        <w:tc>
          <w:tcPr>
            <w:tcW w:w="1821" w:type="dxa"/>
            <w:shd w:val="clear" w:color="auto" w:fill="DFDFDF"/>
          </w:tcPr>
          <w:p>
            <w:pPr>
              <w:pStyle w:val="TableParagraph"/>
              <w:spacing w:before="122"/>
              <w:ind w:left="102" w:right="154"/>
              <w:rPr>
                <w:rFonts w:ascii="Verdana" w:hAnsi="Verdana"/>
                <w:sz w:val="16"/>
              </w:rPr>
            </w:pPr>
            <w:r>
              <w:rPr>
                <w:rFonts w:ascii="Verdana" w:hAnsi="Verdana"/>
                <w:sz w:val="16"/>
              </w:rPr>
              <w:t>Πρόγραμμα/ Μέτρο/ Δράση στο οποίο/α η επιχείρηση έχει υποβάλλει πρόταση και φορέας χορήγησης ενίσχυσης</w:t>
            </w:r>
          </w:p>
        </w:tc>
        <w:tc>
          <w:tcPr>
            <w:tcW w:w="1983" w:type="dxa"/>
            <w:shd w:val="clear" w:color="auto" w:fill="DFDFDF"/>
          </w:tcPr>
          <w:p>
            <w:pPr>
              <w:pStyle w:val="TableParagraph"/>
              <w:spacing w:before="122"/>
              <w:ind w:left="103" w:right="489"/>
              <w:rPr>
                <w:rFonts w:ascii="Verdana" w:hAnsi="Verdana"/>
                <w:sz w:val="16"/>
              </w:rPr>
            </w:pPr>
            <w:r>
              <w:rPr>
                <w:rFonts w:ascii="Verdana" w:hAnsi="Verdana"/>
                <w:sz w:val="16"/>
              </w:rPr>
              <w:t>Ημ/νία Υποβολής επενδυτικής πρότασης</w:t>
            </w:r>
          </w:p>
        </w:tc>
        <w:tc>
          <w:tcPr>
            <w:tcW w:w="2160" w:type="dxa"/>
            <w:shd w:val="clear" w:color="auto" w:fill="DFDFDF"/>
          </w:tcPr>
          <w:p>
            <w:pPr>
              <w:pStyle w:val="TableParagraph"/>
              <w:spacing w:before="122"/>
              <w:ind w:left="103" w:right="673"/>
              <w:rPr>
                <w:rFonts w:ascii="Verdana" w:hAnsi="Verdana"/>
                <w:sz w:val="16"/>
              </w:rPr>
            </w:pPr>
            <w:r>
              <w:rPr>
                <w:rFonts w:ascii="Verdana" w:hAnsi="Verdana"/>
                <w:sz w:val="16"/>
              </w:rPr>
              <w:t>Ποσό αιτούμενης δημόσιας χρηματοδότησης</w:t>
            </w:r>
          </w:p>
        </w:tc>
        <w:tc>
          <w:tcPr>
            <w:tcW w:w="2521" w:type="dxa"/>
            <w:shd w:val="clear" w:color="auto" w:fill="DFDFDF"/>
          </w:tcPr>
          <w:p>
            <w:pPr>
              <w:pStyle w:val="TableParagraph"/>
              <w:spacing w:before="122"/>
              <w:ind w:left="103" w:right="353"/>
              <w:rPr>
                <w:rFonts w:ascii="Verdana" w:hAnsi="Verdana"/>
                <w:sz w:val="16"/>
              </w:rPr>
            </w:pPr>
            <w:r>
              <w:rPr>
                <w:rFonts w:ascii="Verdana" w:hAnsi="Verdana"/>
                <w:sz w:val="16"/>
              </w:rPr>
              <w:t>Επωνυμία Δικαιούχου της Ενίσχυσης.</w:t>
            </w:r>
          </w:p>
        </w:tc>
        <w:tc>
          <w:tcPr>
            <w:tcW w:w="1980" w:type="dxa"/>
            <w:shd w:val="clear" w:color="auto" w:fill="DFDFDF"/>
          </w:tcPr>
          <w:p>
            <w:pPr>
              <w:pStyle w:val="TableParagraph"/>
              <w:spacing w:before="122"/>
              <w:ind w:left="103" w:right="212"/>
              <w:rPr>
                <w:rFonts w:ascii="Verdana" w:hAnsi="Verdana"/>
                <w:sz w:val="16"/>
              </w:rPr>
            </w:pPr>
            <w:r>
              <w:rPr>
                <w:rFonts w:ascii="Verdana" w:hAnsi="Verdana"/>
                <w:sz w:val="16"/>
              </w:rPr>
              <w:t>ΑΦΜ Δικαιούχου της Ενίσχυσης.</w:t>
            </w:r>
          </w:p>
        </w:tc>
      </w:tr>
      <w:tr>
        <w:trPr>
          <w:trHeight w:val="324" w:hRule="exact"/>
        </w:trPr>
        <w:tc>
          <w:tcPr>
            <w:tcW w:w="1821" w:type="dxa"/>
          </w:tcPr>
          <w:p>
            <w:pPr/>
          </w:p>
        </w:tc>
        <w:tc>
          <w:tcPr>
            <w:tcW w:w="1983" w:type="dxa"/>
          </w:tcPr>
          <w:p>
            <w:pPr/>
          </w:p>
        </w:tc>
        <w:tc>
          <w:tcPr>
            <w:tcW w:w="2160" w:type="dxa"/>
          </w:tcPr>
          <w:p>
            <w:pPr/>
          </w:p>
        </w:tc>
        <w:tc>
          <w:tcPr>
            <w:tcW w:w="2521" w:type="dxa"/>
          </w:tcPr>
          <w:p>
            <w:pPr/>
          </w:p>
        </w:tc>
        <w:tc>
          <w:tcPr>
            <w:tcW w:w="1980" w:type="dxa"/>
          </w:tcPr>
          <w:p>
            <w:pPr/>
          </w:p>
        </w:tc>
      </w:tr>
      <w:tr>
        <w:trPr>
          <w:trHeight w:val="326" w:hRule="exact"/>
        </w:trPr>
        <w:tc>
          <w:tcPr>
            <w:tcW w:w="1821" w:type="dxa"/>
          </w:tcPr>
          <w:p>
            <w:pPr/>
          </w:p>
        </w:tc>
        <w:tc>
          <w:tcPr>
            <w:tcW w:w="1983" w:type="dxa"/>
          </w:tcPr>
          <w:p>
            <w:pPr/>
          </w:p>
        </w:tc>
        <w:tc>
          <w:tcPr>
            <w:tcW w:w="2160" w:type="dxa"/>
          </w:tcPr>
          <w:p>
            <w:pPr/>
          </w:p>
        </w:tc>
        <w:tc>
          <w:tcPr>
            <w:tcW w:w="2521" w:type="dxa"/>
          </w:tcPr>
          <w:p>
            <w:pPr/>
          </w:p>
        </w:tc>
        <w:tc>
          <w:tcPr>
            <w:tcW w:w="1980" w:type="dxa"/>
          </w:tcPr>
          <w:p>
            <w:pPr/>
          </w:p>
        </w:tc>
      </w:tr>
    </w:tbl>
    <w:p>
      <w:pPr>
        <w:pStyle w:val="ListParagraph"/>
        <w:numPr>
          <w:ilvl w:val="1"/>
          <w:numId w:val="19"/>
        </w:numPr>
        <w:tabs>
          <w:tab w:pos="1020" w:val="left" w:leader="none"/>
          <w:tab w:pos="1021" w:val="left" w:leader="none"/>
        </w:tabs>
        <w:spacing w:line="240" w:lineRule="auto" w:before="120" w:after="0"/>
        <w:ind w:left="1020" w:right="565" w:hanging="540"/>
        <w:jc w:val="left"/>
        <w:rPr>
          <w:rFonts w:ascii="Symbol" w:hAnsi="Symbol"/>
          <w:sz w:val="20"/>
        </w:rPr>
      </w:pPr>
      <w:r>
        <w:rPr>
          <w:rFonts w:ascii="Verdana" w:hAnsi="Verdana"/>
          <w:sz w:val="20"/>
        </w:rPr>
        <w:t>Σε περίπτωση διαπίστωσης ουσιωδών ανακριβειών (οι οποίες ενδέχεται να μεταβάλλουν το αποτέλεσμα της αξιολόγησης της επενδυτικής μου πρότασης) στη δήλωσή μου μετά την ένταξη του έργου το έργο θα απενταχθεί και θα κληθώ να επιστρέψω εντόκως τη ληφθείσα δημόσια</w:t>
      </w:r>
      <w:r>
        <w:rPr>
          <w:rFonts w:ascii="Verdana" w:hAnsi="Verdana"/>
          <w:spacing w:val="-7"/>
          <w:sz w:val="20"/>
        </w:rPr>
        <w:t> </w:t>
      </w:r>
      <w:r>
        <w:rPr>
          <w:rFonts w:ascii="Verdana" w:hAnsi="Verdana"/>
          <w:sz w:val="20"/>
        </w:rPr>
        <w:t>χρηματοδότηση.</w:t>
      </w:r>
    </w:p>
    <w:p>
      <w:pPr>
        <w:pStyle w:val="BodyText"/>
        <w:spacing w:before="4"/>
        <w:rPr>
          <w:rFonts w:ascii="Verdana"/>
          <w:sz w:val="8"/>
        </w:rPr>
      </w:pPr>
    </w:p>
    <w:p>
      <w:pPr>
        <w:tabs>
          <w:tab w:pos="2484" w:val="right" w:leader="dot"/>
        </w:tabs>
        <w:spacing w:before="99"/>
        <w:ind w:left="0" w:right="484" w:firstLine="0"/>
        <w:jc w:val="center"/>
        <w:rPr>
          <w:rFonts w:ascii="Verdana" w:hAnsi="Verdana"/>
          <w:sz w:val="20"/>
        </w:rPr>
      </w:pPr>
      <w:r>
        <w:rPr>
          <w:rFonts w:ascii="Verdana" w:hAnsi="Verdana"/>
          <w:sz w:val="20"/>
        </w:rPr>
        <w:t>Ημερομηνία</w:t>
      </w:r>
      <w:r>
        <w:rPr>
          <w:rFonts w:ascii="Times New Roman" w:hAnsi="Times New Roman"/>
          <w:sz w:val="20"/>
        </w:rPr>
        <w:tab/>
      </w:r>
      <w:r>
        <w:rPr>
          <w:rFonts w:ascii="Verdana" w:hAnsi="Verdana"/>
          <w:sz w:val="20"/>
        </w:rPr>
        <w:t>20……</w:t>
      </w:r>
    </w:p>
    <w:p>
      <w:pPr>
        <w:spacing w:before="121"/>
        <w:ind w:left="0" w:right="564" w:firstLine="0"/>
        <w:jc w:val="center"/>
        <w:rPr>
          <w:rFonts w:ascii="Verdana" w:hAnsi="Verdana"/>
          <w:sz w:val="16"/>
        </w:rPr>
      </w:pPr>
      <w:r>
        <w:rPr>
          <w:rFonts w:ascii="Verdana" w:hAnsi="Verdana"/>
          <w:sz w:val="16"/>
        </w:rPr>
        <w:t>Για την επιχείρηση</w:t>
      </w:r>
    </w:p>
    <w:p>
      <w:pPr>
        <w:pStyle w:val="BodyText"/>
        <w:rPr>
          <w:rFonts w:ascii="Verdana"/>
          <w:sz w:val="20"/>
        </w:rPr>
      </w:pPr>
    </w:p>
    <w:p>
      <w:pPr>
        <w:pStyle w:val="BodyText"/>
        <w:spacing w:before="9"/>
        <w:rPr>
          <w:rFonts w:ascii="Verdana"/>
          <w:sz w:val="15"/>
        </w:rPr>
      </w:pPr>
    </w:p>
    <w:p>
      <w:pPr>
        <w:spacing w:before="0"/>
        <w:ind w:left="0" w:right="561" w:firstLine="0"/>
        <w:jc w:val="center"/>
        <w:rPr>
          <w:rFonts w:ascii="Verdana" w:hAnsi="Verdana"/>
          <w:sz w:val="16"/>
        </w:rPr>
      </w:pPr>
      <w:r>
        <w:rPr>
          <w:rFonts w:ascii="Verdana" w:hAnsi="Verdana"/>
          <w:sz w:val="16"/>
        </w:rPr>
        <w:t>-Ο-</w:t>
      </w:r>
    </w:p>
    <w:p>
      <w:pPr>
        <w:spacing w:before="120"/>
        <w:ind w:left="0" w:right="560" w:firstLine="0"/>
        <w:jc w:val="center"/>
        <w:rPr>
          <w:rFonts w:ascii="Verdana" w:hAnsi="Verdana"/>
          <w:sz w:val="16"/>
        </w:rPr>
      </w:pPr>
      <w:r>
        <w:rPr>
          <w:rFonts w:ascii="Verdana" w:hAnsi="Verdana"/>
          <w:sz w:val="16"/>
        </w:rPr>
        <w:t>Νόμιμος εκπρόσωπος</w:t>
      </w:r>
    </w:p>
    <w:p>
      <w:pPr>
        <w:spacing w:before="120"/>
        <w:ind w:left="0" w:right="565" w:firstLine="0"/>
        <w:jc w:val="center"/>
        <w:rPr>
          <w:rFonts w:ascii="Verdana" w:hAnsi="Verdana"/>
          <w:sz w:val="16"/>
        </w:rPr>
      </w:pPr>
      <w:r>
        <w:rPr>
          <w:rFonts w:ascii="Verdana" w:hAnsi="Verdana"/>
          <w:sz w:val="16"/>
        </w:rPr>
        <w:t>(σφραγίδα επιχείρησης, στοιχεία Νόμιμου εκπροσώπου, υπογραφή)</w:t>
      </w:r>
    </w:p>
    <w:p>
      <w:pPr>
        <w:pStyle w:val="BodyText"/>
        <w:rPr>
          <w:rFonts w:ascii="Verdana"/>
          <w:sz w:val="20"/>
        </w:rPr>
      </w:pPr>
    </w:p>
    <w:p>
      <w:pPr>
        <w:pStyle w:val="BodyText"/>
        <w:spacing w:before="9"/>
        <w:rPr>
          <w:rFonts w:ascii="Verdana"/>
          <w:sz w:val="15"/>
        </w:rPr>
      </w:pPr>
    </w:p>
    <w:p>
      <w:pPr>
        <w:pStyle w:val="ListParagraph"/>
        <w:numPr>
          <w:ilvl w:val="1"/>
          <w:numId w:val="83"/>
        </w:numPr>
        <w:tabs>
          <w:tab w:pos="785" w:val="left" w:leader="none"/>
        </w:tabs>
        <w:spacing w:line="240" w:lineRule="auto" w:before="0" w:after="0"/>
        <w:ind w:left="480" w:right="0" w:firstLine="0"/>
        <w:jc w:val="left"/>
        <w:rPr>
          <w:rFonts w:ascii="Verdana" w:hAnsi="Verdana"/>
          <w:sz w:val="16"/>
        </w:rPr>
      </w:pPr>
      <w:r>
        <w:rPr>
          <w:rFonts w:ascii="Verdana" w:hAnsi="Verdana"/>
          <w:sz w:val="16"/>
        </w:rPr>
        <w:t>Αναγράφεται από τον ενδιαφερόμενο πολίτη ή Αρχή ή η Υπηρεσία του δημόσιου τομέα, που απευθύνεται η</w:t>
      </w:r>
      <w:r>
        <w:rPr>
          <w:rFonts w:ascii="Verdana" w:hAnsi="Verdana"/>
          <w:spacing w:val="-39"/>
          <w:sz w:val="16"/>
        </w:rPr>
        <w:t> </w:t>
      </w:r>
      <w:r>
        <w:rPr>
          <w:rFonts w:ascii="Verdana" w:hAnsi="Verdana"/>
          <w:sz w:val="16"/>
        </w:rPr>
        <w:t>αίτηση.</w:t>
      </w:r>
    </w:p>
    <w:p>
      <w:pPr>
        <w:pStyle w:val="ListParagraph"/>
        <w:numPr>
          <w:ilvl w:val="1"/>
          <w:numId w:val="83"/>
        </w:numPr>
        <w:tabs>
          <w:tab w:pos="785" w:val="left" w:leader="none"/>
        </w:tabs>
        <w:spacing w:line="240" w:lineRule="auto" w:before="123" w:after="0"/>
        <w:ind w:left="784" w:right="0" w:hanging="304"/>
        <w:jc w:val="left"/>
        <w:rPr>
          <w:rFonts w:ascii="Verdana" w:hAnsi="Verdana"/>
          <w:sz w:val="16"/>
        </w:rPr>
      </w:pPr>
      <w:r>
        <w:rPr>
          <w:rFonts w:ascii="Verdana" w:hAnsi="Verdana"/>
          <w:sz w:val="16"/>
        </w:rPr>
        <w:t>Αναγράφεται</w:t>
      </w:r>
      <w:r>
        <w:rPr>
          <w:rFonts w:ascii="Verdana" w:hAnsi="Verdana"/>
          <w:spacing w:val="-6"/>
          <w:sz w:val="16"/>
        </w:rPr>
        <w:t> </w:t>
      </w:r>
      <w:r>
        <w:rPr>
          <w:rFonts w:ascii="Verdana" w:hAnsi="Verdana"/>
          <w:sz w:val="16"/>
        </w:rPr>
        <w:t>ολογράφως.</w:t>
      </w:r>
    </w:p>
    <w:p>
      <w:pPr>
        <w:pStyle w:val="ListParagraph"/>
        <w:numPr>
          <w:ilvl w:val="1"/>
          <w:numId w:val="83"/>
        </w:numPr>
        <w:tabs>
          <w:tab w:pos="785" w:val="left" w:leader="none"/>
        </w:tabs>
        <w:spacing w:line="240" w:lineRule="auto" w:before="120" w:after="0"/>
        <w:ind w:left="480" w:right="575" w:firstLine="0"/>
        <w:jc w:val="left"/>
        <w:rPr>
          <w:rFonts w:ascii="Verdana" w:hAnsi="Verdana"/>
          <w:sz w:val="16"/>
        </w:rPr>
      </w:pPr>
      <w:r>
        <w:rPr>
          <w:rFonts w:ascii="Verdana" w:hAnsi="Verdana"/>
          <w:sz w:val="16"/>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w:t>
      </w:r>
      <w:r>
        <w:rPr>
          <w:rFonts w:ascii="Verdana" w:hAnsi="Verdana"/>
          <w:spacing w:val="-7"/>
          <w:sz w:val="16"/>
        </w:rPr>
        <w:t> </w:t>
      </w:r>
      <w:r>
        <w:rPr>
          <w:rFonts w:ascii="Verdana" w:hAnsi="Verdana"/>
          <w:sz w:val="16"/>
        </w:rPr>
        <w:t>ετών.</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9"/>
        <w:rPr>
          <w:rFonts w:ascii="Verdana"/>
          <w:sz w:val="20"/>
        </w:rPr>
      </w:pPr>
    </w:p>
    <w:p>
      <w:pPr>
        <w:pStyle w:val="BodyText"/>
        <w:spacing w:before="56"/>
        <w:ind w:left="485" w:right="484"/>
        <w:jc w:val="center"/>
        <w:rPr>
          <w:b/>
        </w:rPr>
      </w:pPr>
      <w:r>
        <w:rPr/>
        <w:t>ΠΑΡΑΡΤΗΜΑ X - Σελίδα </w:t>
      </w:r>
      <w:r>
        <w:rPr>
          <w:b/>
        </w:rPr>
        <w:t>8 </w:t>
      </w:r>
      <w:r>
        <w:rPr/>
        <w:t>από </w:t>
      </w:r>
      <w:r>
        <w:rPr>
          <w:b/>
        </w:rPr>
        <w:t>8</w:t>
      </w:r>
    </w:p>
    <w:p>
      <w:pPr>
        <w:spacing w:after="0"/>
        <w:jc w:val="center"/>
        <w:sectPr>
          <w:headerReference w:type="default" r:id="rId99"/>
          <w:footerReference w:type="default" r:id="rId100"/>
          <w:pgSz w:w="11910" w:h="16840"/>
          <w:pgMar w:header="748" w:footer="0" w:top="1420" w:bottom="280" w:left="600" w:right="600"/>
        </w:sectPr>
      </w:pPr>
    </w:p>
    <w:p>
      <w:pPr>
        <w:pStyle w:val="BodyText"/>
        <w:rPr>
          <w:b/>
          <w:sz w:val="20"/>
        </w:rPr>
      </w:pPr>
    </w:p>
    <w:p>
      <w:pPr>
        <w:pStyle w:val="BodyText"/>
        <w:spacing w:before="3"/>
        <w:rPr>
          <w:b/>
          <w:sz w:val="17"/>
        </w:rPr>
      </w:pPr>
    </w:p>
    <w:p>
      <w:pPr>
        <w:pStyle w:val="Heading4"/>
        <w:spacing w:before="57"/>
        <w:jc w:val="left"/>
      </w:pPr>
      <w:r>
        <w:rPr/>
        <w:t>ΠΑΡΑΡΤΗΜΑ ΧI: ΑΠΑΙΤΟΥΜΕΝΑ ΔΙΚΑΙΟΛΟΓΗΤΙΚΑ ΓΙΑ ΤΗΝ ΚΑΤΑΒΟΛΗ ΤΗΣ ΕΠΙΧΟΡΗΓΗΣΗΣ</w:t>
      </w:r>
    </w:p>
    <w:p>
      <w:pPr>
        <w:pStyle w:val="BodyText"/>
        <w:rPr>
          <w:b/>
        </w:rPr>
      </w:pPr>
    </w:p>
    <w:p>
      <w:pPr>
        <w:pStyle w:val="BodyText"/>
        <w:rPr>
          <w:b/>
          <w:sz w:val="23"/>
        </w:rPr>
      </w:pPr>
    </w:p>
    <w:p>
      <w:pPr>
        <w:pStyle w:val="BodyText"/>
        <w:ind w:left="100"/>
      </w:pPr>
      <w:r>
        <w:rPr/>
        <w:t>Για την καταβολή της επιχορήγησης απαιτούνται:</w:t>
      </w:r>
    </w:p>
    <w:p>
      <w:pPr>
        <w:pStyle w:val="ListParagraph"/>
        <w:numPr>
          <w:ilvl w:val="0"/>
          <w:numId w:val="84"/>
        </w:numPr>
        <w:tabs>
          <w:tab w:pos="461" w:val="left" w:leader="none"/>
        </w:tabs>
        <w:spacing w:line="360" w:lineRule="auto" w:before="158" w:after="0"/>
        <w:ind w:left="460" w:right="365" w:hanging="360"/>
        <w:jc w:val="left"/>
        <w:rPr>
          <w:sz w:val="22"/>
        </w:rPr>
      </w:pPr>
      <w:r>
        <w:rPr>
          <w:sz w:val="22"/>
        </w:rPr>
        <w:t>Κατάσταση ενεργών δραστηριοτήτων (ΚΑΔ) της επιχείρησης μέσω της ιστοσελίδας gsis.gr (πρόσφατη εκτύπωση)</w:t>
      </w:r>
    </w:p>
    <w:p>
      <w:pPr>
        <w:pStyle w:val="ListParagraph"/>
        <w:numPr>
          <w:ilvl w:val="0"/>
          <w:numId w:val="84"/>
        </w:numPr>
        <w:tabs>
          <w:tab w:pos="461" w:val="left" w:leader="none"/>
        </w:tabs>
        <w:spacing w:line="240" w:lineRule="auto" w:before="0" w:after="0"/>
        <w:ind w:left="460" w:right="0" w:hanging="360"/>
        <w:jc w:val="left"/>
        <w:rPr>
          <w:sz w:val="22"/>
        </w:rPr>
      </w:pPr>
      <w:r>
        <w:rPr>
          <w:sz w:val="22"/>
        </w:rPr>
        <w:t>Tροποποιήσεις του καταστατικού σύστασης της εταιρίας, εφόσον έχουν</w:t>
      </w:r>
      <w:r>
        <w:rPr>
          <w:spacing w:val="-18"/>
          <w:sz w:val="22"/>
        </w:rPr>
        <w:t> </w:t>
      </w:r>
      <w:r>
        <w:rPr>
          <w:sz w:val="22"/>
        </w:rPr>
        <w:t>υπάρξει</w:t>
      </w:r>
    </w:p>
    <w:p>
      <w:pPr>
        <w:pStyle w:val="ListParagraph"/>
        <w:numPr>
          <w:ilvl w:val="0"/>
          <w:numId w:val="84"/>
        </w:numPr>
        <w:tabs>
          <w:tab w:pos="461" w:val="left" w:leader="none"/>
        </w:tabs>
        <w:spacing w:line="240" w:lineRule="auto" w:before="134" w:after="0"/>
        <w:ind w:left="460" w:right="0" w:hanging="360"/>
        <w:jc w:val="left"/>
        <w:rPr>
          <w:sz w:val="22"/>
        </w:rPr>
      </w:pPr>
      <w:r>
        <w:rPr>
          <w:sz w:val="22"/>
        </w:rPr>
        <w:t>Βεβαίωση περί μη περαιτέρω τροποποίησης του</w:t>
      </w:r>
      <w:r>
        <w:rPr>
          <w:spacing w:val="-6"/>
          <w:sz w:val="22"/>
        </w:rPr>
        <w:t> </w:t>
      </w:r>
      <w:r>
        <w:rPr>
          <w:sz w:val="22"/>
        </w:rPr>
        <w:t>καταστατικού</w:t>
      </w:r>
    </w:p>
    <w:p>
      <w:pPr>
        <w:pStyle w:val="ListParagraph"/>
        <w:numPr>
          <w:ilvl w:val="0"/>
          <w:numId w:val="84"/>
        </w:numPr>
        <w:tabs>
          <w:tab w:pos="461" w:val="left" w:leader="none"/>
        </w:tabs>
        <w:spacing w:line="360" w:lineRule="auto" w:before="135" w:after="0"/>
        <w:ind w:left="460" w:right="585" w:hanging="360"/>
        <w:jc w:val="left"/>
        <w:rPr>
          <w:sz w:val="22"/>
        </w:rPr>
      </w:pPr>
      <w:r>
        <w:rPr>
          <w:sz w:val="22"/>
        </w:rPr>
        <w:t>Αποδεικτικό φορολογικής ενημερότητας και Αποδεικτικό ασφαλιστικής ενημερότητας </w:t>
      </w:r>
      <w:r>
        <w:rPr>
          <w:b/>
          <w:sz w:val="22"/>
        </w:rPr>
        <w:t>ή </w:t>
      </w:r>
      <w:r>
        <w:rPr>
          <w:sz w:val="22"/>
        </w:rPr>
        <w:t>Βεβαίωση παρακράτησης (απόδοσης) φόρων και ασφαλιστικών</w:t>
      </w:r>
      <w:r>
        <w:rPr>
          <w:spacing w:val="-9"/>
          <w:sz w:val="22"/>
        </w:rPr>
        <w:t> </w:t>
      </w:r>
      <w:r>
        <w:rPr>
          <w:sz w:val="22"/>
        </w:rPr>
        <w:t>εισφορών</w:t>
      </w:r>
    </w:p>
    <w:p>
      <w:pPr>
        <w:pStyle w:val="ListParagraph"/>
        <w:numPr>
          <w:ilvl w:val="0"/>
          <w:numId w:val="84"/>
        </w:numPr>
        <w:tabs>
          <w:tab w:pos="461" w:val="left" w:leader="none"/>
        </w:tabs>
        <w:spacing w:line="360" w:lineRule="auto" w:before="0" w:after="0"/>
        <w:ind w:left="460" w:right="616" w:hanging="360"/>
        <w:jc w:val="left"/>
        <w:rPr>
          <w:sz w:val="22"/>
        </w:rPr>
      </w:pPr>
      <w:r>
        <w:rPr>
          <w:sz w:val="22"/>
        </w:rPr>
        <w:t>Πιστοποιητικά μη πτώχευσης και μη αίτησης για πτώχευση, μη θέσης σε εκκαθάριση, μη θέσης σε αναγκαστική</w:t>
      </w:r>
      <w:r>
        <w:rPr>
          <w:spacing w:val="2"/>
          <w:sz w:val="22"/>
        </w:rPr>
        <w:t> </w:t>
      </w:r>
      <w:r>
        <w:rPr>
          <w:sz w:val="22"/>
        </w:rPr>
        <w:t>διαχείριση</w:t>
      </w:r>
    </w:p>
    <w:p>
      <w:pPr>
        <w:pStyle w:val="ListParagraph"/>
        <w:numPr>
          <w:ilvl w:val="0"/>
          <w:numId w:val="84"/>
        </w:numPr>
        <w:tabs>
          <w:tab w:pos="461" w:val="left" w:leader="none"/>
        </w:tabs>
        <w:spacing w:line="360" w:lineRule="auto" w:before="0" w:after="0"/>
        <w:ind w:left="460" w:right="118" w:hanging="360"/>
        <w:jc w:val="left"/>
        <w:rPr>
          <w:sz w:val="22"/>
        </w:rPr>
      </w:pPr>
      <w:r>
        <w:rPr>
          <w:sz w:val="22"/>
        </w:rPr>
        <w:t>Σύμβαση εκχώρησης επιχορήγησης έναντι δανείου και βεβαίωση εκταμίευσης αυτού, εφόσον έχει γίνει εκχώρηση</w:t>
      </w:r>
    </w:p>
    <w:p>
      <w:pPr>
        <w:pStyle w:val="ListParagraph"/>
        <w:numPr>
          <w:ilvl w:val="0"/>
          <w:numId w:val="84"/>
        </w:numPr>
        <w:tabs>
          <w:tab w:pos="461" w:val="left" w:leader="none"/>
        </w:tabs>
        <w:spacing w:line="360" w:lineRule="auto" w:before="0" w:after="0"/>
        <w:ind w:left="460" w:right="116" w:hanging="360"/>
        <w:jc w:val="left"/>
        <w:rPr>
          <w:sz w:val="22"/>
        </w:rPr>
      </w:pPr>
      <w:r>
        <w:rPr>
          <w:sz w:val="22"/>
        </w:rPr>
        <w:t>Υπεύθυνη Δήλωση νομίμου εκπροσώπου με γνήσιο υπογραφής όπου δηλώνεται ότι δεν έχει εκχωρηθεί η επιχορήγηση, εφόσον δεν έχει γίνει</w:t>
      </w:r>
      <w:r>
        <w:rPr>
          <w:spacing w:val="-5"/>
          <w:sz w:val="22"/>
        </w:rPr>
        <w:t> </w:t>
      </w:r>
      <w:r>
        <w:rPr>
          <w:sz w:val="22"/>
        </w:rPr>
        <w:t>εκχώρηση.</w:t>
      </w:r>
    </w:p>
    <w:p>
      <w:pPr>
        <w:pStyle w:val="ListParagraph"/>
        <w:numPr>
          <w:ilvl w:val="0"/>
          <w:numId w:val="84"/>
        </w:numPr>
        <w:tabs>
          <w:tab w:pos="461" w:val="left" w:leader="none"/>
        </w:tabs>
        <w:spacing w:line="267" w:lineRule="exact" w:before="0" w:after="0"/>
        <w:ind w:left="460" w:right="0" w:hanging="360"/>
        <w:jc w:val="left"/>
        <w:rPr>
          <w:sz w:val="22"/>
        </w:rPr>
      </w:pPr>
      <w:r>
        <w:rPr>
          <w:sz w:val="22"/>
        </w:rPr>
        <w:t>Απόδειξη είσπραξης επιχορήγησης ή έγγραφο ισοδύναμης αποδεικτικής</w:t>
      </w:r>
      <w:r>
        <w:rPr>
          <w:spacing w:val="-14"/>
          <w:sz w:val="22"/>
        </w:rPr>
        <w:t> </w:t>
      </w:r>
      <w:r>
        <w:rPr>
          <w:sz w:val="22"/>
        </w:rPr>
        <w:t>αξίας</w:t>
      </w:r>
    </w:p>
    <w:p>
      <w:pPr>
        <w:pStyle w:val="BodyText"/>
      </w:pPr>
    </w:p>
    <w:p>
      <w:pPr>
        <w:pStyle w:val="BodyText"/>
        <w:spacing w:before="2"/>
        <w:rPr>
          <w:sz w:val="24"/>
        </w:rPr>
      </w:pPr>
    </w:p>
    <w:p>
      <w:pPr>
        <w:spacing w:line="276" w:lineRule="auto" w:before="0"/>
        <w:ind w:left="100" w:right="1046" w:firstLine="0"/>
        <w:jc w:val="left"/>
        <w:rPr>
          <w:b/>
          <w:sz w:val="22"/>
        </w:rPr>
      </w:pPr>
      <w:r>
        <w:rPr>
          <w:sz w:val="22"/>
        </w:rPr>
        <w:t>Στην περίπτωση καταβολής </w:t>
      </w:r>
      <w:r>
        <w:rPr>
          <w:b/>
          <w:sz w:val="22"/>
        </w:rPr>
        <w:t>προκαταβολής</w:t>
      </w:r>
      <w:r>
        <w:rPr>
          <w:sz w:val="22"/>
        </w:rPr>
        <w:t>, πέραν των ανωτέρω απαιτείται η υποβολή </w:t>
      </w:r>
      <w:r>
        <w:rPr>
          <w:b/>
          <w:sz w:val="22"/>
        </w:rPr>
        <w:t>ισόποσης Εγγυητικής Επιστολής.</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8"/>
        </w:rPr>
      </w:pPr>
    </w:p>
    <w:p>
      <w:pPr>
        <w:pStyle w:val="BodyText"/>
        <w:spacing w:before="56"/>
        <w:ind w:left="3505" w:right="3482"/>
        <w:jc w:val="center"/>
        <w:rPr>
          <w:b/>
        </w:rPr>
      </w:pPr>
      <w:r>
        <w:rPr/>
        <w:t>ΠΑΡΑΡΤΗΜΑ ΧI - Σελίδα </w:t>
      </w:r>
      <w:r>
        <w:rPr>
          <w:b/>
        </w:rPr>
        <w:t>1 </w:t>
      </w:r>
      <w:r>
        <w:rPr/>
        <w:t>από </w:t>
      </w:r>
      <w:r>
        <w:rPr>
          <w:b/>
        </w:rPr>
        <w:t>1</w:t>
      </w:r>
    </w:p>
    <w:p>
      <w:pPr>
        <w:spacing w:after="0"/>
        <w:jc w:val="center"/>
        <w:sectPr>
          <w:headerReference w:type="default" r:id="rId101"/>
          <w:footerReference w:type="default" r:id="rId102"/>
          <w:pgSz w:w="11910" w:h="16840"/>
          <w:pgMar w:header="748" w:footer="0" w:top="1420" w:bottom="280" w:left="980" w:right="1000"/>
        </w:sectPr>
      </w:pPr>
    </w:p>
    <w:p>
      <w:pPr>
        <w:pStyle w:val="BodyText"/>
        <w:rPr>
          <w:b/>
          <w:sz w:val="20"/>
        </w:rPr>
      </w:pPr>
    </w:p>
    <w:p>
      <w:pPr>
        <w:pStyle w:val="BodyText"/>
        <w:spacing w:before="6"/>
        <w:rPr>
          <w:b/>
          <w:sz w:val="17"/>
        </w:rPr>
      </w:pPr>
    </w:p>
    <w:p>
      <w:pPr>
        <w:spacing w:before="54"/>
        <w:ind w:left="240" w:right="0" w:firstLine="0"/>
        <w:jc w:val="left"/>
        <w:rPr>
          <w:b/>
          <w:sz w:val="23"/>
        </w:rPr>
      </w:pPr>
      <w:r>
        <w:rPr>
          <w:b/>
          <w:sz w:val="22"/>
        </w:rPr>
        <w:t>ΠΑΡΑΡΤΗΜΑ XII: </w:t>
      </w:r>
      <w:r>
        <w:rPr>
          <w:b/>
          <w:sz w:val="23"/>
        </w:rPr>
        <w:t>ΠΡΟΣΒΑΣΙΜΟΤΗΤΑ ΑΜΕΑ</w:t>
      </w:r>
    </w:p>
    <w:p>
      <w:pPr>
        <w:pStyle w:val="BodyText"/>
        <w:spacing w:before="10"/>
        <w:rPr>
          <w:b/>
          <w:sz w:val="32"/>
        </w:rPr>
      </w:pPr>
    </w:p>
    <w:p>
      <w:pPr>
        <w:pStyle w:val="Heading4"/>
        <w:ind w:left="2242" w:right="2242"/>
        <w:jc w:val="center"/>
      </w:pPr>
      <w:r>
        <w:rPr/>
        <w:t>για την εξειδίκευση του κριτηρίου αξιολόγησης</w:t>
      </w:r>
    </w:p>
    <w:p>
      <w:pPr>
        <w:spacing w:before="0"/>
        <w:ind w:left="2242" w:right="2242" w:firstLine="0"/>
        <w:jc w:val="center"/>
        <w:rPr>
          <w:b/>
          <w:sz w:val="22"/>
        </w:rPr>
      </w:pPr>
      <w:r>
        <w:rPr>
          <w:b/>
          <w:sz w:val="22"/>
        </w:rPr>
        <w:t>«Εξασφάλιση της προσβασιμότητας στα άτομα με αναπηρία»</w:t>
      </w:r>
    </w:p>
    <w:p>
      <w:pPr>
        <w:pStyle w:val="BodyText"/>
        <w:spacing w:before="1"/>
        <w:rPr>
          <w:b/>
          <w:sz w:val="31"/>
        </w:rPr>
      </w:pPr>
    </w:p>
    <w:p>
      <w:pPr>
        <w:spacing w:before="0"/>
        <w:ind w:left="240" w:right="248" w:firstLine="950"/>
        <w:jc w:val="left"/>
        <w:rPr>
          <w:i/>
          <w:sz w:val="22"/>
        </w:rPr>
      </w:pPr>
      <w:r>
        <w:rPr/>
        <w:pict>
          <v:group style="position:absolute;margin-left:47.869999pt;margin-top:-1.656397pt;width:499.7pt;height:585.4pt;mso-position-horizontal-relative:page;mso-position-vertical-relative:paragraph;z-index:-267880" coordorigin="957,-33" coordsize="9994,11708">
            <v:line style="position:absolute" from="972,-23" to="10936,-23" stroked="true" strokeweight=".48pt" strokecolor="#000000">
              <v:stroke dashstyle="solid"/>
            </v:line>
            <v:line style="position:absolute" from="962,11669" to="972,11669" stroked="true" strokeweight=".47998pt" strokecolor="#000000">
              <v:stroke dashstyle="solid"/>
            </v:line>
            <v:line style="position:absolute" from="962,11669" to="972,11669" stroked="true" strokeweight=".47998pt" strokecolor="#000000">
              <v:stroke dashstyle="solid"/>
            </v:line>
            <v:line style="position:absolute" from="972,11669" to="10936,11669" stroked="true" strokeweight=".47998pt" strokecolor="#000000">
              <v:stroke dashstyle="solid"/>
            </v:line>
            <v:line style="position:absolute" from="10936,11669" to="10946,11669" stroked="true" strokeweight=".47998pt" strokecolor="#000000">
              <v:stroke dashstyle="solid"/>
            </v:line>
            <v:line style="position:absolute" from="10936,11669" to="10946,11669" stroked="true" strokeweight=".47998pt" strokecolor="#000000">
              <v:stroke dashstyle="solid"/>
            </v:line>
            <v:line style="position:absolute" from="967,-28" to="967,11664" stroked="true" strokeweight=".48pt" strokecolor="#000000">
              <v:stroke dashstyle="solid"/>
            </v:line>
            <v:line style="position:absolute" from="10941,-28" to="10941,11664" stroked="true" strokeweight=".48004pt" strokecolor="#000000">
              <v:stroke dashstyle="solid"/>
            </v:line>
            <w10:wrap type="none"/>
          </v:group>
        </w:pict>
      </w:r>
      <w:r>
        <w:rPr>
          <w:b/>
          <w:sz w:val="22"/>
        </w:rPr>
        <w:t>Τήρηση των κανόνων για την εξασφάλιση προσβασιμότητας στα άτομα με αναπηρία </w:t>
      </w:r>
      <w:r>
        <w:rPr>
          <w:i/>
          <w:sz w:val="22"/>
        </w:rPr>
        <w:t>Εξετάζεται ο τρόπος με τον οποίο η Πράξη (Πρόταση) ικανοποιεί τις απαιτήσεις προσβασιμότητας και τους </w:t>
      </w:r>
      <w:r>
        <w:rPr>
          <w:i/>
          <w:sz w:val="22"/>
        </w:rPr>
        <w:t>κανόνες ασφαλείας για όλες τις κατηγορίες</w:t>
      </w:r>
      <w:r>
        <w:rPr>
          <w:i/>
          <w:spacing w:val="-5"/>
          <w:sz w:val="22"/>
        </w:rPr>
        <w:t> </w:t>
      </w:r>
      <w:r>
        <w:rPr>
          <w:i/>
          <w:sz w:val="22"/>
        </w:rPr>
        <w:t>ΑμεΑ.</w:t>
      </w:r>
    </w:p>
    <w:p>
      <w:pPr>
        <w:pStyle w:val="Heading4"/>
        <w:ind w:left="240" w:right="248"/>
        <w:jc w:val="left"/>
      </w:pPr>
      <w:r>
        <w:rPr/>
        <w:t>Σημειώνεται ότι, ανάλογα με το είδος και τη φύση της πρόσκλησης και της προτεινόμενης Πράξης, οι κάτωθι  περιπτώσεις (Α΄ έως και ΣΤ΄) δύνανται να εφαρμόζονται συνδυαστικά.</w:t>
      </w:r>
    </w:p>
    <w:p>
      <w:pPr>
        <w:pStyle w:val="BodyText"/>
        <w:spacing w:before="1"/>
        <w:rPr>
          <w:b/>
        </w:rPr>
      </w:pPr>
    </w:p>
    <w:p>
      <w:pPr>
        <w:pStyle w:val="BodyText"/>
        <w:ind w:left="240"/>
      </w:pPr>
      <w:r>
        <w:rPr>
          <w:u w:val="single"/>
        </w:rPr>
        <w:t>(Α) Πρόσβαση στο φυσικό περιβάλλον και τους εξωτερικούς χώρους συμπεριλαμβ. αρχαιολογικών χώρων, παραλιών, χώρων πρασίνου, αλσών κ.λπ.</w:t>
      </w:r>
    </w:p>
    <w:p>
      <w:pPr>
        <w:pStyle w:val="ListParagraph"/>
        <w:numPr>
          <w:ilvl w:val="1"/>
          <w:numId w:val="84"/>
        </w:numPr>
        <w:tabs>
          <w:tab w:pos="599" w:val="left" w:leader="none"/>
        </w:tabs>
        <w:spacing w:line="240" w:lineRule="auto" w:before="0" w:after="0"/>
        <w:ind w:left="598" w:right="238" w:hanging="358"/>
        <w:jc w:val="left"/>
        <w:rPr>
          <w:sz w:val="22"/>
        </w:rPr>
      </w:pPr>
      <w:r>
        <w:rPr>
          <w:sz w:val="22"/>
        </w:rPr>
        <w:t>πρόβλεψη οριζόντιας ή/και κατακόρυφης προσβασιμότητας (π.χ. προσβάσιμες διαδρομές, ‘οδηγοί τυφλών’, ράμπες/’σκάφες’, αναβατόρια</w:t>
      </w:r>
      <w:r>
        <w:rPr>
          <w:spacing w:val="-8"/>
          <w:sz w:val="22"/>
        </w:rPr>
        <w:t> </w:t>
      </w:r>
      <w:r>
        <w:rPr>
          <w:sz w:val="22"/>
        </w:rPr>
        <w:t>κ.λπ.)</w:t>
      </w:r>
    </w:p>
    <w:p>
      <w:pPr>
        <w:pStyle w:val="ListParagraph"/>
        <w:numPr>
          <w:ilvl w:val="1"/>
          <w:numId w:val="84"/>
        </w:numPr>
        <w:tabs>
          <w:tab w:pos="599" w:val="left" w:leader="none"/>
        </w:tabs>
        <w:spacing w:line="240" w:lineRule="auto" w:before="120" w:after="0"/>
        <w:ind w:left="598" w:right="239" w:hanging="358"/>
        <w:jc w:val="left"/>
        <w:rPr>
          <w:sz w:val="22"/>
        </w:rPr>
      </w:pPr>
      <w:r>
        <w:rPr>
          <w:sz w:val="22"/>
        </w:rPr>
        <w:t>πρόβλεψη προσβάσιμων εξοπλισμών για χρήση κοινού (π.χ. παιδικές χαρές, καθιστικά, εξοπλισμοί παραλιών, αποδυτήρια, χώροι υγιεινής, παρατηρητήρια πουλιών</w:t>
      </w:r>
      <w:r>
        <w:rPr>
          <w:spacing w:val="-12"/>
          <w:sz w:val="22"/>
        </w:rPr>
        <w:t> </w:t>
      </w:r>
      <w:r>
        <w:rPr>
          <w:sz w:val="22"/>
        </w:rPr>
        <w:t>κ.λπ.)</w:t>
      </w:r>
    </w:p>
    <w:p>
      <w:pPr>
        <w:pStyle w:val="ListParagraph"/>
        <w:numPr>
          <w:ilvl w:val="1"/>
          <w:numId w:val="84"/>
        </w:numPr>
        <w:tabs>
          <w:tab w:pos="599" w:val="left" w:leader="none"/>
        </w:tabs>
        <w:spacing w:line="267" w:lineRule="exact" w:before="120" w:after="0"/>
        <w:ind w:left="598" w:right="0" w:hanging="358"/>
        <w:jc w:val="left"/>
        <w:rPr>
          <w:sz w:val="22"/>
        </w:rPr>
      </w:pPr>
      <w:r>
        <w:rPr>
          <w:sz w:val="22"/>
        </w:rPr>
        <w:t>πρόβλεψη σήμανσης σε προσβάσιμες μορφές (έντονο κοντράστ-μεγάλοι χαρακτήρες, εικονίδια, </w:t>
      </w:r>
      <w:r>
        <w:rPr>
          <w:spacing w:val="14"/>
          <w:sz w:val="22"/>
        </w:rPr>
        <w:t> </w:t>
      </w:r>
      <w:r>
        <w:rPr>
          <w:sz w:val="22"/>
        </w:rPr>
        <w:t>γραφή</w:t>
      </w:r>
    </w:p>
    <w:p>
      <w:pPr>
        <w:pStyle w:val="BodyText"/>
        <w:spacing w:line="267" w:lineRule="exact"/>
        <w:ind w:left="598"/>
      </w:pPr>
      <w:r>
        <w:rPr/>
        <w:t>Braille, ηχητική και οπτική σήμανση κ.λπ.)</w:t>
      </w:r>
    </w:p>
    <w:p>
      <w:pPr>
        <w:pStyle w:val="BodyText"/>
        <w:spacing w:before="120"/>
        <w:ind w:left="240"/>
      </w:pPr>
      <w:r>
        <w:rPr>
          <w:u w:val="single"/>
        </w:rPr>
        <w:t>(Β) Πρόσβαση στις κτιριακές υποδομές και υπαίθριους  χώρους οικοπέδων</w:t>
      </w:r>
    </w:p>
    <w:p>
      <w:pPr>
        <w:pStyle w:val="ListParagraph"/>
        <w:numPr>
          <w:ilvl w:val="0"/>
          <w:numId w:val="85"/>
        </w:numPr>
        <w:tabs>
          <w:tab w:pos="668" w:val="left" w:leader="none"/>
        </w:tabs>
        <w:spacing w:line="240" w:lineRule="auto" w:before="0" w:after="0"/>
        <w:ind w:left="667" w:right="233" w:hanging="427"/>
        <w:jc w:val="both"/>
        <w:rPr>
          <w:sz w:val="22"/>
        </w:rPr>
      </w:pPr>
      <w:r>
        <w:rPr>
          <w:sz w:val="22"/>
        </w:rPr>
        <w:t>πρόβλεψη οριζόντιας προσβασιμότητας (σύνδεση πεζοδρομίου με είσοδο, προσβάσιμη είσοδος, προσβασιμότητα εσωτερικών χώρων, διαδρομές ισόπεδες ή με ράμπες, ικανοποιητικό άνοιγμα θυρών, ικανοποιητικό πλάτος διαδρόμων</w:t>
      </w:r>
      <w:r>
        <w:rPr>
          <w:spacing w:val="-8"/>
          <w:sz w:val="22"/>
        </w:rPr>
        <w:t> </w:t>
      </w:r>
      <w:r>
        <w:rPr>
          <w:sz w:val="22"/>
        </w:rPr>
        <w:t>κ.λπ.)</w:t>
      </w:r>
    </w:p>
    <w:p>
      <w:pPr>
        <w:pStyle w:val="ListParagraph"/>
        <w:numPr>
          <w:ilvl w:val="0"/>
          <w:numId w:val="85"/>
        </w:numPr>
        <w:tabs>
          <w:tab w:pos="535" w:val="left" w:leader="none"/>
        </w:tabs>
        <w:spacing w:line="240" w:lineRule="auto" w:before="0" w:after="0"/>
        <w:ind w:left="535" w:right="0" w:hanging="295"/>
        <w:jc w:val="left"/>
        <w:rPr>
          <w:sz w:val="22"/>
        </w:rPr>
      </w:pPr>
      <w:r>
        <w:rPr>
          <w:sz w:val="22"/>
        </w:rPr>
        <w:t>πρόβλεψη κατακόρυφης προσβασιμότητας (ανελκυστήρας/ αναβατόριο, κλιμακοστάσιο</w:t>
      </w:r>
      <w:r>
        <w:rPr>
          <w:spacing w:val="-19"/>
          <w:sz w:val="22"/>
        </w:rPr>
        <w:t> </w:t>
      </w:r>
      <w:r>
        <w:rPr>
          <w:sz w:val="22"/>
        </w:rPr>
        <w:t>κ.λπ.)</w:t>
      </w:r>
    </w:p>
    <w:p>
      <w:pPr>
        <w:pStyle w:val="ListParagraph"/>
        <w:numPr>
          <w:ilvl w:val="0"/>
          <w:numId w:val="85"/>
        </w:numPr>
        <w:tabs>
          <w:tab w:pos="535" w:val="left" w:leader="none"/>
        </w:tabs>
        <w:spacing w:line="240" w:lineRule="auto" w:before="0" w:after="0"/>
        <w:ind w:left="535" w:right="0" w:hanging="295"/>
        <w:jc w:val="left"/>
        <w:rPr>
          <w:sz w:val="22"/>
        </w:rPr>
      </w:pPr>
      <w:r>
        <w:rPr>
          <w:sz w:val="22"/>
        </w:rPr>
        <w:t>πρόβλεψη προσβάσιμων χώρων</w:t>
      </w:r>
      <w:r>
        <w:rPr>
          <w:spacing w:val="-3"/>
          <w:sz w:val="22"/>
        </w:rPr>
        <w:t> </w:t>
      </w:r>
      <w:r>
        <w:rPr>
          <w:sz w:val="22"/>
        </w:rPr>
        <w:t>υγιεινής</w:t>
      </w:r>
    </w:p>
    <w:p>
      <w:pPr>
        <w:pStyle w:val="ListParagraph"/>
        <w:numPr>
          <w:ilvl w:val="0"/>
          <w:numId w:val="85"/>
        </w:numPr>
        <w:tabs>
          <w:tab w:pos="668" w:val="left" w:leader="none"/>
        </w:tabs>
        <w:spacing w:line="240" w:lineRule="auto" w:before="0" w:after="0"/>
        <w:ind w:left="667" w:right="0" w:hanging="427"/>
        <w:jc w:val="left"/>
        <w:rPr>
          <w:sz w:val="22"/>
        </w:rPr>
      </w:pPr>
      <w:r>
        <w:rPr>
          <w:sz w:val="22"/>
        </w:rPr>
        <w:t>πρόβλεψη χώρων αναμονής σε περίπτωση</w:t>
      </w:r>
      <w:r>
        <w:rPr>
          <w:spacing w:val="-11"/>
          <w:sz w:val="22"/>
        </w:rPr>
        <w:t> </w:t>
      </w:r>
      <w:r>
        <w:rPr>
          <w:sz w:val="22"/>
        </w:rPr>
        <w:t>κινδύνου</w:t>
      </w:r>
    </w:p>
    <w:p>
      <w:pPr>
        <w:pStyle w:val="ListParagraph"/>
        <w:numPr>
          <w:ilvl w:val="0"/>
          <w:numId w:val="85"/>
        </w:numPr>
        <w:tabs>
          <w:tab w:pos="668" w:val="left" w:leader="none"/>
        </w:tabs>
        <w:spacing w:line="240" w:lineRule="auto" w:before="0" w:after="0"/>
        <w:ind w:left="667" w:right="0" w:hanging="427"/>
        <w:jc w:val="left"/>
        <w:rPr>
          <w:sz w:val="22"/>
        </w:rPr>
      </w:pPr>
      <w:r>
        <w:rPr>
          <w:sz w:val="22"/>
        </w:rPr>
        <w:t>πρόβλεψη σήμανσης σε προσβάσιμες μορφές (έντονο κοντράστ-μεγάλοι χαρακτήρες, εικονίδια,</w:t>
      </w:r>
      <w:r>
        <w:rPr>
          <w:spacing w:val="-3"/>
          <w:sz w:val="22"/>
        </w:rPr>
        <w:t> </w:t>
      </w:r>
      <w:r>
        <w:rPr>
          <w:sz w:val="22"/>
        </w:rPr>
        <w:t>γραφή</w:t>
      </w:r>
    </w:p>
    <w:p>
      <w:pPr>
        <w:pStyle w:val="BodyText"/>
        <w:spacing w:line="267" w:lineRule="exact"/>
        <w:ind w:left="667"/>
      </w:pPr>
      <w:r>
        <w:rPr/>
        <w:t>Braille, ηχητική και οπτική σήμανση κ.λπ.)</w:t>
      </w:r>
    </w:p>
    <w:p>
      <w:pPr>
        <w:pStyle w:val="ListParagraph"/>
        <w:numPr>
          <w:ilvl w:val="0"/>
          <w:numId w:val="85"/>
        </w:numPr>
        <w:tabs>
          <w:tab w:pos="535" w:val="left" w:leader="none"/>
        </w:tabs>
        <w:spacing w:line="240" w:lineRule="auto" w:before="0" w:after="0"/>
        <w:ind w:left="240" w:right="1143" w:firstLine="0"/>
        <w:jc w:val="left"/>
        <w:rPr>
          <w:sz w:val="22"/>
        </w:rPr>
      </w:pPr>
      <w:r>
        <w:rPr>
          <w:sz w:val="22"/>
        </w:rPr>
        <w:t>πρόβλεψη προσβάσιμων εξοπλισμών (χαμηλά γκισέ, προσβάσιμες οθόνες πληροφοριών κ.λπ.) </w:t>
      </w:r>
      <w:r>
        <w:rPr>
          <w:sz w:val="22"/>
          <w:u w:val="single"/>
        </w:rPr>
        <w:t>(Γ) Πρόσβαση στις</w:t>
      </w:r>
      <w:r>
        <w:rPr>
          <w:spacing w:val="-6"/>
          <w:sz w:val="22"/>
          <w:u w:val="single"/>
        </w:rPr>
        <w:t> </w:t>
      </w:r>
      <w:r>
        <w:rPr>
          <w:sz w:val="22"/>
          <w:u w:val="single"/>
        </w:rPr>
        <w:t>μεταφορές</w:t>
      </w:r>
    </w:p>
    <w:p>
      <w:pPr>
        <w:pStyle w:val="ListParagraph"/>
        <w:numPr>
          <w:ilvl w:val="0"/>
          <w:numId w:val="86"/>
        </w:numPr>
        <w:tabs>
          <w:tab w:pos="557" w:val="left" w:leader="none"/>
        </w:tabs>
        <w:spacing w:line="240" w:lineRule="auto" w:before="0" w:after="0"/>
        <w:ind w:left="240" w:right="235" w:firstLine="0"/>
        <w:jc w:val="left"/>
        <w:rPr>
          <w:sz w:val="22"/>
        </w:rPr>
      </w:pPr>
      <w:r>
        <w:rPr>
          <w:sz w:val="22"/>
        </w:rPr>
        <w:t>πρόβλεψη προσβασιμότητας σταθμών/στάσεων επιβατών (</w:t>
      </w:r>
      <w:r>
        <w:rPr>
          <w:i/>
          <w:sz w:val="22"/>
        </w:rPr>
        <w:t>βλ. περίπτωση Β - “Πρόσβαση σε κτιριακές </w:t>
      </w:r>
      <w:r>
        <w:rPr>
          <w:i/>
          <w:sz w:val="22"/>
        </w:rPr>
        <w:t>υποδομές και υπαίθριους  χώρους</w:t>
      </w:r>
      <w:r>
        <w:rPr>
          <w:i/>
          <w:spacing w:val="-2"/>
          <w:sz w:val="22"/>
        </w:rPr>
        <w:t> </w:t>
      </w:r>
      <w:r>
        <w:rPr>
          <w:i/>
          <w:sz w:val="22"/>
        </w:rPr>
        <w:t>οικοπέδων”</w:t>
      </w:r>
      <w:r>
        <w:rPr>
          <w:sz w:val="22"/>
        </w:rPr>
        <w:t>)</w:t>
      </w:r>
    </w:p>
    <w:p>
      <w:pPr>
        <w:pStyle w:val="ListParagraph"/>
        <w:numPr>
          <w:ilvl w:val="0"/>
          <w:numId w:val="86"/>
        </w:numPr>
        <w:tabs>
          <w:tab w:pos="614" w:val="left" w:leader="none"/>
        </w:tabs>
        <w:spacing w:line="240" w:lineRule="auto" w:before="0" w:after="0"/>
        <w:ind w:left="240" w:right="238" w:firstLine="0"/>
        <w:jc w:val="both"/>
        <w:rPr>
          <w:sz w:val="22"/>
        </w:rPr>
      </w:pPr>
      <w:r>
        <w:rPr>
          <w:sz w:val="22"/>
        </w:rPr>
        <w:t>πρόβλεψη προσβασιμότητας οχημάτων/βαγονιών/πλοίων κ.λπ. (δυνατότητα εισόδου, δυνατότητα κίνησης και στάσης εντός, προσβάσιμοι χώροι υγιεινής, προσβάσιμοι θάλαμοι, προσβάσιμοι χώροι  εστίασης</w:t>
      </w:r>
      <w:r>
        <w:rPr>
          <w:spacing w:val="-2"/>
          <w:sz w:val="22"/>
        </w:rPr>
        <w:t> </w:t>
      </w:r>
      <w:r>
        <w:rPr>
          <w:sz w:val="22"/>
        </w:rPr>
        <w:t>κ.λπ.)</w:t>
      </w:r>
    </w:p>
    <w:p>
      <w:pPr>
        <w:pStyle w:val="ListParagraph"/>
        <w:numPr>
          <w:ilvl w:val="0"/>
          <w:numId w:val="86"/>
        </w:numPr>
        <w:tabs>
          <w:tab w:pos="677" w:val="left" w:leader="none"/>
        </w:tabs>
        <w:spacing w:line="240" w:lineRule="auto" w:before="0" w:after="0"/>
        <w:ind w:left="240" w:right="239" w:firstLine="0"/>
        <w:jc w:val="left"/>
        <w:rPr>
          <w:sz w:val="22"/>
        </w:rPr>
      </w:pPr>
      <w:r>
        <w:rPr>
          <w:sz w:val="22"/>
        </w:rPr>
        <w:t>πρόβλεψη προσβάσιμου εξοπλισμού (μηχανήματα έκδοσης εισιτηρίων, οπτική και ηχητική πληροφόρηση κοινού, τηλεματικές εφαρμογές, ιστοσελίδες</w:t>
      </w:r>
      <w:r>
        <w:rPr>
          <w:spacing w:val="-12"/>
          <w:sz w:val="22"/>
        </w:rPr>
        <w:t> </w:t>
      </w:r>
      <w:r>
        <w:rPr>
          <w:sz w:val="22"/>
        </w:rPr>
        <w:t>κ.λπ.)</w:t>
      </w:r>
    </w:p>
    <w:p>
      <w:pPr>
        <w:pStyle w:val="ListParagraph"/>
        <w:numPr>
          <w:ilvl w:val="0"/>
          <w:numId w:val="86"/>
        </w:numPr>
        <w:tabs>
          <w:tab w:pos="655" w:val="left" w:leader="none"/>
        </w:tabs>
        <w:spacing w:line="240" w:lineRule="auto" w:before="0" w:after="0"/>
        <w:ind w:left="240" w:right="242" w:firstLine="0"/>
        <w:jc w:val="left"/>
        <w:rPr>
          <w:sz w:val="22"/>
        </w:rPr>
      </w:pPr>
      <w:r>
        <w:rPr>
          <w:sz w:val="22"/>
        </w:rPr>
        <w:t>πρόβλεψη προσβάσιμων διαδικασιών (υπηρεσία εξυπηρέτησης ΑμεΑ και ατόμων μειωμένης κινητικότητας,      διαδικασίες      έκδοσης      εισιτηρίων,      διαδικασίες      εκτάκτων      αναγκών      κ.λπ.) </w:t>
      </w:r>
      <w:r>
        <w:rPr>
          <w:sz w:val="22"/>
          <w:u w:val="single"/>
        </w:rPr>
        <w:t>(Δ) Πρόσβαση στις</w:t>
      </w:r>
      <w:r>
        <w:rPr>
          <w:spacing w:val="-4"/>
          <w:sz w:val="22"/>
          <w:u w:val="single"/>
        </w:rPr>
        <w:t> </w:t>
      </w:r>
      <w:r>
        <w:rPr>
          <w:sz w:val="22"/>
          <w:u w:val="single"/>
        </w:rPr>
        <w:t>υπηρεσίες</w:t>
      </w:r>
    </w:p>
    <w:p>
      <w:pPr>
        <w:pStyle w:val="ListParagraph"/>
        <w:numPr>
          <w:ilvl w:val="0"/>
          <w:numId w:val="87"/>
        </w:numPr>
        <w:tabs>
          <w:tab w:pos="961" w:val="left" w:leader="none"/>
        </w:tabs>
        <w:spacing w:line="240" w:lineRule="auto" w:before="0" w:after="0"/>
        <w:ind w:left="240" w:right="237" w:firstLine="0"/>
        <w:jc w:val="both"/>
        <w:rPr>
          <w:sz w:val="22"/>
        </w:rPr>
      </w:pPr>
      <w:r>
        <w:rPr>
          <w:sz w:val="22"/>
        </w:rPr>
        <w:t>δυνατότητα χρήσης της υπηρεσίας αυτόνομα από άτομα με αναπηρία (π.χ. άτομα σε αναπηρικό αμαξίδιο ή, άτομα τυφλά ή κωφά ή με λοιπές αναπηρίες), πρόβλεψη εναλλακτικών τρόπων εξυπηρέτησης ατόμων με αναπηρία (π.χ. πρόβλεψη προσβάσιμων ετικετών σε προϊόντα, πρόβλεψη διάθεσης αναπηρικού αμαξιδίου για χρήση εντός της επιχείρησης από άτομα δυνάμενα να διανύσουν μικρές μόνο αποστάσεις, πρόβλεψη παραγγελίας μέσω προσβάσιμης ιστοσελίδας και παράδοσης εμπορευμάτων κατ’ οίκον, πρόβλεψη διαδικασίας παραπόνων μέσω SMS/ e-mail/ τηλέφωνου κ.λπ.) ή πρόβλεψη ‘ζωντανής βοήθειας και ενδιαμέσων’ (πχ. διερμηνείας στη νοηματική, συνοδείας τυφλών ατόμων</w:t>
      </w:r>
      <w:r>
        <w:rPr>
          <w:spacing w:val="-15"/>
          <w:sz w:val="22"/>
        </w:rPr>
        <w:t> </w:t>
      </w:r>
      <w:r>
        <w:rPr>
          <w:sz w:val="22"/>
        </w:rPr>
        <w:t>κ.λπ.)</w:t>
      </w:r>
    </w:p>
    <w:p>
      <w:pPr>
        <w:spacing w:after="0" w:line="240" w:lineRule="auto"/>
        <w:jc w:val="both"/>
        <w:rPr>
          <w:sz w:val="22"/>
        </w:rPr>
        <w:sectPr>
          <w:footerReference w:type="default" r:id="rId103"/>
          <w:pgSz w:w="11910" w:h="16840"/>
          <w:pgMar w:footer="734" w:header="748" w:top="1420" w:bottom="920" w:left="840" w:right="840"/>
          <w:pgNumType w:start="1"/>
        </w:sectPr>
      </w:pPr>
    </w:p>
    <w:p>
      <w:pPr>
        <w:pStyle w:val="BodyText"/>
        <w:spacing w:before="2"/>
        <w:rPr>
          <w:sz w:val="20"/>
        </w:rPr>
      </w:pPr>
    </w:p>
    <w:p>
      <w:pPr>
        <w:pStyle w:val="ListParagraph"/>
        <w:numPr>
          <w:ilvl w:val="0"/>
          <w:numId w:val="87"/>
        </w:numPr>
        <w:tabs>
          <w:tab w:pos="961" w:val="left" w:leader="none"/>
        </w:tabs>
        <w:spacing w:line="240" w:lineRule="auto" w:before="56" w:after="0"/>
        <w:ind w:left="240" w:right="237" w:firstLine="0"/>
        <w:jc w:val="both"/>
        <w:rPr>
          <w:sz w:val="22"/>
        </w:rPr>
      </w:pPr>
      <w:r>
        <w:rPr/>
        <w:pict>
          <v:group style="position:absolute;margin-left:47.869999pt;margin-top:1.14365pt;width:499.7pt;height:452.5pt;mso-position-horizontal-relative:page;mso-position-vertical-relative:paragraph;z-index:-267856" coordorigin="957,23" coordsize="9994,9050">
            <v:line style="position:absolute" from="972,33" to="10936,33" stroked="true" strokeweight=".48pt" strokecolor="#000000">
              <v:stroke dashstyle="solid"/>
            </v:line>
            <v:line style="position:absolute" from="967,28" to="967,983" stroked="true" strokeweight=".48pt" strokecolor="#000000">
              <v:stroke dashstyle="solid"/>
            </v:line>
            <v:line style="position:absolute" from="10941,28" to="10941,983" stroked="true" strokeweight=".48004pt" strokecolor="#000000">
              <v:stroke dashstyle="solid"/>
            </v:line>
            <v:line style="position:absolute" from="967,983" to="967,1252" stroked="true" strokeweight=".48pt" strokecolor="#000000">
              <v:stroke dashstyle="solid"/>
            </v:line>
            <v:line style="position:absolute" from="10941,983" to="10941,1252" stroked="true" strokeweight=".48004pt" strokecolor="#000000">
              <v:stroke dashstyle="solid"/>
            </v:line>
            <v:line style="position:absolute" from="967,1252" to="967,1521" stroked="true" strokeweight=".48pt" strokecolor="#000000">
              <v:stroke dashstyle="solid"/>
            </v:line>
            <v:line style="position:absolute" from="10941,1252" to="10941,1521" stroked="true" strokeweight=".48004pt" strokecolor="#000000">
              <v:stroke dashstyle="solid"/>
            </v:line>
            <v:line style="position:absolute" from="967,1521" to="967,1789" stroked="true" strokeweight=".48pt" strokecolor="#000000">
              <v:stroke dashstyle="solid"/>
            </v:line>
            <v:line style="position:absolute" from="10941,1521" to="10941,1789" stroked="true" strokeweight=".48004pt" strokecolor="#000000">
              <v:stroke dashstyle="solid"/>
            </v:line>
            <v:line style="position:absolute" from="967,1789" to="967,2058" stroked="true" strokeweight=".48pt" strokecolor="#000000">
              <v:stroke dashstyle="solid"/>
            </v:line>
            <v:line style="position:absolute" from="10941,1789" to="10941,2058" stroked="true" strokeweight=".48004pt" strokecolor="#000000">
              <v:stroke dashstyle="solid"/>
            </v:line>
            <v:line style="position:absolute" from="967,2058" to="967,2327" stroked="true" strokeweight=".48pt" strokecolor="#000000">
              <v:stroke dashstyle="solid"/>
            </v:line>
            <v:line style="position:absolute" from="10941,2058" to="10941,2327" stroked="true" strokeweight=".48004pt" strokecolor="#000000">
              <v:stroke dashstyle="solid"/>
            </v:line>
            <v:line style="position:absolute" from="967,2327" to="967,2596" stroked="true" strokeweight=".48pt" strokecolor="#000000">
              <v:stroke dashstyle="solid"/>
            </v:line>
            <v:line style="position:absolute" from="10941,2327" to="10941,2596" stroked="true" strokeweight=".48004pt" strokecolor="#000000">
              <v:stroke dashstyle="solid"/>
            </v:line>
            <v:line style="position:absolute" from="967,2596" to="967,2865" stroked="true" strokeweight=".48pt" strokecolor="#000000">
              <v:stroke dashstyle="solid"/>
            </v:line>
            <v:line style="position:absolute" from="10941,2596" to="10941,2865" stroked="true" strokeweight=".48004pt" strokecolor="#000000">
              <v:stroke dashstyle="solid"/>
            </v:line>
            <v:line style="position:absolute" from="967,2865" to="967,3131" stroked="true" strokeweight=".48pt" strokecolor="#000000">
              <v:stroke dashstyle="solid"/>
            </v:line>
            <v:line style="position:absolute" from="10941,2865" to="10941,3131" stroked="true" strokeweight=".48004pt" strokecolor="#000000">
              <v:stroke dashstyle="solid"/>
            </v:line>
            <v:line style="position:absolute" from="967,3131" to="967,3400" stroked="true" strokeweight=".48pt" strokecolor="#000000">
              <v:stroke dashstyle="solid"/>
            </v:line>
            <v:line style="position:absolute" from="10941,3131" to="10941,3400" stroked="true" strokeweight=".48004pt" strokecolor="#000000">
              <v:stroke dashstyle="solid"/>
            </v:line>
            <v:line style="position:absolute" from="967,3400" to="967,3669" stroked="true" strokeweight=".48pt" strokecolor="#000000">
              <v:stroke dashstyle="solid"/>
            </v:line>
            <v:line style="position:absolute" from="10941,3400" to="10941,3669" stroked="true" strokeweight=".48004pt" strokecolor="#000000">
              <v:stroke dashstyle="solid"/>
            </v:line>
            <v:line style="position:absolute" from="967,3669" to="967,3938" stroked="true" strokeweight=".48pt" strokecolor="#000000">
              <v:stroke dashstyle="solid"/>
            </v:line>
            <v:line style="position:absolute" from="10941,3669" to="10941,3938" stroked="true" strokeweight=".48004pt" strokecolor="#000000">
              <v:stroke dashstyle="solid"/>
            </v:line>
            <v:line style="position:absolute" from="967,3938" to="967,4207" stroked="true" strokeweight=".48pt" strokecolor="#000000">
              <v:stroke dashstyle="solid"/>
            </v:line>
            <v:line style="position:absolute" from="10941,3938" to="10941,4207" stroked="true" strokeweight=".48004pt" strokecolor="#000000">
              <v:stroke dashstyle="solid"/>
            </v:line>
            <v:line style="position:absolute" from="967,4207" to="967,4476" stroked="true" strokeweight=".48pt" strokecolor="#000000">
              <v:stroke dashstyle="solid"/>
            </v:line>
            <v:line style="position:absolute" from="10941,4207" to="10941,4476" stroked="true" strokeweight=".48004pt" strokecolor="#000000">
              <v:stroke dashstyle="solid"/>
            </v:line>
            <v:line style="position:absolute" from="967,4476" to="967,4744" stroked="true" strokeweight=".48pt" strokecolor="#000000">
              <v:stroke dashstyle="solid"/>
            </v:line>
            <v:line style="position:absolute" from="10941,4476" to="10941,4744" stroked="true" strokeweight=".48004pt" strokecolor="#000000">
              <v:stroke dashstyle="solid"/>
            </v:line>
            <v:line style="position:absolute" from="967,4744" to="967,5013" stroked="true" strokeweight=".48pt" strokecolor="#000000">
              <v:stroke dashstyle="solid"/>
            </v:line>
            <v:line style="position:absolute" from="10941,4744" to="10941,5013" stroked="true" strokeweight=".48004pt" strokecolor="#000000">
              <v:stroke dashstyle="solid"/>
            </v:line>
            <v:line style="position:absolute" from="967,5013" to="967,5282" stroked="true" strokeweight=".48pt" strokecolor="#000000">
              <v:stroke dashstyle="solid"/>
            </v:line>
            <v:line style="position:absolute" from="10941,5013" to="10941,5282" stroked="true" strokeweight=".48004pt" strokecolor="#000000">
              <v:stroke dashstyle="solid"/>
            </v:line>
            <v:line style="position:absolute" from="967,5282" to="967,5551" stroked="true" strokeweight=".48pt" strokecolor="#000000">
              <v:stroke dashstyle="solid"/>
            </v:line>
            <v:line style="position:absolute" from="10941,5282" to="10941,5551" stroked="true" strokeweight=".48004pt" strokecolor="#000000">
              <v:stroke dashstyle="solid"/>
            </v:line>
            <v:line style="position:absolute" from="967,5551" to="967,5817" stroked="true" strokeweight=".48pt" strokecolor="#000000">
              <v:stroke dashstyle="solid"/>
            </v:line>
            <v:line style="position:absolute" from="10941,5551" to="10941,5817" stroked="true" strokeweight=".48004pt" strokecolor="#000000">
              <v:stroke dashstyle="solid"/>
            </v:line>
            <v:line style="position:absolute" from="967,5817" to="967,6086" stroked="true" strokeweight=".48pt" strokecolor="#000000">
              <v:stroke dashstyle="solid"/>
            </v:line>
            <v:line style="position:absolute" from="10941,5817" to="10941,6086" stroked="true" strokeweight=".48004pt" strokecolor="#000000">
              <v:stroke dashstyle="solid"/>
            </v:line>
            <v:line style="position:absolute" from="967,6086" to="967,6355" stroked="true" strokeweight=".48pt" strokecolor="#000000">
              <v:stroke dashstyle="solid"/>
            </v:line>
            <v:line style="position:absolute" from="10941,6086" to="10941,6355" stroked="true" strokeweight=".48004pt" strokecolor="#000000">
              <v:stroke dashstyle="solid"/>
            </v:line>
            <v:line style="position:absolute" from="967,6355" to="967,6624" stroked="true" strokeweight=".48pt" strokecolor="#000000">
              <v:stroke dashstyle="solid"/>
            </v:line>
            <v:line style="position:absolute" from="10941,6355" to="10941,6624" stroked="true" strokeweight=".48004pt" strokecolor="#000000">
              <v:stroke dashstyle="solid"/>
            </v:line>
            <v:line style="position:absolute" from="967,6624" to="967,6893" stroked="true" strokeweight=".48pt" strokecolor="#000000">
              <v:stroke dashstyle="solid"/>
            </v:line>
            <v:line style="position:absolute" from="10941,6624" to="10941,6893" stroked="true" strokeweight=".48004pt" strokecolor="#000000">
              <v:stroke dashstyle="solid"/>
            </v:line>
            <v:line style="position:absolute" from="967,6893" to="967,7162" stroked="true" strokeweight=".48pt" strokecolor="#000000">
              <v:stroke dashstyle="solid"/>
            </v:line>
            <v:line style="position:absolute" from="10941,6893" to="10941,7162" stroked="true" strokeweight=".48004pt" strokecolor="#000000">
              <v:stroke dashstyle="solid"/>
            </v:line>
            <v:line style="position:absolute" from="967,7162" to="967,7430" stroked="true" strokeweight=".48pt" strokecolor="#000000">
              <v:stroke dashstyle="solid"/>
            </v:line>
            <v:line style="position:absolute" from="10941,7162" to="10941,7430" stroked="true" strokeweight=".48004pt" strokecolor="#000000">
              <v:stroke dashstyle="solid"/>
            </v:line>
            <v:line style="position:absolute" from="967,7430" to="967,7699" stroked="true" strokeweight=".48pt" strokecolor="#000000">
              <v:stroke dashstyle="solid"/>
            </v:line>
            <v:line style="position:absolute" from="10941,7430" to="10941,7699" stroked="true" strokeweight=".48004pt" strokecolor="#000000">
              <v:stroke dashstyle="solid"/>
            </v:line>
            <v:line style="position:absolute" from="967,7699" to="967,7968" stroked="true" strokeweight=".48pt" strokecolor="#000000">
              <v:stroke dashstyle="solid"/>
            </v:line>
            <v:line style="position:absolute" from="10941,7699" to="10941,7968" stroked="true" strokeweight=".48004pt" strokecolor="#000000">
              <v:stroke dashstyle="solid"/>
            </v:line>
            <v:line style="position:absolute" from="967,7968" to="967,8237" stroked="true" strokeweight=".48pt" strokecolor="#000000">
              <v:stroke dashstyle="solid"/>
            </v:line>
            <v:line style="position:absolute" from="10941,7968" to="10941,8237" stroked="true" strokeweight=".48004pt" strokecolor="#000000">
              <v:stroke dashstyle="solid"/>
            </v:line>
            <v:line style="position:absolute" from="967,8237" to="967,8503" stroked="true" strokeweight=".48pt" strokecolor="#000000">
              <v:stroke dashstyle="solid"/>
            </v:line>
            <v:line style="position:absolute" from="10941,8237" to="10941,8503" stroked="true" strokeweight=".48004pt" strokecolor="#000000">
              <v:stroke dashstyle="solid"/>
            </v:line>
            <v:line style="position:absolute" from="967,8503" to="967,8772" stroked="true" strokeweight=".48pt" strokecolor="#000000">
              <v:stroke dashstyle="solid"/>
            </v:line>
            <v:line style="position:absolute" from="10941,8503" to="10941,8772" stroked="true" strokeweight=".48004pt" strokecolor="#000000">
              <v:stroke dashstyle="solid"/>
            </v:line>
            <v:line style="position:absolute" from="962,9067" to="972,9067" stroked="true" strokeweight=".47998pt" strokecolor="#000000">
              <v:stroke dashstyle="solid"/>
            </v:line>
            <v:line style="position:absolute" from="962,9067" to="972,9067" stroked="true" strokeweight=".47998pt" strokecolor="#000000">
              <v:stroke dashstyle="solid"/>
            </v:line>
            <v:line style="position:absolute" from="972,9067" to="10936,9067" stroked="true" strokeweight=".47998pt" strokecolor="#000000">
              <v:stroke dashstyle="solid"/>
            </v:line>
            <v:line style="position:absolute" from="10936,9067" to="10946,9067" stroked="true" strokeweight=".47998pt" strokecolor="#000000">
              <v:stroke dashstyle="solid"/>
            </v:line>
            <v:line style="position:absolute" from="10936,9067" to="10946,9067" stroked="true" strokeweight=".47998pt" strokecolor="#000000">
              <v:stroke dashstyle="solid"/>
            </v:line>
            <v:line style="position:absolute" from="967,8772" to="967,9062" stroked="true" strokeweight=".48pt" strokecolor="#000000">
              <v:stroke dashstyle="solid"/>
            </v:line>
            <v:line style="position:absolute" from="10941,8772" to="10941,9062" stroked="true" strokeweight=".48004pt" strokecolor="#000000">
              <v:stroke dashstyle="solid"/>
            </v:line>
            <w10:wrap type="none"/>
          </v:group>
        </w:pict>
      </w:r>
      <w:r>
        <w:rPr>
          <w:sz w:val="22"/>
        </w:rPr>
        <w:t>πρόβλεψη προσβάσιμων, στα άτομα με αναπηρία [ως δυνητικά ωφελούμενων], διαδικασιών υποβολής αίτησης (π.χ. προσβάσιμο ηλεκτρονικό εργαλείο, εναλλακτικός τρόπος εξυπηρέτησης μέσω συγκεκριμένης υπηρεσίας</w:t>
      </w:r>
      <w:r>
        <w:rPr>
          <w:spacing w:val="-4"/>
          <w:sz w:val="22"/>
        </w:rPr>
        <w:t> </w:t>
      </w:r>
      <w:r>
        <w:rPr>
          <w:sz w:val="22"/>
        </w:rPr>
        <w:t>κ.λπ.).</w:t>
      </w:r>
    </w:p>
    <w:p>
      <w:pPr>
        <w:pStyle w:val="BodyText"/>
        <w:spacing w:before="120"/>
        <w:ind w:left="240"/>
        <w:jc w:val="both"/>
      </w:pPr>
      <w:r>
        <w:rPr>
          <w:u w:val="single"/>
        </w:rPr>
        <w:t>(Ε) Πρόσβαση στα ηλεκτρονικά περιβάλλοντα</w:t>
      </w:r>
    </w:p>
    <w:p>
      <w:pPr>
        <w:pStyle w:val="ListParagraph"/>
        <w:numPr>
          <w:ilvl w:val="0"/>
          <w:numId w:val="88"/>
        </w:numPr>
        <w:tabs>
          <w:tab w:pos="540" w:val="left" w:leader="none"/>
        </w:tabs>
        <w:spacing w:line="240" w:lineRule="auto" w:before="0" w:after="0"/>
        <w:ind w:left="240" w:right="234" w:firstLine="0"/>
        <w:jc w:val="both"/>
        <w:rPr>
          <w:sz w:val="22"/>
        </w:rPr>
      </w:pPr>
      <w:r>
        <w:rPr>
          <w:sz w:val="22"/>
        </w:rPr>
        <w:t>συμμόρφωση των διαδικτυακών τόπων και των διαδικτυακών εφαρμογών και υπηρεσιών με τις Οδηγίες για την Προσβασιμότητα του Περιεχομένου του Ιστού, έκδοση 2.0 (Web Content Accessibility Guidelines 2.0) του διεθνή oργανισμού World Wide Web Consortium (W3C), κατ’ ελάχιστο στο μεσαίο επίπεδο προσβασιμότητας “ΑΑ”, ενώ συνίσταται η συμμόρφωση στο ανώτατο επίπεδο προσβασιμότητας</w:t>
      </w:r>
      <w:r>
        <w:rPr>
          <w:spacing w:val="-21"/>
          <w:sz w:val="22"/>
        </w:rPr>
        <w:t> </w:t>
      </w:r>
      <w:r>
        <w:rPr>
          <w:sz w:val="22"/>
        </w:rPr>
        <w:t>“ΑΑΑ”</w:t>
      </w:r>
    </w:p>
    <w:p>
      <w:pPr>
        <w:pStyle w:val="ListParagraph"/>
        <w:numPr>
          <w:ilvl w:val="0"/>
          <w:numId w:val="88"/>
        </w:numPr>
        <w:tabs>
          <w:tab w:pos="540" w:val="left" w:leader="none"/>
        </w:tabs>
        <w:spacing w:line="240" w:lineRule="auto" w:before="0" w:after="0"/>
        <w:ind w:left="240" w:right="235" w:firstLine="0"/>
        <w:jc w:val="both"/>
        <w:rPr>
          <w:sz w:val="22"/>
        </w:rPr>
      </w:pPr>
      <w:r>
        <w:rPr>
          <w:sz w:val="22"/>
        </w:rPr>
        <w:t>στην περίπτωση διαδικτυακών τόπων ή των διαδικτυακών εφαρμογών και υπηρεσιών που προορίζονται για χρήση κυρίως μέσω κινητών και φορητών συσκευών (πχ. wearables, tablets, έξυπνα τηλέφωνα κ.λπ.) συνιστάται να λαμβάνονται υπόψη οι Βέλτιστες Πρακτικές για Χρήση Διαδικτυακού Περιεχομένου από Κινητές Συσκευές, έκδοση 1.0 (Mobile Web Best Practices 1.0) του</w:t>
      </w:r>
      <w:r>
        <w:rPr>
          <w:spacing w:val="-13"/>
          <w:sz w:val="22"/>
        </w:rPr>
        <w:t> </w:t>
      </w:r>
      <w:r>
        <w:rPr>
          <w:sz w:val="22"/>
        </w:rPr>
        <w:t>W3C</w:t>
      </w:r>
    </w:p>
    <w:p>
      <w:pPr>
        <w:pStyle w:val="ListParagraph"/>
        <w:numPr>
          <w:ilvl w:val="0"/>
          <w:numId w:val="88"/>
        </w:numPr>
        <w:tabs>
          <w:tab w:pos="569" w:val="left" w:leader="none"/>
        </w:tabs>
        <w:spacing w:line="240" w:lineRule="auto" w:before="0" w:after="0"/>
        <w:ind w:left="240" w:right="234" w:firstLine="0"/>
        <w:jc w:val="both"/>
        <w:rPr>
          <w:sz w:val="22"/>
        </w:rPr>
      </w:pPr>
      <w:r>
        <w:rPr>
          <w:sz w:val="22"/>
        </w:rPr>
        <w:t>σε περίπτωση λογισμικού user agents, δηλαδή λογισμικού που αναλαμβάνει να συλλέξει, εξάγει και διευκολύνει την αλληλεπίδραση του χρήστη με τα περιεχόμενα του Ιστού, συνιστάται να λαμβάνονται υπόψη οι Οδηγίες Προσβασιμότητας για User Agents, έκδοση 2.0 (User Agent Accessibility Guidelines 2.0) του</w:t>
      </w:r>
      <w:r>
        <w:rPr>
          <w:spacing w:val="-2"/>
          <w:sz w:val="22"/>
        </w:rPr>
        <w:t> </w:t>
      </w:r>
      <w:r>
        <w:rPr>
          <w:sz w:val="22"/>
        </w:rPr>
        <w:t>W3C</w:t>
      </w:r>
    </w:p>
    <w:p>
      <w:pPr>
        <w:pStyle w:val="ListParagraph"/>
        <w:numPr>
          <w:ilvl w:val="0"/>
          <w:numId w:val="88"/>
        </w:numPr>
        <w:tabs>
          <w:tab w:pos="559" w:val="left" w:leader="none"/>
        </w:tabs>
        <w:spacing w:line="240" w:lineRule="auto" w:before="0" w:after="0"/>
        <w:ind w:left="240" w:right="234" w:firstLine="0"/>
        <w:jc w:val="both"/>
        <w:rPr>
          <w:sz w:val="22"/>
        </w:rPr>
      </w:pPr>
      <w:r>
        <w:rPr>
          <w:sz w:val="22"/>
        </w:rPr>
        <w:t>σε περίπτωση εργαλείων συγγραφής και διαχείρισης περιεχομένου Ιστού, συνιστάται να λαμβάνονται υπόψη οι Οδηγίες Προσβασιμότητας για Εργαλεία Συγγραφής, έκδοση 2.0 (Authoring Tool Accessibility Guidelines 2.0) του</w:t>
      </w:r>
      <w:r>
        <w:rPr>
          <w:spacing w:val="-6"/>
          <w:sz w:val="22"/>
        </w:rPr>
        <w:t> </w:t>
      </w:r>
      <w:r>
        <w:rPr>
          <w:sz w:val="22"/>
        </w:rPr>
        <w:t>W3C</w:t>
      </w:r>
    </w:p>
    <w:p>
      <w:pPr>
        <w:pStyle w:val="ListParagraph"/>
        <w:numPr>
          <w:ilvl w:val="0"/>
          <w:numId w:val="88"/>
        </w:numPr>
        <w:tabs>
          <w:tab w:pos="562" w:val="left" w:leader="none"/>
        </w:tabs>
        <w:spacing w:line="240" w:lineRule="auto" w:before="0" w:after="0"/>
        <w:ind w:left="240" w:right="240" w:firstLine="0"/>
        <w:jc w:val="both"/>
        <w:rPr>
          <w:sz w:val="22"/>
        </w:rPr>
      </w:pPr>
      <w:r>
        <w:rPr>
          <w:sz w:val="22"/>
        </w:rPr>
        <w:t>σε περίπτωση τεχνολογικών λύσεων και προϊόντων που δεν εμπίπτουν στην κατηγορία διαδικτυακών τόπων ή διαδικτυακών εφαρμογών και υπηρεσιών (π.χ. αυτόματοι πωλητές, κιόσκια πληροφόρησης κ.λπ.) είναι απαραίτητη η σχεδίασή τους βάσει των αρχών του «Καθολικού</w:t>
      </w:r>
      <w:r>
        <w:rPr>
          <w:spacing w:val="-13"/>
          <w:sz w:val="22"/>
        </w:rPr>
        <w:t> </w:t>
      </w:r>
      <w:r>
        <w:rPr>
          <w:sz w:val="22"/>
        </w:rPr>
        <w:t>Σχεδιασμού»</w:t>
      </w:r>
    </w:p>
    <w:p>
      <w:pPr>
        <w:pStyle w:val="ListParagraph"/>
        <w:numPr>
          <w:ilvl w:val="0"/>
          <w:numId w:val="88"/>
        </w:numPr>
        <w:tabs>
          <w:tab w:pos="600" w:val="left" w:leader="none"/>
        </w:tabs>
        <w:spacing w:line="240" w:lineRule="auto" w:before="0" w:after="0"/>
        <w:ind w:left="240" w:right="241" w:firstLine="0"/>
        <w:jc w:val="left"/>
        <w:rPr>
          <w:sz w:val="22"/>
        </w:rPr>
      </w:pPr>
      <w:r>
        <w:rPr>
          <w:sz w:val="22"/>
        </w:rPr>
        <w:t>σε κάθε περίπτωση εξασφάλιση συμβατότητας των παρεχόμενων υπηρεσιών και συστημάτων με διαδεδομένες υποστηρικτικές τεχνολογίες και τεχνικά βοηθήματα που χρησιμοποιούν τα ΑμεΑ (π.χ. αναγνώστες    οθόνης,    ειδικοί    διακόπτες    και    συστήματα    αλληλεπίδρασης,    μεγεθυντές    οθόνης). </w:t>
      </w:r>
      <w:r>
        <w:rPr>
          <w:sz w:val="22"/>
          <w:u w:val="single"/>
        </w:rPr>
        <w:t>(ΣΤ) Πρόσβαση στην</w:t>
      </w:r>
      <w:r>
        <w:rPr>
          <w:spacing w:val="-4"/>
          <w:sz w:val="22"/>
          <w:u w:val="single"/>
        </w:rPr>
        <w:t> </w:t>
      </w:r>
      <w:r>
        <w:rPr>
          <w:sz w:val="22"/>
          <w:u w:val="single"/>
        </w:rPr>
        <w:t>πληροφορία-Πληροφόρηση</w:t>
      </w:r>
    </w:p>
    <w:p>
      <w:pPr>
        <w:pStyle w:val="ListParagraph"/>
        <w:numPr>
          <w:ilvl w:val="0"/>
          <w:numId w:val="89"/>
        </w:numPr>
        <w:tabs>
          <w:tab w:pos="629" w:val="left" w:leader="none"/>
        </w:tabs>
        <w:spacing w:line="240" w:lineRule="auto" w:before="0" w:after="0"/>
        <w:ind w:left="240" w:right="234" w:firstLine="0"/>
        <w:jc w:val="both"/>
        <w:rPr>
          <w:sz w:val="22"/>
        </w:rPr>
      </w:pPr>
      <w:r>
        <w:rPr>
          <w:sz w:val="22"/>
        </w:rPr>
        <w:t>πρόβλεψη προσβάσιμων μορφών διάδοσης πληροφορίας - πληροφόρησης (όπως προσβάσιμες ιστοσελίδες ως περίπτωση Ε- “Πρόσβαση στα ηλεκτρονικά περιβάλλοντα”, έντυπα σε γραφή Braille, έντυπα με μεγάλους χαρακτήρες, κασέτες ή CD, DVD με πρόβλεψη υπότιτλων, πρόβλεψη διερμηνείας στη νοηματική,</w:t>
      </w:r>
      <w:r>
        <w:rPr>
          <w:spacing w:val="48"/>
          <w:sz w:val="22"/>
        </w:rPr>
        <w:t> </w:t>
      </w:r>
      <w:r>
        <w:rPr>
          <w:sz w:val="22"/>
        </w:rPr>
        <w:t>κ.λπ.)</w:t>
      </w:r>
    </w:p>
    <w:p>
      <w:pPr>
        <w:pStyle w:val="ListParagraph"/>
        <w:numPr>
          <w:ilvl w:val="0"/>
          <w:numId w:val="89"/>
        </w:numPr>
        <w:tabs>
          <w:tab w:pos="650" w:val="left" w:leader="none"/>
        </w:tabs>
        <w:spacing w:line="240" w:lineRule="auto" w:before="0" w:after="0"/>
        <w:ind w:left="240" w:right="239" w:firstLine="0"/>
        <w:jc w:val="both"/>
        <w:rPr>
          <w:sz w:val="22"/>
        </w:rPr>
      </w:pPr>
      <w:r>
        <w:rPr>
          <w:sz w:val="22"/>
        </w:rPr>
        <w:t>πρόβλεψη προσβασιμότητας πάσης φύσεως εκδηλώσεων (πρόβλεψη προσβάσιμων κτιριακών υποδομών ως περίπτωση Β - “Πρόσβαση σε κτιριακές υποδομές και υπαίθριους χώρους οικοπέδων”, προσβάσιμων εντύπων και εξοπλισμού, διερμηνείας στη νοηματική</w:t>
      </w:r>
      <w:r>
        <w:rPr>
          <w:spacing w:val="-12"/>
          <w:sz w:val="22"/>
        </w:rPr>
        <w:t> </w:t>
      </w:r>
      <w:r>
        <w:rPr>
          <w:sz w:val="22"/>
        </w:rPr>
        <w:t>κ.λπ.)</w:t>
      </w:r>
    </w:p>
    <w:p>
      <w:pPr>
        <w:pStyle w:val="BodyText"/>
        <w:spacing w:before="5"/>
        <w:rPr>
          <w:sz w:val="19"/>
        </w:rPr>
      </w:pPr>
    </w:p>
    <w:p>
      <w:pPr>
        <w:pStyle w:val="Heading4"/>
        <w:spacing w:before="56"/>
        <w:ind w:left="240"/>
      </w:pPr>
      <w:r>
        <w:rPr/>
        <w:t>Σχετικό θεσμικό πλαίσιο και πρότυπα  για την προσβασιμότητα σε ΑμεΑ</w:t>
      </w:r>
    </w:p>
    <w:p>
      <w:pPr>
        <w:pStyle w:val="BodyText"/>
        <w:spacing w:before="1"/>
        <w:ind w:left="240" w:right="235"/>
        <w:jc w:val="both"/>
      </w:pPr>
      <w:r>
        <w:rPr/>
        <w:t>Οι παρακάτω αναφορές αφορούν στο </w:t>
      </w:r>
      <w:r>
        <w:rPr>
          <w:b/>
        </w:rPr>
        <w:t>βασικό </w:t>
      </w:r>
      <w:r>
        <w:rPr/>
        <w:t>ισχύον θεσμικό πλαίσιο, το οποίο ανάλογα με τη φύση της πράξης ισχύει ταυτόχρονα με τυχόν ισχύον </w:t>
      </w:r>
      <w:r>
        <w:rPr>
          <w:b/>
        </w:rPr>
        <w:t>ειδικό </w:t>
      </w:r>
      <w:r>
        <w:rPr/>
        <w:t>θεσμικό πλαίσιο και προδιαγραφές (π.χ. ειδική νομοθεσία/ προδιαγραφές για τουριστικές εγκαταστάσεις, παιδικές χαρές, εκπαιδευτήρια, αθλητικές εγκαταστάσεις κ.λπ.).</w:t>
      </w:r>
    </w:p>
    <w:p>
      <w:pPr>
        <w:pStyle w:val="BodyText"/>
        <w:spacing w:before="120"/>
        <w:ind w:left="240"/>
        <w:jc w:val="both"/>
      </w:pPr>
      <w:r>
        <w:rPr>
          <w:u w:val="single"/>
        </w:rPr>
        <w:t>(Α) Πρόσβαση στο φυσικό περιβάλλον</w:t>
      </w:r>
    </w:p>
    <w:p>
      <w:pPr>
        <w:spacing w:before="0"/>
        <w:ind w:left="240" w:right="239" w:firstLine="0"/>
        <w:jc w:val="both"/>
        <w:rPr>
          <w:i/>
          <w:sz w:val="22"/>
        </w:rPr>
      </w:pPr>
      <w:r>
        <w:rPr>
          <w:i/>
          <w:sz w:val="22"/>
        </w:rPr>
        <w:t>Α.1. Ν.4074/2012 ΦΕΚ 88 Α’ “Κύρωση της Σύμβασης για τα δικαιώματα των ατόμων με αναπηρίες και του </w:t>
      </w:r>
      <w:r>
        <w:rPr>
          <w:i/>
          <w:sz w:val="22"/>
        </w:rPr>
        <w:t>Προαιρετικού Πρωτοκόλλου στη Σύμβαση για τα δικαιώματα των ατόμων με αναπηρίες”</w:t>
      </w:r>
    </w:p>
    <w:p>
      <w:pPr>
        <w:pStyle w:val="BodyText"/>
        <w:ind w:left="240" w:right="235"/>
        <w:jc w:val="both"/>
      </w:pPr>
      <w:r>
        <w:rPr>
          <w:i/>
        </w:rPr>
        <w:t>Α.2. Ν. 4067/2012 ΦΕΚ 79 Α’ “ΝΟΚ” </w:t>
      </w:r>
      <w:r>
        <w:rPr/>
        <w:t>και σχετικές εγκύκλιοι ΥΠΕΚΑ: Εγκύκλιος 9  με  Α.Π.οικ.29467/13.06.2012 “Διευκρινίσεις για την υποβολή μελέτης προσβασιμότητας για ΑμεΑ η οποία απαιτείται να εμπεριέχεται στις μελέτες που θα υποβάλλονται κατά την εφαρμογή του Νέου Οικοδομικού Κανονισμού Ν.4067 (ΦΕΚ 79/Α/2012)”, Εγκύκλιος ΑμεΑ με Α.Π.οικ 42382/16.07.2013 “ Διευκρινίσεις για την εφαρμογή του άρθρου 26 του Νέου Οικοδομικού Κανονισμού (Ν.4067/2012), που αφορά στις ειδικές ρυθμίσεις  για  την  προσβασιμότητα  ΑμεΑ/εμποδιζόμενων  ατόμων  και  Απόφαση  ΥΠΕΚΑ  με  Αριθ.    </w:t>
      </w:r>
      <w:r>
        <w:rPr>
          <w:spacing w:val="30"/>
        </w:rPr>
        <w:t> </w:t>
      </w:r>
      <w:r>
        <w:rPr/>
        <w:t>οικ.</w:t>
      </w:r>
    </w:p>
    <w:p>
      <w:pPr>
        <w:spacing w:after="0"/>
        <w:jc w:val="both"/>
        <w:sectPr>
          <w:pgSz w:w="11910" w:h="16840"/>
          <w:pgMar w:header="748" w:footer="734" w:top="1420" w:bottom="920" w:left="840" w:right="840"/>
        </w:sectPr>
      </w:pPr>
    </w:p>
    <w:p>
      <w:pPr>
        <w:pStyle w:val="BodyText"/>
        <w:spacing w:before="7"/>
        <w:rPr>
          <w:sz w:val="17"/>
        </w:rPr>
      </w:pPr>
    </w:p>
    <w:p>
      <w:pPr>
        <w:pStyle w:val="BodyText"/>
        <w:spacing w:before="57"/>
        <w:ind w:left="100"/>
      </w:pPr>
      <w:r>
        <w:rPr/>
        <w:t>55174/ΦΕΚ 2605 Β/ 15.10.2013 “Διαδικασία έγκρισης και απαιτούμενα δικαιολογητικά για εργασίες για τις οποίες απαιτείται Έγκριση Εργασιών Μικρής Κλίμακας.”</w:t>
      </w:r>
    </w:p>
    <w:p>
      <w:pPr>
        <w:spacing w:before="0"/>
        <w:ind w:left="100" w:right="0" w:firstLine="0"/>
        <w:jc w:val="both"/>
        <w:rPr>
          <w:i/>
          <w:sz w:val="22"/>
        </w:rPr>
      </w:pPr>
      <w:r>
        <w:rPr>
          <w:i/>
          <w:sz w:val="22"/>
        </w:rPr>
        <w:t>Α.3. Οδηγίες Σχεδιασμού ΥΠΕΚΑ</w:t>
      </w:r>
    </w:p>
    <w:p>
      <w:pPr>
        <w:spacing w:before="0"/>
        <w:ind w:left="100" w:right="162" w:firstLine="0"/>
        <w:jc w:val="left"/>
        <w:rPr>
          <w:i/>
          <w:sz w:val="22"/>
        </w:rPr>
      </w:pPr>
      <w:r>
        <w:rPr>
          <w:i/>
          <w:sz w:val="22"/>
        </w:rPr>
        <w:t>Α.4. Απόφαση ΥΠΕΚΑ 52907/2009 ΦΕΚ 2621 Β’ “Ειδικές ρυθμίσεις για την εξυπηρέτηση ατόμων με </w:t>
      </w:r>
      <w:r>
        <w:rPr>
          <w:i/>
          <w:sz w:val="22"/>
        </w:rPr>
        <w:t>αναπηρία σε κοινόχρηστους χώρους των οικισμών που προορίζονται για την κυκλοφορία</w:t>
      </w:r>
      <w:r>
        <w:rPr>
          <w:i/>
          <w:spacing w:val="-16"/>
          <w:sz w:val="22"/>
        </w:rPr>
        <w:t> </w:t>
      </w:r>
      <w:r>
        <w:rPr>
          <w:i/>
          <w:sz w:val="22"/>
        </w:rPr>
        <w:t>πεζών”,</w:t>
      </w:r>
    </w:p>
    <w:p>
      <w:pPr>
        <w:spacing w:line="267" w:lineRule="exact" w:before="0"/>
        <w:ind w:left="100" w:right="0" w:firstLine="0"/>
        <w:jc w:val="both"/>
        <w:rPr>
          <w:i/>
          <w:sz w:val="22"/>
        </w:rPr>
      </w:pPr>
      <w:r>
        <w:rPr>
          <w:i/>
          <w:sz w:val="22"/>
        </w:rPr>
        <w:t>Α.5.   Απόφαση   ΥΠ.ΕΣΩΤΕΡΙΚΩΝ   ΚΑΙ   ΟΙΚΟΝΟΜΙΚΩΝ   1052758/1451/Β0010   (1)/2012   ΦΕΚ   1411        Β’</w:t>
      </w:r>
    </w:p>
    <w:p>
      <w:pPr>
        <w:spacing w:before="0"/>
        <w:ind w:left="100" w:right="162" w:firstLine="0"/>
        <w:jc w:val="left"/>
        <w:rPr>
          <w:i/>
          <w:sz w:val="22"/>
        </w:rPr>
      </w:pPr>
      <w:r>
        <w:rPr>
          <w:i/>
          <w:sz w:val="22"/>
        </w:rPr>
        <w:t>“Συμπλήρωση της υπ’ αριθ. 1038460/2439/Β0010/15−4−2009 (ΦΕΚ 792 Β΄) κοινής απόφασης των  </w:t>
      </w:r>
      <w:r>
        <w:rPr>
          <w:i/>
          <w:sz w:val="22"/>
        </w:rPr>
        <w:t>Υπουργών Οικονομίας και Οικονομικών και</w:t>
      </w:r>
      <w:r>
        <w:rPr>
          <w:i/>
          <w:spacing w:val="-10"/>
          <w:sz w:val="22"/>
        </w:rPr>
        <w:t> </w:t>
      </w:r>
      <w:r>
        <w:rPr>
          <w:i/>
          <w:sz w:val="22"/>
        </w:rPr>
        <w:t>Εσωτερικών”,</w:t>
      </w:r>
    </w:p>
    <w:p>
      <w:pPr>
        <w:spacing w:before="0"/>
        <w:ind w:left="100" w:right="120" w:firstLine="0"/>
        <w:jc w:val="both"/>
        <w:rPr>
          <w:i/>
          <w:sz w:val="22"/>
        </w:rPr>
      </w:pPr>
      <w:r>
        <w:rPr>
          <w:i/>
          <w:sz w:val="22"/>
        </w:rPr>
        <w:t>Α.6. Απόφαση ΥΠ.ΕΣΩΤΕΡΙΚΩΝ Αριθμ. 28492/2009 ΦΕΚ 931 Β’ “Καθορισμός των προϋποθέσεων και των </w:t>
      </w:r>
      <w:r>
        <w:rPr>
          <w:i/>
          <w:sz w:val="22"/>
        </w:rPr>
        <w:t>τεχνικών προδιαγραφών για την κατασκευή και τη λειτουργία των παιδικών χαρών των Δήμων και των Κοινοτήτων, τα όργανα και η διαδικασία αδειοδότησης και ελέγχου τους, τη διαδικασία συντήρησης αυτών, καθώς και  κάθε άλλη αναγκαία λεπτομέρεια”.</w:t>
      </w:r>
    </w:p>
    <w:p>
      <w:pPr>
        <w:pStyle w:val="BodyText"/>
        <w:spacing w:before="121"/>
        <w:ind w:left="100"/>
        <w:jc w:val="both"/>
      </w:pPr>
      <w:r>
        <w:rPr>
          <w:u w:val="single"/>
        </w:rPr>
        <w:t>(Β) Πρόσβαση στις κτιριακές υποδομές και υπαίθριους  χώρους οικοπέδων</w:t>
      </w:r>
    </w:p>
    <w:p>
      <w:pPr>
        <w:spacing w:before="0"/>
        <w:ind w:left="100" w:right="0" w:firstLine="0"/>
        <w:jc w:val="left"/>
        <w:rPr>
          <w:i/>
          <w:sz w:val="22"/>
        </w:rPr>
      </w:pPr>
      <w:r>
        <w:rPr>
          <w:i/>
          <w:sz w:val="22"/>
        </w:rPr>
        <w:t>Β.1. Ν.4074/2012 ΦΕΚ 88 Α’ “Κύρωση της Σύμβασης για τα δικαιώματα των ατόμων με αναπηρίες και του </w:t>
      </w:r>
      <w:r>
        <w:rPr>
          <w:i/>
          <w:sz w:val="22"/>
        </w:rPr>
        <w:t>Προαιρετικού Πρωτοκόλλου στη Σύμβαση για τα δικαιώματα των ατόμων με αναπηρίες”</w:t>
      </w:r>
    </w:p>
    <w:p>
      <w:pPr>
        <w:spacing w:before="0"/>
        <w:ind w:left="100" w:right="0" w:firstLine="0"/>
        <w:jc w:val="both"/>
        <w:rPr>
          <w:i/>
          <w:sz w:val="22"/>
        </w:rPr>
      </w:pPr>
      <w:r>
        <w:rPr>
          <w:i/>
          <w:sz w:val="22"/>
        </w:rPr>
        <w:t>Β.2. Ν. 4067/2012 ΦΕΚ 79 Α’ “ΝΟΚ” και Οδηγίες Σχεδιασμού ΥΠΕΚΑ</w:t>
      </w:r>
    </w:p>
    <w:p>
      <w:pPr>
        <w:pStyle w:val="BodyText"/>
        <w:spacing w:before="118"/>
        <w:ind w:left="100"/>
        <w:jc w:val="both"/>
      </w:pPr>
      <w:r>
        <w:rPr>
          <w:u w:val="single"/>
        </w:rPr>
        <w:t>(Γ) Πρόσβαση στις μεταφορές</w:t>
      </w:r>
    </w:p>
    <w:p>
      <w:pPr>
        <w:spacing w:before="0"/>
        <w:ind w:left="100" w:right="162" w:firstLine="0"/>
        <w:jc w:val="left"/>
        <w:rPr>
          <w:i/>
          <w:sz w:val="22"/>
        </w:rPr>
      </w:pPr>
      <w:r>
        <w:rPr>
          <w:i/>
          <w:sz w:val="22"/>
        </w:rPr>
        <w:t>Γ.1. Κανονισμοί (ΕΕ) με αρ. 1107/2006, 1371/2007, 1177/2010 και 181/2011 για τα δικαιώματα των </w:t>
      </w:r>
      <w:r>
        <w:rPr>
          <w:i/>
          <w:sz w:val="22"/>
        </w:rPr>
        <w:t>επιβατών</w:t>
      </w:r>
    </w:p>
    <w:p>
      <w:pPr>
        <w:spacing w:before="0"/>
        <w:ind w:left="100" w:right="121" w:firstLine="0"/>
        <w:jc w:val="both"/>
        <w:rPr>
          <w:i/>
          <w:sz w:val="22"/>
        </w:rPr>
      </w:pPr>
      <w:r>
        <w:rPr>
          <w:i/>
          <w:sz w:val="22"/>
        </w:rPr>
        <w:t>Γ.2. Κανονισμός (EE) με αρ. 1300/2014 της 18ης Νοεμβρίου 2014, σχετικά με τις τεχνικές προδιαγραφές </w:t>
      </w:r>
      <w:r>
        <w:rPr>
          <w:i/>
          <w:sz w:val="22"/>
        </w:rPr>
        <w:t>διαλειτουργικότητας για την προσβασιμότητα του σιδηροδρομικού συστήματος της Ένωσης για τα άτομα με αναπηρία και άτομα με μειωμένη κινητικότητα</w:t>
      </w:r>
    </w:p>
    <w:p>
      <w:pPr>
        <w:spacing w:before="0"/>
        <w:ind w:left="100" w:right="0" w:firstLine="0"/>
        <w:jc w:val="left"/>
        <w:rPr>
          <w:i/>
          <w:sz w:val="22"/>
        </w:rPr>
      </w:pPr>
      <w:r>
        <w:rPr>
          <w:i/>
          <w:sz w:val="22"/>
        </w:rPr>
        <w:t>Γ.3. Ν.4074/2012 ΦΕΚ 88 Α’ “Κύρωση της Σύμβασης για τα δικαιώματα των ατόμων με αναπηρίες και του </w:t>
      </w:r>
      <w:r>
        <w:rPr>
          <w:i/>
          <w:sz w:val="22"/>
        </w:rPr>
        <w:t>Προαιρετικού Πρωτοκόλλου στη Σύμβαση για τα δικαιώματα των ατόμων με αναπηρίες”</w:t>
      </w:r>
    </w:p>
    <w:p>
      <w:pPr>
        <w:spacing w:before="0"/>
        <w:ind w:left="100" w:right="0" w:firstLine="0"/>
        <w:jc w:val="both"/>
        <w:rPr>
          <w:i/>
          <w:sz w:val="22"/>
        </w:rPr>
      </w:pPr>
      <w:r>
        <w:rPr>
          <w:i/>
          <w:sz w:val="22"/>
        </w:rPr>
        <w:t>Γ.4. Ν. 4067/2012 ΦΕΚ 79 Α’ “ΝΟΚ”</w:t>
      </w:r>
    </w:p>
    <w:p>
      <w:pPr>
        <w:spacing w:before="0"/>
        <w:ind w:left="100" w:right="0" w:firstLine="0"/>
        <w:jc w:val="both"/>
        <w:rPr>
          <w:i/>
          <w:sz w:val="22"/>
        </w:rPr>
      </w:pPr>
      <w:r>
        <w:rPr>
          <w:i/>
          <w:sz w:val="22"/>
        </w:rPr>
        <w:t>Γ.5. Οδηγίες Σχεδιασμού ΥΠΕΚΑ</w:t>
      </w:r>
    </w:p>
    <w:p>
      <w:pPr>
        <w:pStyle w:val="BodyText"/>
        <w:spacing w:before="118"/>
        <w:ind w:left="100"/>
        <w:jc w:val="both"/>
      </w:pPr>
      <w:r>
        <w:rPr>
          <w:u w:val="single"/>
        </w:rPr>
        <w:t>(Δ) Πρόσβαση στις υπηρεσίες:</w:t>
      </w:r>
    </w:p>
    <w:p>
      <w:pPr>
        <w:spacing w:before="0"/>
        <w:ind w:left="100" w:right="0" w:firstLine="0"/>
        <w:jc w:val="left"/>
        <w:rPr>
          <w:i/>
          <w:sz w:val="22"/>
        </w:rPr>
      </w:pPr>
      <w:r>
        <w:rPr>
          <w:i/>
          <w:sz w:val="22"/>
        </w:rPr>
        <w:t>Δ.1. Ν.4074/2012 ΦΕΚ 88 Α’ “Κύρωση της Σύμβασης για τα δικαιώματα των ατόμων με αναπηρίες και του </w:t>
      </w:r>
      <w:r>
        <w:rPr>
          <w:i/>
          <w:sz w:val="22"/>
        </w:rPr>
        <w:t>Προαιρετικού Πρωτοκόλλου στη Σύμβαση για τα δικαιώματα των ατόμων με αναπηρίες”</w:t>
      </w:r>
    </w:p>
    <w:p>
      <w:pPr>
        <w:spacing w:before="0"/>
        <w:ind w:left="100" w:right="0" w:firstLine="0"/>
        <w:jc w:val="both"/>
        <w:rPr>
          <w:i/>
          <w:sz w:val="22"/>
        </w:rPr>
      </w:pPr>
      <w:r>
        <w:rPr>
          <w:i/>
          <w:sz w:val="22"/>
        </w:rPr>
        <w:t>Δ.2. Πρότυπο ΕΛΟΤ 1439 “Οργανισμός φιλικός σε πολίτες με αναπηρία –Απαιτήσεις και συστάσεις”</w:t>
      </w:r>
    </w:p>
    <w:p>
      <w:pPr>
        <w:pStyle w:val="BodyText"/>
        <w:spacing w:before="120"/>
        <w:ind w:left="100"/>
        <w:jc w:val="both"/>
      </w:pPr>
      <w:r>
        <w:rPr>
          <w:u w:val="single"/>
        </w:rPr>
        <w:t>(Ε) Πρόσβαση στα ηλεκτρονικά περιβάλλοντα</w:t>
      </w:r>
    </w:p>
    <w:p>
      <w:pPr>
        <w:spacing w:before="0"/>
        <w:ind w:left="100" w:right="0" w:firstLine="0"/>
        <w:jc w:val="left"/>
        <w:rPr>
          <w:i/>
          <w:sz w:val="22"/>
        </w:rPr>
      </w:pPr>
      <w:r>
        <w:rPr>
          <w:i/>
          <w:sz w:val="22"/>
        </w:rPr>
        <w:t>Ε.1. Ν.4074/2012 ΦΕΚ 88 Α’ “Κύρωση της Σύμβασης για τα δικαιώματα των ατόμων με αναπηρίες και του </w:t>
      </w:r>
      <w:r>
        <w:rPr>
          <w:i/>
          <w:sz w:val="22"/>
        </w:rPr>
        <w:t>Προαιρετικού Πρωτοκόλλου στη Σύμβαση για τα δικαιώματα των ατόμων με αναπηρίες”</w:t>
      </w:r>
    </w:p>
    <w:p>
      <w:pPr>
        <w:spacing w:before="0"/>
        <w:ind w:left="100" w:right="0" w:firstLine="0"/>
        <w:jc w:val="both"/>
        <w:rPr>
          <w:i/>
          <w:sz w:val="22"/>
        </w:rPr>
      </w:pPr>
      <w:r>
        <w:rPr>
          <w:i/>
          <w:sz w:val="22"/>
        </w:rPr>
        <w:t>Ε.2. N. 3979/2011 ΦΕΚ 138 Α’ “Για την ηλεκτρονική διακυβέρνηση και λοιπές διατάξεις”</w:t>
      </w:r>
    </w:p>
    <w:p>
      <w:pPr>
        <w:spacing w:line="237" w:lineRule="auto" w:before="3"/>
        <w:ind w:left="100" w:right="0" w:firstLine="0"/>
        <w:jc w:val="left"/>
        <w:rPr>
          <w:sz w:val="22"/>
        </w:rPr>
      </w:pPr>
      <w:r>
        <w:rPr>
          <w:i/>
          <w:sz w:val="22"/>
        </w:rPr>
        <w:t>Ε.3. Αριθ. ΥΑΠ/Φ.40.4/1/989/2012 ΦΕΚ 1301 Β’ “Κύρωση Πλαισίου Παροχής Υπηρεσιών Ηλεκτρονικής </w:t>
      </w:r>
      <w:r>
        <w:rPr>
          <w:i/>
          <w:sz w:val="22"/>
        </w:rPr>
        <w:t>Διακυβέρνησης</w:t>
      </w:r>
      <w:r>
        <w:rPr>
          <w:sz w:val="22"/>
        </w:rPr>
        <w:t>”</w:t>
      </w:r>
    </w:p>
    <w:p>
      <w:pPr>
        <w:tabs>
          <w:tab w:pos="764" w:val="left" w:leader="none"/>
          <w:tab w:pos="1820" w:val="left" w:leader="none"/>
          <w:tab w:pos="2434" w:val="left" w:leader="none"/>
          <w:tab w:pos="3065" w:val="left" w:leader="none"/>
          <w:tab w:pos="4933" w:val="left" w:leader="none"/>
          <w:tab w:pos="5586" w:val="left" w:leader="none"/>
          <w:tab w:pos="7182" w:val="left" w:leader="none"/>
          <w:tab w:pos="7831" w:val="left" w:leader="none"/>
          <w:tab w:pos="8660" w:val="left" w:leader="none"/>
          <w:tab w:pos="9567" w:val="left" w:leader="none"/>
        </w:tabs>
        <w:spacing w:before="1"/>
        <w:ind w:left="100" w:right="116" w:firstLine="0"/>
        <w:jc w:val="left"/>
        <w:rPr>
          <w:i/>
          <w:sz w:val="22"/>
        </w:rPr>
      </w:pPr>
      <w:r>
        <w:rPr>
          <w:i/>
          <w:sz w:val="22"/>
        </w:rPr>
        <w:t>Ε.4.</w:t>
        <w:tab/>
        <w:t>Οδηγίες</w:t>
        <w:tab/>
        <w:t>για</w:t>
        <w:tab/>
        <w:t>την</w:t>
        <w:tab/>
        <w:t>Προσβασιμότητα</w:t>
        <w:tab/>
        <w:t>του</w:t>
        <w:tab/>
        <w:t>Περιεχομένου</w:t>
        <w:tab/>
        <w:t>του</w:t>
        <w:tab/>
        <w:t>Ιστού</w:t>
        <w:tab/>
        <w:t>WCAG</w:t>
        <w:tab/>
        <w:t>2.0 </w:t>
      </w:r>
      <w:r>
        <w:rPr>
          <w:i/>
          <w:sz w:val="22"/>
        </w:rPr>
        <w:t>(</w:t>
      </w:r>
      <w:hyperlink r:id="rId104">
        <w:r>
          <w:rPr>
            <w:i/>
            <w:color w:val="0462C1"/>
            <w:sz w:val="22"/>
            <w:u w:val="single" w:color="0462C1"/>
          </w:rPr>
          <w:t>http://www.w3c.gr/wai/translations/wcag20.html</w:t>
        </w:r>
      </w:hyperlink>
      <w:r>
        <w:rPr>
          <w:i/>
          <w:sz w:val="22"/>
        </w:rPr>
        <w:t>)</w:t>
      </w:r>
    </w:p>
    <w:p>
      <w:pPr>
        <w:spacing w:before="0"/>
        <w:ind w:left="100" w:right="0" w:firstLine="0"/>
        <w:jc w:val="both"/>
        <w:rPr>
          <w:i/>
          <w:sz w:val="22"/>
        </w:rPr>
      </w:pPr>
      <w:r>
        <w:rPr>
          <w:i/>
          <w:sz w:val="22"/>
        </w:rPr>
        <w:t>Ε.5.  Βέλτιστες  Πρακτικές  για  Χρήση  Διαδικτυακού  Περιεχομένου  από  Κινητές  Συσκευές,  έκδοση       1.0</w:t>
      </w:r>
    </w:p>
    <w:p>
      <w:pPr>
        <w:spacing w:before="0"/>
        <w:ind w:left="100" w:right="0" w:firstLine="0"/>
        <w:jc w:val="both"/>
        <w:rPr>
          <w:i/>
          <w:sz w:val="22"/>
        </w:rPr>
      </w:pPr>
      <w:hyperlink r:id="rId105">
        <w:r>
          <w:rPr>
            <w:i/>
            <w:sz w:val="22"/>
          </w:rPr>
          <w:t>(http://www.w3.org/TR/mobile-bp/</w:t>
        </w:r>
      </w:hyperlink>
      <w:r>
        <w:rPr>
          <w:i/>
          <w:sz w:val="22"/>
        </w:rPr>
        <w:t> - Αγγλικά)</w:t>
      </w:r>
    </w:p>
    <w:p>
      <w:pPr>
        <w:spacing w:before="0"/>
        <w:ind w:left="100" w:right="0" w:firstLine="0"/>
        <w:jc w:val="both"/>
        <w:rPr>
          <w:i/>
          <w:sz w:val="22"/>
        </w:rPr>
      </w:pPr>
      <w:r>
        <w:rPr>
          <w:i/>
          <w:sz w:val="22"/>
        </w:rPr>
        <w:t>Ε.6. Οδηγίες Προσβασιμότητας για UserAgentsUAAG 2.0 </w:t>
      </w:r>
      <w:hyperlink r:id="rId106">
        <w:r>
          <w:rPr>
            <w:i/>
            <w:sz w:val="22"/>
          </w:rPr>
          <w:t>(http://www.w3.org/TR/UAAG20/</w:t>
        </w:r>
      </w:hyperlink>
      <w:r>
        <w:rPr>
          <w:i/>
          <w:sz w:val="22"/>
        </w:rPr>
        <w:t> - Αγγλικά)</w:t>
      </w:r>
    </w:p>
    <w:p>
      <w:pPr>
        <w:tabs>
          <w:tab w:pos="848" w:val="left" w:leader="none"/>
          <w:tab w:pos="1987" w:val="left" w:leader="none"/>
          <w:tab w:pos="4034" w:val="left" w:leader="none"/>
          <w:tab w:pos="4732" w:val="left" w:leader="none"/>
          <w:tab w:pos="6062" w:val="left" w:leader="none"/>
          <w:tab w:pos="7742" w:val="left" w:leader="none"/>
          <w:tab w:pos="8649" w:val="left" w:leader="none"/>
          <w:tab w:pos="9567" w:val="left" w:leader="none"/>
        </w:tabs>
        <w:spacing w:before="0"/>
        <w:ind w:left="100" w:right="116" w:firstLine="0"/>
        <w:jc w:val="left"/>
        <w:rPr>
          <w:i/>
          <w:sz w:val="22"/>
        </w:rPr>
      </w:pPr>
      <w:r>
        <w:rPr>
          <w:i/>
          <w:sz w:val="22"/>
        </w:rPr>
        <w:t>Ε.7.</w:t>
        <w:tab/>
        <w:t>Οδηγίες</w:t>
        <w:tab/>
        <w:t>Προσβασιμότητας</w:t>
        <w:tab/>
        <w:t>για</w:t>
        <w:tab/>
        <w:t>Συγγραφή</w:t>
        <w:tab/>
        <w:t>Περιεχομένου</w:t>
        <w:tab/>
        <w:t>Ιστού</w:t>
        <w:tab/>
        <w:t>ΑΤAG</w:t>
        <w:tab/>
        <w:t>2.0 </w:t>
      </w:r>
      <w:hyperlink r:id="rId107">
        <w:r>
          <w:rPr>
            <w:i/>
            <w:sz w:val="22"/>
          </w:rPr>
          <w:t>(http://www.w3.org/TR/ATAG20/</w:t>
        </w:r>
      </w:hyperlink>
      <w:r>
        <w:rPr>
          <w:i/>
          <w:sz w:val="22"/>
        </w:rPr>
        <w:t> -</w:t>
      </w:r>
      <w:r>
        <w:rPr>
          <w:i/>
          <w:spacing w:val="-13"/>
          <w:sz w:val="22"/>
        </w:rPr>
        <w:t> </w:t>
      </w:r>
      <w:r>
        <w:rPr>
          <w:i/>
          <w:sz w:val="22"/>
        </w:rPr>
        <w:t>Αγγλικά)</w:t>
      </w:r>
    </w:p>
    <w:p>
      <w:pPr>
        <w:pStyle w:val="BodyText"/>
        <w:spacing w:before="120"/>
        <w:ind w:left="100"/>
        <w:jc w:val="both"/>
      </w:pPr>
      <w:r>
        <w:rPr>
          <w:u w:val="single"/>
        </w:rPr>
        <w:t>(ΣΤ) Πρόσβαση στην πληροφορία-Πληροφόρηση</w:t>
      </w:r>
    </w:p>
    <w:p>
      <w:pPr>
        <w:spacing w:line="240" w:lineRule="auto" w:before="0"/>
        <w:ind w:left="100" w:right="115" w:firstLine="0"/>
        <w:jc w:val="both"/>
        <w:rPr>
          <w:i/>
          <w:sz w:val="22"/>
        </w:rPr>
      </w:pPr>
      <w:r>
        <w:rPr>
          <w:i/>
          <w:sz w:val="22"/>
        </w:rPr>
        <w:t>ΣΤ.1. Ν.4074/2012 ΦΕΚ 88 Α’ “Κύρωση της Σύμβασης για τα δικαιώματα των ατόμων με αναπηρίες και του </w:t>
      </w:r>
      <w:r>
        <w:rPr>
          <w:i/>
          <w:sz w:val="22"/>
        </w:rPr>
        <w:t>Προαιρετικού Πρωτοκόλλου στη Σύμβαση για τα δικαιώματα των ατόμων με αναπηρίες”-άρθρα 2, 9 και 21 της Σύμβασης</w:t>
      </w:r>
    </w:p>
    <w:p>
      <w:pPr>
        <w:spacing w:after="0" w:line="240" w:lineRule="auto"/>
        <w:jc w:val="both"/>
        <w:rPr>
          <w:sz w:val="22"/>
        </w:rPr>
        <w:sectPr>
          <w:pgSz w:w="11910" w:h="16840"/>
          <w:pgMar w:header="748" w:footer="734" w:top="1420" w:bottom="920" w:left="980" w:right="960"/>
        </w:sectPr>
      </w:pPr>
    </w:p>
    <w:p>
      <w:pPr>
        <w:pStyle w:val="BodyText"/>
        <w:rPr>
          <w:i/>
          <w:sz w:val="20"/>
        </w:rPr>
      </w:pPr>
    </w:p>
    <w:p>
      <w:pPr>
        <w:pStyle w:val="BodyText"/>
        <w:spacing w:before="6"/>
        <w:rPr>
          <w:i/>
          <w:sz w:val="17"/>
        </w:rPr>
      </w:pPr>
    </w:p>
    <w:p>
      <w:pPr>
        <w:spacing w:before="54"/>
        <w:ind w:left="100" w:right="0" w:firstLine="0"/>
        <w:jc w:val="both"/>
        <w:rPr>
          <w:b/>
          <w:sz w:val="23"/>
        </w:rPr>
      </w:pPr>
      <w:r>
        <w:rPr>
          <w:b/>
          <w:sz w:val="23"/>
        </w:rPr>
        <w:t>ΠΑΡΑΡΤΗΜΑ ΧΙΙΙ: ΔΗΜΟΣΙΟΤΗΤΑ</w:t>
      </w:r>
    </w:p>
    <w:p>
      <w:pPr>
        <w:pStyle w:val="BodyText"/>
        <w:rPr>
          <w:b/>
        </w:rPr>
      </w:pPr>
    </w:p>
    <w:p>
      <w:pPr>
        <w:pStyle w:val="BodyText"/>
        <w:spacing w:line="276" w:lineRule="auto" w:before="175"/>
        <w:ind w:left="100" w:right="114"/>
        <w:jc w:val="both"/>
      </w:pPr>
      <w:r>
        <w:rPr/>
        <w:t>Ο Δικαιούχος αποδέχεται τη συμπερίληψή τους στο κατάλογο των πράξεων του Περιφερειακού Επιχειρησιακού Προγράμματος Θεσσαλίας 2014-2020 που δημοσιοποιεί η Ειδική Υπηρεσία Διαχείρισης του Ε.Π ή η Διεύθυνση Αναπτυξιακού Προγραμματισμού Περιφέρειας Θεσσαλίας, στη διαδικτυακή πύλη </w:t>
      </w:r>
      <w:hyperlink r:id="rId11">
        <w:r>
          <w:rPr>
            <w:color w:val="0462C1"/>
            <w:u w:val="single" w:color="0462C1"/>
          </w:rPr>
          <w:t>www.espa.gr</w:t>
        </w:r>
      </w:hyperlink>
      <w:r>
        <w:rPr>
          <w:color w:val="0462C1"/>
          <w:u w:val="single" w:color="0462C1"/>
        </w:rPr>
        <w:t> </w:t>
      </w:r>
      <w:r>
        <w:rPr/>
        <w:t>, και τις οικείες ιστοσελίδες </w:t>
      </w:r>
      <w:hyperlink r:id="rId10">
        <w:r>
          <w:rPr>
            <w:color w:val="0462C1"/>
            <w:u w:val="single" w:color="0462C1"/>
          </w:rPr>
          <w:t>www.thessalia-espa.gr</w:t>
        </w:r>
      </w:hyperlink>
      <w:r>
        <w:rPr>
          <w:color w:val="0462C1"/>
          <w:u w:val="single" w:color="0462C1"/>
        </w:rPr>
        <w:t> </w:t>
      </w:r>
      <w:r>
        <w:rPr/>
        <w:t>και </w:t>
      </w:r>
      <w:hyperlink r:id="rId9">
        <w:r>
          <w:rPr>
            <w:color w:val="0462C1"/>
            <w:u w:val="single" w:color="0462C1"/>
          </w:rPr>
          <w:t>www.thessaly.gov.gr</w:t>
        </w:r>
      </w:hyperlink>
      <w:r>
        <w:rPr>
          <w:color w:val="0462C1"/>
          <w:u w:val="single" w:color="0462C1"/>
        </w:rPr>
        <w:t> </w:t>
      </w:r>
      <w:r>
        <w:rPr/>
        <w:t>κατά τα προβλεπόμενα στο άρθρο 115 και στο Παράρτημα ΧΙΙ του Καν. 1303/2013, και στο οποίο αναφέρονται: η ονομασία του δικαιούχου και της πράξης, σύνοψη της πράξης, ημερομηνία έναρξης της πράξης, ημερομηνία λήξης της πράξης, συνολική επιλέξιμη δαπάνη, ποσοστό συγχρηματοδότησης, ταχυδρομικός κώδικας, ή άλλη κατάλληλη ένδειξη της τοποθεσίας, χώρα, ονομασία της κατηγορίας παρέμβασης της πράξης.</w:t>
      </w:r>
    </w:p>
    <w:p>
      <w:pPr>
        <w:pStyle w:val="BodyText"/>
        <w:spacing w:before="2"/>
        <w:rPr>
          <w:sz w:val="25"/>
        </w:rPr>
      </w:pPr>
    </w:p>
    <w:p>
      <w:pPr>
        <w:pStyle w:val="BodyText"/>
        <w:spacing w:line="276" w:lineRule="auto"/>
        <w:ind w:left="100" w:right="114"/>
        <w:jc w:val="both"/>
      </w:pPr>
      <w:r>
        <w:rPr/>
        <w:t>Ο Δικαιούχος, για την ενταγμένη πράξη (έργο) στο Περιφερειακό Επιχειρησιακό Πρόγραμμα Θεσσαλίας 2014-2020 και για την εξασφάλιση της προβολής των δράσεων που συγχρηματοδοτούνται από τα Ευρωπαϊκά Διαρθρωτικά &amp; Επενδυτικά Ταμεία, οφείλει να λαμβάνει όλα τα μέτρα πληροφόρησης που προβλέπονται στο Παράρτημα XII του Κανονισμού 1303/2013. Ειδικότερα, είναι υπεύθυνος για τα ακόλουθα:</w:t>
      </w:r>
    </w:p>
    <w:p>
      <w:pPr>
        <w:pStyle w:val="ListParagraph"/>
        <w:numPr>
          <w:ilvl w:val="0"/>
          <w:numId w:val="90"/>
        </w:numPr>
        <w:tabs>
          <w:tab w:pos="867" w:val="left" w:leader="none"/>
        </w:tabs>
        <w:spacing w:line="273" w:lineRule="auto" w:before="120" w:after="0"/>
        <w:ind w:left="866" w:right="117" w:hanging="360"/>
        <w:jc w:val="both"/>
        <w:rPr>
          <w:sz w:val="22"/>
        </w:rPr>
      </w:pPr>
      <w:r>
        <w:rPr>
          <w:sz w:val="22"/>
          <w:u w:val="single"/>
        </w:rPr>
        <w:t>Κατά την υλοποίηση </w:t>
      </w:r>
      <w:r>
        <w:rPr>
          <w:sz w:val="22"/>
        </w:rPr>
        <w:t>του επενδυτικού σχεδίου για την τοποθέτηση τουλάχιστον μίας αφίσας (ελάχιστου μεγέθους Α3) κατασκευασμένης από κατάλληλο υλικό, με πληροφορίες σχετικά με το έργο, συμπεριλαμβανόμενης της χρηματοδοτικής συνδρομής της Ένωσης, σε σημείο εύκολα ορατό από το κοινό, όπως η είσοδος σε ένα κτίριο. Σε περίπτωση που το κτίριο είναι μη προσβάσιμο στο κοινό, πρέπει να επιλεχθεί άλλο κατάλληλο</w:t>
      </w:r>
      <w:r>
        <w:rPr>
          <w:spacing w:val="-9"/>
          <w:sz w:val="22"/>
        </w:rPr>
        <w:t> </w:t>
      </w:r>
      <w:r>
        <w:rPr>
          <w:sz w:val="22"/>
        </w:rPr>
        <w:t>σημείο.</w:t>
      </w:r>
    </w:p>
    <w:p>
      <w:pPr>
        <w:pStyle w:val="ListParagraph"/>
        <w:numPr>
          <w:ilvl w:val="0"/>
          <w:numId w:val="90"/>
        </w:numPr>
        <w:tabs>
          <w:tab w:pos="867" w:val="left" w:leader="none"/>
        </w:tabs>
        <w:spacing w:line="273" w:lineRule="auto" w:before="1" w:after="0"/>
        <w:ind w:left="866" w:right="116" w:hanging="360"/>
        <w:jc w:val="both"/>
        <w:rPr>
          <w:sz w:val="22"/>
        </w:rPr>
      </w:pPr>
      <w:r>
        <w:rPr>
          <w:sz w:val="22"/>
          <w:u w:val="single"/>
        </w:rPr>
        <w:t>Μετά την ολοκλήρωση </w:t>
      </w:r>
      <w:r>
        <w:rPr>
          <w:sz w:val="22"/>
        </w:rPr>
        <w:t>του επενδυτικού σχεδίου και εντός τριμήνου το αργότερο για την ανάρτηση μόνιμης αναμνηστικής πλάκας σε σημείο εύκολα ορατό από το κοινό. Στην αναμνηστική πλάκα αναγράφονται η ονομασία της πράξης και ο κύριος στόχος της δραστηριότητας που υποστηρίζεται από την πράξη, το έμβλημα της Ευρωπαϊκής Ένωσης, αναφορά στην Ευρωπαϊκή Ένωση και το οικείο Ταμείο. Οι πληροφορίες αυτές καταλαμβάνουν τουλάχιστον το 25% της</w:t>
      </w:r>
      <w:r>
        <w:rPr>
          <w:spacing w:val="-27"/>
          <w:sz w:val="22"/>
        </w:rPr>
        <w:t> </w:t>
      </w:r>
      <w:r>
        <w:rPr>
          <w:sz w:val="22"/>
        </w:rPr>
        <w:t>πινακίδας.</w:t>
      </w:r>
    </w:p>
    <w:p>
      <w:pPr>
        <w:pStyle w:val="ListParagraph"/>
        <w:numPr>
          <w:ilvl w:val="0"/>
          <w:numId w:val="90"/>
        </w:numPr>
        <w:tabs>
          <w:tab w:pos="867" w:val="left" w:leader="none"/>
        </w:tabs>
        <w:spacing w:line="271" w:lineRule="auto" w:before="3" w:after="0"/>
        <w:ind w:left="866" w:right="113" w:hanging="360"/>
        <w:jc w:val="both"/>
        <w:rPr>
          <w:sz w:val="22"/>
        </w:rPr>
      </w:pPr>
      <w:r>
        <w:rPr>
          <w:sz w:val="22"/>
        </w:rPr>
        <w:t>Να παρέχει στον διαδικτυακό τόπο του, εάν υπάρχει, σύντομη περιγραφή της πράξης, που θα περιλαμβάνει τους στόχους και τα αποτελέσματά της και θα επισημαίνεται η χρηματοδοτική συνδρομή από την</w:t>
      </w:r>
      <w:r>
        <w:rPr>
          <w:spacing w:val="-2"/>
          <w:sz w:val="22"/>
        </w:rPr>
        <w:t> </w:t>
      </w:r>
      <w:r>
        <w:rPr>
          <w:sz w:val="22"/>
        </w:rPr>
        <w:t>Ένωση.</w:t>
      </w:r>
    </w:p>
    <w:p>
      <w:pPr>
        <w:pStyle w:val="ListParagraph"/>
        <w:numPr>
          <w:ilvl w:val="0"/>
          <w:numId w:val="90"/>
        </w:numPr>
        <w:tabs>
          <w:tab w:pos="867" w:val="left" w:leader="none"/>
        </w:tabs>
        <w:spacing w:line="273" w:lineRule="auto" w:before="6" w:after="0"/>
        <w:ind w:left="866" w:right="114" w:hanging="360"/>
        <w:jc w:val="both"/>
        <w:rPr>
          <w:sz w:val="22"/>
        </w:rPr>
      </w:pPr>
      <w:r>
        <w:rPr>
          <w:sz w:val="22"/>
        </w:rPr>
        <w:t>Να ενημερώνει τους εργαζόμενους που περιλαμβάνονται στον επιχορηγούμενο προϋπολογισμό του επενδυτικού σχεδίου (πράξης), εφόσον αυτό ισχύει, σχετικά με τη συγχρηματοδότηση του μισθολογικού κόστους στο πλαίσιο του επενδυτικού σχεδίου από το ΕΤΠΑ και την υλοποίησή του στο πλαίσιο του Περιφερειακού Επιχειρησιακού Προγράμματος Θεσσαλίας 2014-2020. Η εν λόγω ενημέρωση πραγματοποιείται σε κάθε έγγραφο ή άλλο πιστοποιητικό που χρησιμοποιούνται κατά την υλοποίηση της πράξης ή παράγονται στο πλαίσιο</w:t>
      </w:r>
      <w:r>
        <w:rPr>
          <w:spacing w:val="-15"/>
          <w:sz w:val="22"/>
        </w:rPr>
        <w:t> </w:t>
      </w:r>
      <w:r>
        <w:rPr>
          <w:sz w:val="22"/>
        </w:rPr>
        <w:t>αυτό.</w:t>
      </w:r>
    </w:p>
    <w:p>
      <w:pPr>
        <w:pStyle w:val="BodyText"/>
      </w:pPr>
    </w:p>
    <w:p>
      <w:pPr>
        <w:pStyle w:val="BodyText"/>
        <w:spacing w:line="276" w:lineRule="auto" w:before="162"/>
        <w:ind w:left="100" w:right="115"/>
        <w:jc w:val="both"/>
      </w:pPr>
      <w:r>
        <w:rPr/>
        <w:t>Το έμβλημα της Ευρωπαϊκής Ένωσης και η αναφορά στην Ευρωπαϊκή Ένωση και το Ευρωπαϊκό  Διαρθρωτικό &amp; Επενδυτικό Ταμείο (εν προκειμένω το Ευρωπαϊκό Ταμείο Περιφερειακής Ανάπτυξης/ ΕΤΠΑ) από το οποίο λαμβάνεται η χρηματοδότηση της πράξης και στο στόχο του, πρέπει να είναι σύμφωνα με τα τεχνικά χαρακτηριστικά που καθορίζονται στον Κανονισμό 821/2014 και τα γραφιστικά πρότυπα που περιλαμβάνονται στον Επικοινωνιακό Οδηγό</w:t>
      </w:r>
      <w:r>
        <w:rPr>
          <w:spacing w:val="-10"/>
        </w:rPr>
        <w:t> </w:t>
      </w:r>
      <w:r>
        <w:rPr/>
        <w:t>ΕΣΠΑ.</w:t>
      </w:r>
    </w:p>
    <w:p>
      <w:pPr>
        <w:spacing w:after="0" w:line="276" w:lineRule="auto"/>
        <w:jc w:val="both"/>
        <w:sectPr>
          <w:footerReference w:type="default" r:id="rId108"/>
          <w:pgSz w:w="11910" w:h="16840"/>
          <w:pgMar w:footer="743" w:header="748" w:top="1420" w:bottom="940" w:left="980" w:right="960"/>
          <w:pgNumType w:start="1"/>
        </w:sectPr>
      </w:pPr>
    </w:p>
    <w:p>
      <w:pPr>
        <w:pStyle w:val="BodyText"/>
        <w:rPr>
          <w:sz w:val="20"/>
        </w:rPr>
      </w:pPr>
    </w:p>
    <w:p>
      <w:pPr>
        <w:pStyle w:val="BodyText"/>
        <w:rPr>
          <w:sz w:val="23"/>
        </w:rPr>
      </w:pPr>
    </w:p>
    <w:p>
      <w:pPr>
        <w:pStyle w:val="BodyText"/>
        <w:spacing w:line="276" w:lineRule="auto" w:before="56"/>
        <w:ind w:left="100" w:right="113"/>
        <w:jc w:val="both"/>
      </w:pPr>
      <w:r>
        <w:rPr/>
        <w:t>Το σήμα του ΕΣΠΑ και το σήμα του Περιφερειακού Επιχειρησιακού Προγράμματος Θεσσαλίας 2014-2020  θα είναι σύμφωνα με τα γραφιστικά πρότυπα και οδηγίες της οικείας Διαχειριστικής Αρχής (</w:t>
      </w:r>
      <w:hyperlink r:id="rId10">
        <w:r>
          <w:rPr>
            <w:color w:val="0462C1"/>
            <w:u w:val="single" w:color="0462C1"/>
          </w:rPr>
          <w:t>www.thessalia-</w:t>
        </w:r>
      </w:hyperlink>
      <w:r>
        <w:rPr>
          <w:color w:val="0462C1"/>
          <w:u w:val="single" w:color="0462C1"/>
        </w:rPr>
        <w:t> </w:t>
      </w:r>
      <w:hyperlink r:id="rId10">
        <w:r>
          <w:rPr>
            <w:color w:val="0462C1"/>
            <w:u w:val="single" w:color="0462C1"/>
          </w:rPr>
          <w:t>espa.gr</w:t>
        </w:r>
      </w:hyperlink>
      <w:r>
        <w:rPr/>
        <w:t>) και των κατευθύνσεων που δίνονται στους Δικαιούχους από τον Φορέα υλοποίησης της δράσης που είναι η Διεύθυνση Αναπτυξιακού Προγραμματισμού Περιφέρειας Θεσσαλίας</w:t>
      </w:r>
      <w:r>
        <w:rPr>
          <w:spacing w:val="-18"/>
        </w:rPr>
        <w:t> </w:t>
      </w:r>
      <w:r>
        <w:rPr/>
        <w:t>(</w:t>
      </w:r>
      <w:hyperlink r:id="rId9">
        <w:r>
          <w:rPr>
            <w:color w:val="0462C1"/>
            <w:u w:val="single" w:color="0462C1"/>
          </w:rPr>
          <w:t>www.thessaly.gov.gr</w:t>
        </w:r>
      </w:hyperlink>
      <w:r>
        <w:rPr/>
        <w:t>).</w:t>
      </w:r>
    </w:p>
    <w:p>
      <w:pPr>
        <w:pStyle w:val="BodyText"/>
        <w:spacing w:before="7"/>
        <w:rPr>
          <w:sz w:val="20"/>
        </w:rPr>
      </w:pPr>
    </w:p>
    <w:p>
      <w:pPr>
        <w:pStyle w:val="BodyText"/>
        <w:spacing w:line="276" w:lineRule="auto" w:before="57"/>
        <w:ind w:left="100" w:right="113"/>
        <w:jc w:val="both"/>
      </w:pPr>
      <w:r>
        <w:rPr/>
        <w:t>Για την παραγωγή του συνόλου των παραπάνω υποδειγμάτων πληροφόρησης &amp; επικοινωνίας, διατίθενται σαφείς και αναλυτικές οδηγίες, μακέτες, παραδείγματα και βοηθητικό υλικό (λογότυπα, stickers κλπ) στις ανωτέρω ιστοσελίδες, όπου διατίθεται και ο Επικοινωνιακός Οδηγός ΕΣΠΑ, καθώς και στην ιστοσελίδα </w:t>
      </w:r>
      <w:hyperlink r:id="rId11">
        <w:r>
          <w:rPr>
            <w:color w:val="0462C1"/>
            <w:u w:val="single" w:color="0462C1"/>
          </w:rPr>
          <w:t>www.espa.gr </w:t>
        </w:r>
      </w:hyperlink>
      <w:r>
        <w:rPr/>
        <w:t>.</w:t>
      </w:r>
    </w:p>
    <w:p>
      <w:pPr>
        <w:pStyle w:val="BodyText"/>
        <w:spacing w:before="10"/>
        <w:rPr>
          <w:sz w:val="20"/>
        </w:rPr>
      </w:pPr>
    </w:p>
    <w:p>
      <w:pPr>
        <w:pStyle w:val="BodyText"/>
        <w:spacing w:line="276" w:lineRule="auto" w:before="57"/>
        <w:ind w:left="100" w:right="118"/>
        <w:jc w:val="both"/>
      </w:pPr>
      <w:r>
        <w:rPr/>
        <w:t>Επισημαίνεται και ισχύει για κάθε μορφή επικοινωνίας και σε όλα τα είδη των πράξεων και δράσεων στο ΕΣΠΑ, ότι </w:t>
      </w:r>
      <w:r>
        <w:rPr>
          <w:b/>
        </w:rPr>
        <w:t>όλα τα μέτρα </w:t>
      </w:r>
      <w:r>
        <w:rPr/>
        <w:t>πληροφόρησης και επικοινωνίας που παρέχει ο δικαιούχος αναγνωρίζουν τη στήριξη της πράξης από τα Ταμεία, προβάλλοντας:</w:t>
      </w:r>
    </w:p>
    <w:p>
      <w:pPr>
        <w:pStyle w:val="ListParagraph"/>
        <w:numPr>
          <w:ilvl w:val="0"/>
          <w:numId w:val="91"/>
        </w:numPr>
        <w:tabs>
          <w:tab w:pos="866" w:val="left" w:leader="none"/>
          <w:tab w:pos="867" w:val="left" w:leader="none"/>
        </w:tabs>
        <w:spacing w:line="273" w:lineRule="auto" w:before="122" w:after="0"/>
        <w:ind w:left="866" w:right="115" w:hanging="360"/>
        <w:jc w:val="left"/>
        <w:rPr>
          <w:b/>
          <w:sz w:val="22"/>
        </w:rPr>
      </w:pPr>
      <w:r>
        <w:rPr>
          <w:sz w:val="22"/>
        </w:rPr>
        <w:t>το έμβλημα της Ένωσης, με αναφορά στην Ένωση και στο Ταμείο που στηρίζει την πράξη, σύμφωνα με τα τεχνικά χαρακτηριστικά που καθορίζονται στο Εκτελεστικό </w:t>
      </w:r>
      <w:r>
        <w:rPr>
          <w:b/>
          <w:sz w:val="22"/>
        </w:rPr>
        <w:t>Κανονισμό</w:t>
      </w:r>
      <w:r>
        <w:rPr>
          <w:b/>
          <w:spacing w:val="-21"/>
          <w:sz w:val="22"/>
        </w:rPr>
        <w:t> </w:t>
      </w:r>
      <w:r>
        <w:rPr>
          <w:b/>
          <w:sz w:val="22"/>
        </w:rPr>
        <w:t>821/2014,</w:t>
      </w:r>
    </w:p>
    <w:p>
      <w:pPr>
        <w:pStyle w:val="ListParagraph"/>
        <w:numPr>
          <w:ilvl w:val="0"/>
          <w:numId w:val="91"/>
        </w:numPr>
        <w:tabs>
          <w:tab w:pos="866" w:val="left" w:leader="none"/>
          <w:tab w:pos="867" w:val="left" w:leader="none"/>
        </w:tabs>
        <w:spacing w:line="240" w:lineRule="auto" w:before="2" w:after="0"/>
        <w:ind w:left="866" w:right="0" w:hanging="360"/>
        <w:jc w:val="left"/>
        <w:rPr>
          <w:sz w:val="22"/>
        </w:rPr>
      </w:pPr>
      <w:r>
        <w:rPr>
          <w:sz w:val="22"/>
        </w:rPr>
        <w:t>αναφορά στο Ταμείο που στηρίζουν την</w:t>
      </w:r>
      <w:r>
        <w:rPr>
          <w:spacing w:val="-13"/>
          <w:sz w:val="22"/>
        </w:rPr>
        <w:t> </w:t>
      </w:r>
      <w:r>
        <w:rPr>
          <w:sz w:val="22"/>
        </w:rPr>
        <w:t>πράξη.</w:t>
      </w:r>
    </w:p>
    <w:p>
      <w:pPr>
        <w:pStyle w:val="BodyText"/>
        <w:spacing w:before="4"/>
        <w:rPr>
          <w:sz w:val="38"/>
        </w:rPr>
      </w:pPr>
    </w:p>
    <w:p>
      <w:pPr>
        <w:pStyle w:val="BodyText"/>
        <w:spacing w:line="276" w:lineRule="auto"/>
        <w:ind w:left="100" w:right="118"/>
        <w:jc w:val="both"/>
      </w:pPr>
      <w:r>
        <w:rPr/>
        <w:t>Η μη εφαρμογή των μέτρων πληροφόρησης και επικοινωνίας όπως ορίζονται στον Κανονισμό 1303/2013 και στον Εκτελεστικό Κανονισμό 821/2014, μπορεί να επιφέρει κατ’ αποκοπή διόρθωση επί του συνόλου των δαπανών του</w:t>
      </w:r>
      <w:r>
        <w:rPr>
          <w:spacing w:val="-5"/>
        </w:rPr>
        <w:t> </w:t>
      </w:r>
      <w:r>
        <w:rPr/>
        <w:t>έργου.</w:t>
      </w:r>
    </w:p>
    <w:p>
      <w:pPr>
        <w:pStyle w:val="BodyText"/>
        <w:spacing w:before="2"/>
        <w:rPr>
          <w:sz w:val="25"/>
        </w:rPr>
      </w:pPr>
    </w:p>
    <w:p>
      <w:pPr>
        <w:pStyle w:val="BodyText"/>
        <w:spacing w:line="276" w:lineRule="auto"/>
        <w:ind w:left="100" w:right="113"/>
        <w:jc w:val="both"/>
      </w:pPr>
      <w:r>
        <w:rPr/>
        <w:t>Στην περίπτωση που ο δικαιούχος, αποφασίσει να λάβει μέτρα πληροφόρησης και επικοινωνίας για την πράξη πέραν των προαναφερόμενων, τα μέτρα αυτά θα πρέπει να τηρούν τον Κανονισμό 1303/2013 και  τον Εκτελεστικό Κανονισμό 821/2014 (Παρ. 3 Επικοινωνιακού Οδηγού</w:t>
      </w:r>
      <w:r>
        <w:rPr>
          <w:spacing w:val="-17"/>
        </w:rPr>
        <w:t> </w:t>
      </w:r>
      <w:r>
        <w:rPr/>
        <w:t>ΕΣΠΑ).</w:t>
      </w:r>
    </w:p>
    <w:p>
      <w:pPr>
        <w:pStyle w:val="BodyText"/>
        <w:spacing w:before="5"/>
        <w:rPr>
          <w:sz w:val="25"/>
        </w:rPr>
      </w:pPr>
    </w:p>
    <w:p>
      <w:pPr>
        <w:pStyle w:val="BodyText"/>
        <w:spacing w:line="276" w:lineRule="auto"/>
        <w:ind w:left="100" w:right="115"/>
        <w:jc w:val="both"/>
      </w:pPr>
      <w:r>
        <w:rPr/>
        <w:t>Σε περίπτωση που οποιοσδήποτε εμπλεκόμενος φορέας αποφασίσει να υλοποιήσει διαφημιστικές ή ενημερωτικές δράσεις σχετικές με συγχρηματοδοτούμενα έργα ή προγράμματα, ακόμα κι αν τις καλύπτει  με δική του χρηματοδότηση, οφείλει να τηρήσει τις ίδιες υποχρεώσεις σε ότι αφορά τη σηματοδότηση και τις εκφωνήσεις των μηνυμάτων. Τέλος, σε όλα τα μέτρα πληροφόρησης και επικοινωνίας θα πρέπει να τηρείται η υποχρέωση για παροχή προσβάσιμης πληροφόρησης στα άτομα με αναπηρία (Παρ. 5 Επικοινωνιακού</w:t>
      </w:r>
      <w:r>
        <w:rPr>
          <w:spacing w:val="-3"/>
        </w:rPr>
        <w:t> </w:t>
      </w:r>
      <w:r>
        <w:rPr/>
        <w:t>Οδηγού).</w:t>
      </w:r>
    </w:p>
    <w:sectPr>
      <w:pgSz w:w="11910" w:h="16840"/>
      <w:pgMar w:header="748" w:footer="743" w:top="1420" w:bottom="940" w:left="98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A1"/>
    <w:family w:val="roman"/>
    <w:pitch w:val="variable"/>
  </w:font>
  <w:font w:name="Arial">
    <w:altName w:val="Arial"/>
    <w:charset w:val="A1"/>
    <w:family w:val="swiss"/>
    <w:pitch w:val="variable"/>
  </w:font>
  <w:font w:name="Tahoma">
    <w:altName w:val="Tahoma"/>
    <w:charset w:val="A1"/>
    <w:family w:val="swiss"/>
    <w:pitch w:val="variable"/>
  </w:font>
  <w:font w:name="Calibri">
    <w:altName w:val="Calibri"/>
    <w:charset w:val="A1"/>
    <w:family w:val="swiss"/>
    <w:pitch w:val="variable"/>
  </w:font>
  <w:font w:name="Symbol">
    <w:altName w:val="Symbol"/>
    <w:charset w:val="2"/>
    <w:family w:val="roman"/>
    <w:pitch w:val="variable"/>
  </w:font>
  <w:font w:name="Wingdings">
    <w:altName w:val="Wingdings"/>
    <w:charset w:val="2"/>
    <w:family w:val="auto"/>
    <w:pitch w:val="variable"/>
  </w:font>
  <w:font w:name="Courier New">
    <w:altName w:val="Courier New"/>
    <w:charset w:val="A1"/>
    <w:family w:val="modern"/>
    <w:pitch w:val="fixed"/>
  </w:font>
  <w:font w:name="Trebuchet MS">
    <w:altName w:val="Trebuchet MS"/>
    <w:charset w:val="A1"/>
    <w:family w:val="swiss"/>
    <w:pitch w:val="variable"/>
  </w:font>
  <w:font w:name="Verdana">
    <w:altName w:val="Verdana"/>
    <w:charset w:val="A1"/>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6735">
          <wp:simplePos x="0" y="0"/>
          <wp:positionH relativeFrom="page">
            <wp:posOffset>5753100</wp:posOffset>
          </wp:positionH>
          <wp:positionV relativeFrom="page">
            <wp:posOffset>9729469</wp:posOffset>
          </wp:positionV>
          <wp:extent cx="892809" cy="53911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892809" cy="539115"/>
                  </a:xfrm>
                  <a:prstGeom prst="rect">
                    <a:avLst/>
                  </a:prstGeom>
                </pic:spPr>
              </pic:pic>
            </a:graphicData>
          </a:graphic>
        </wp:anchor>
      </w:drawing>
    </w:r>
    <w:r>
      <w:rPr/>
      <w:pict>
        <v:group style="position:absolute;margin-left:62.400009pt;margin-top:759.840027pt;width:466.65pt;height:.5pt;mso-position-horizontal-relative:page;mso-position-vertical-relative:page;z-index:-268696" coordorigin="1248,15197" coordsize="9333,10">
          <v:line style="position:absolute" from="1253,15202" to="5331,15202" stroked="true" strokeweight=".47998pt" strokecolor="#000000">
            <v:stroke dashstyle="solid"/>
          </v:line>
          <v:line style="position:absolute" from="5331,15202" to="5341,15202" stroked="true" strokeweight=".47998pt" strokecolor="#000000">
            <v:stroke dashstyle="solid"/>
          </v:line>
          <v:line style="position:absolute" from="5341,15202" to="7487,15202" stroked="true" strokeweight=".47998pt" strokecolor="#000000">
            <v:stroke dashstyle="solid"/>
          </v:line>
          <v:line style="position:absolute" from="7487,15202" to="7497,15202" stroked="true" strokeweight=".47998pt" strokecolor="#000000">
            <v:stroke dashstyle="solid"/>
          </v:line>
          <v:line style="position:absolute" from="7497,15202" to="10576,15202" stroked="true" strokeweight=".47998pt" strokecolor="#000000">
            <v:stroke dashstyle="solid"/>
          </v:line>
          <w10:wrap type="none"/>
        </v:group>
      </w:pict>
    </w:r>
    <w:r>
      <w:rPr/>
      <w:pict>
        <v:shapetype id="_x0000_t202" o:spt="202" coordsize="21600,21600" path="m,l,21600r21600,l21600,xe">
          <v:stroke joinstyle="miter"/>
          <v:path gradientshapeok="t" o:connecttype="rect"/>
        </v:shapetype>
        <v:shape style="position:absolute;margin-left:302.769989pt;margin-top:781.396057pt;width:24.65pt;height:11.75pt;mso-position-horizontal-relative:page;mso-position-vertical-relative:page;z-index:-268672" type="#_x0000_t202" filled="false" stroked="false">
          <v:textbox inset="0,0,0,0">
            <w:txbxContent>
              <w:p>
                <w:pPr>
                  <w:spacing w:before="21"/>
                  <w:ind w:left="20" w:right="0" w:firstLine="0"/>
                  <w:jc w:val="left"/>
                  <w:rPr>
                    <w:rFonts w:ascii="Tahoma"/>
                    <w:sz w:val="16"/>
                  </w:rPr>
                </w:pPr>
                <w:r>
                  <w:rPr>
                    <w:rFonts w:ascii="Tahoma"/>
                    <w:sz w:val="16"/>
                  </w:rPr>
                  <w:t>- </w:t>
                </w:r>
                <w:r>
                  <w:rPr/>
                  <w:fldChar w:fldCharType="begin"/>
                </w:r>
                <w:r>
                  <w:rPr>
                    <w:rFonts w:ascii="Tahoma"/>
                    <w:sz w:val="16"/>
                  </w:rPr>
                  <w:instrText> PAGE </w:instrText>
                </w:r>
                <w:r>
                  <w:rPr/>
                  <w:fldChar w:fldCharType="separate"/>
                </w:r>
                <w:r>
                  <w:rPr/>
                  <w:t>1</w:t>
                </w:r>
                <w:r>
                  <w:rPr/>
                  <w:fldChar w:fldCharType="end"/>
                </w:r>
                <w:r>
                  <w:rPr>
                    <w:rFonts w:ascii="Tahoma"/>
                    <w:sz w:val="16"/>
                  </w:rPr>
                  <w:t>/5 -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05pt;height:13.05pt;mso-position-horizontal-relative:page;mso-position-vertical-relative:page;z-index:-268456" type="#_x0000_t202" filled="false" stroked="false">
          <v:textbox inset="0,0,0,0">
            <w:txbxContent>
              <w:p>
                <w:pPr>
                  <w:spacing w:line="245" w:lineRule="exact" w:before="0"/>
                  <w:ind w:left="20" w:right="0" w:firstLine="0"/>
                  <w:jc w:val="left"/>
                  <w:rPr>
                    <w:b/>
                    <w:sz w:val="22"/>
                  </w:rPr>
                </w:pPr>
                <w:r>
                  <w:rPr>
                    <w:sz w:val="22"/>
                  </w:rPr>
                  <w:t>Σελίδα </w:t>
                </w:r>
                <w:r>
                  <w:rPr>
                    <w:b/>
                    <w:sz w:val="22"/>
                  </w:rPr>
                  <w:t>40 </w:t>
                </w:r>
                <w:r>
                  <w:rPr>
                    <w:sz w:val="22"/>
                  </w:rPr>
                  <w:t>από </w:t>
                </w:r>
                <w:r>
                  <w:rPr>
                    <w:b/>
                    <w:sz w:val="22"/>
                  </w:rPr>
                  <w:t>71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05pt;height:13.05pt;mso-position-horizontal-relative:page;mso-position-vertical-relative:page;z-index:-268432" type="#_x0000_t202" filled="false" stroked="false">
          <v:textbox inset="0,0,0,0">
            <w:txbxContent>
              <w:p>
                <w:pPr>
                  <w:spacing w:line="245" w:lineRule="exact" w:before="0"/>
                  <w:ind w:left="20" w:right="0" w:firstLine="0"/>
                  <w:jc w:val="left"/>
                  <w:rPr>
                    <w:b/>
                    <w:sz w:val="22"/>
                  </w:rPr>
                </w:pPr>
                <w:r>
                  <w:rPr>
                    <w:sz w:val="22"/>
                  </w:rPr>
                  <w:t>Σελίδα </w:t>
                </w:r>
                <w:r>
                  <w:rPr/>
                  <w:fldChar w:fldCharType="begin"/>
                </w:r>
                <w:r>
                  <w:rPr>
                    <w:b/>
                    <w:sz w:val="22"/>
                  </w:rPr>
                  <w:instrText> PAGE </w:instrText>
                </w:r>
                <w:r>
                  <w:rPr/>
                  <w:fldChar w:fldCharType="separate"/>
                </w:r>
                <w:r>
                  <w:rPr/>
                  <w:t>41</w:t>
                </w:r>
                <w:r>
                  <w:rPr/>
                  <w:fldChar w:fldCharType="end"/>
                </w:r>
                <w:r>
                  <w:rPr>
                    <w:b/>
                    <w:sz w:val="22"/>
                  </w:rPr>
                  <w:t> </w:t>
                </w:r>
                <w:r>
                  <w:rPr>
                    <w:sz w:val="22"/>
                  </w:rPr>
                  <w:t>από </w:t>
                </w:r>
                <w:r>
                  <w:rPr>
                    <w:b/>
                    <w:sz w:val="22"/>
                  </w:rPr>
                  <w:t>71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05pt;height:13.05pt;mso-position-horizontal-relative:page;mso-position-vertical-relative:page;z-index:-268408" type="#_x0000_t202" filled="false" stroked="false">
          <v:textbox inset="0,0,0,0">
            <w:txbxContent>
              <w:p>
                <w:pPr>
                  <w:spacing w:line="245" w:lineRule="exact" w:before="0"/>
                  <w:ind w:left="20" w:right="0" w:firstLine="0"/>
                  <w:jc w:val="left"/>
                  <w:rPr>
                    <w:b/>
                    <w:sz w:val="22"/>
                  </w:rPr>
                </w:pPr>
                <w:r>
                  <w:rPr>
                    <w:sz w:val="22"/>
                  </w:rPr>
                  <w:t>Σελίδα </w:t>
                </w:r>
                <w:r>
                  <w:rPr>
                    <w:b/>
                    <w:sz w:val="22"/>
                  </w:rPr>
                  <w:t>50 </w:t>
                </w:r>
                <w:r>
                  <w:rPr>
                    <w:sz w:val="22"/>
                  </w:rPr>
                  <w:t>από </w:t>
                </w:r>
                <w:r>
                  <w:rPr>
                    <w:b/>
                    <w:sz w:val="22"/>
                  </w:rPr>
                  <w:t>71</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05pt;height:13.05pt;mso-position-horizontal-relative:page;mso-position-vertical-relative:page;z-index:-268384" type="#_x0000_t202" filled="false" stroked="false">
          <v:textbox inset="0,0,0,0">
            <w:txbxContent>
              <w:p>
                <w:pPr>
                  <w:spacing w:line="245" w:lineRule="exact" w:before="0"/>
                  <w:ind w:left="20" w:right="0" w:firstLine="0"/>
                  <w:jc w:val="left"/>
                  <w:rPr>
                    <w:b/>
                    <w:sz w:val="22"/>
                  </w:rPr>
                </w:pPr>
                <w:r>
                  <w:rPr>
                    <w:sz w:val="22"/>
                  </w:rPr>
                  <w:t>Σελίδα </w:t>
                </w:r>
                <w:r>
                  <w:rPr/>
                  <w:fldChar w:fldCharType="begin"/>
                </w:r>
                <w:r>
                  <w:rPr>
                    <w:b/>
                    <w:sz w:val="22"/>
                  </w:rPr>
                  <w:instrText> PAGE </w:instrText>
                </w:r>
                <w:r>
                  <w:rPr/>
                  <w:fldChar w:fldCharType="separate"/>
                </w:r>
                <w:r>
                  <w:rPr/>
                  <w:t>51</w:t>
                </w:r>
                <w:r>
                  <w:rPr/>
                  <w:fldChar w:fldCharType="end"/>
                </w:r>
                <w:r>
                  <w:rPr>
                    <w:b/>
                    <w:sz w:val="22"/>
                  </w:rPr>
                  <w:t> </w:t>
                </w:r>
                <w:r>
                  <w:rPr>
                    <w:sz w:val="22"/>
                  </w:rPr>
                  <w:t>από </w:t>
                </w:r>
                <w:r>
                  <w:rPr>
                    <w:b/>
                    <w:sz w:val="22"/>
                  </w:rPr>
                  <w:t>71</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05pt;height:13.05pt;mso-position-horizontal-relative:page;mso-position-vertical-relative:page;z-index:-268360" type="#_x0000_t202" filled="false" stroked="false">
          <v:textbox inset="0,0,0,0">
            <w:txbxContent>
              <w:p>
                <w:pPr>
                  <w:spacing w:line="245" w:lineRule="exact" w:before="0"/>
                  <w:ind w:left="20" w:right="0" w:firstLine="0"/>
                  <w:jc w:val="left"/>
                  <w:rPr>
                    <w:b/>
                    <w:sz w:val="22"/>
                  </w:rPr>
                </w:pPr>
                <w:r>
                  <w:rPr>
                    <w:sz w:val="22"/>
                  </w:rPr>
                  <w:t>Σελίδα </w:t>
                </w:r>
                <w:r>
                  <w:rPr>
                    <w:b/>
                    <w:sz w:val="22"/>
                  </w:rPr>
                  <w:t>60 </w:t>
                </w:r>
                <w:r>
                  <w:rPr>
                    <w:sz w:val="22"/>
                  </w:rPr>
                  <w:t>από </w:t>
                </w:r>
                <w:r>
                  <w:rPr>
                    <w:b/>
                    <w:sz w:val="22"/>
                  </w:rPr>
                  <w:t>71</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05pt;height:13.05pt;mso-position-horizontal-relative:page;mso-position-vertical-relative:page;z-index:-268336" type="#_x0000_t202" filled="false" stroked="false">
          <v:textbox inset="0,0,0,0">
            <w:txbxContent>
              <w:p>
                <w:pPr>
                  <w:spacing w:line="245" w:lineRule="exact" w:before="0"/>
                  <w:ind w:left="20" w:right="0" w:firstLine="0"/>
                  <w:jc w:val="left"/>
                  <w:rPr>
                    <w:b/>
                    <w:sz w:val="22"/>
                  </w:rPr>
                </w:pPr>
                <w:r>
                  <w:rPr>
                    <w:sz w:val="22"/>
                  </w:rPr>
                  <w:t>Σελίδα </w:t>
                </w:r>
                <w:r>
                  <w:rPr/>
                  <w:fldChar w:fldCharType="begin"/>
                </w:r>
                <w:r>
                  <w:rPr>
                    <w:b/>
                    <w:sz w:val="22"/>
                  </w:rPr>
                  <w:instrText> PAGE </w:instrText>
                </w:r>
                <w:r>
                  <w:rPr/>
                  <w:fldChar w:fldCharType="separate"/>
                </w:r>
                <w:r>
                  <w:rPr/>
                  <w:t>61</w:t>
                </w:r>
                <w:r>
                  <w:rPr/>
                  <w:fldChar w:fldCharType="end"/>
                </w:r>
                <w:r>
                  <w:rPr>
                    <w:b/>
                    <w:sz w:val="22"/>
                  </w:rPr>
                  <w:t> </w:t>
                </w:r>
                <w:r>
                  <w:rPr>
                    <w:sz w:val="22"/>
                  </w:rPr>
                  <w:t>από </w:t>
                </w:r>
                <w:r>
                  <w:rPr>
                    <w:b/>
                    <w:sz w:val="22"/>
                  </w:rPr>
                  <w:t>71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05pt;height:13.05pt;mso-position-horizontal-relative:page;mso-position-vertical-relative:page;z-index:-268312" type="#_x0000_t202" filled="false" stroked="false">
          <v:textbox inset="0,0,0,0">
            <w:txbxContent>
              <w:p>
                <w:pPr>
                  <w:spacing w:line="245" w:lineRule="exact" w:before="0"/>
                  <w:ind w:left="20" w:right="0" w:firstLine="0"/>
                  <w:jc w:val="left"/>
                  <w:rPr>
                    <w:b/>
                    <w:sz w:val="22"/>
                  </w:rPr>
                </w:pPr>
                <w:r>
                  <w:rPr>
                    <w:sz w:val="22"/>
                  </w:rPr>
                  <w:t>Σελίδα </w:t>
                </w:r>
                <w:r>
                  <w:rPr>
                    <w:b/>
                    <w:sz w:val="22"/>
                  </w:rPr>
                  <w:t>70 </w:t>
                </w:r>
                <w:r>
                  <w:rPr>
                    <w:sz w:val="22"/>
                  </w:rPr>
                  <w:t>από </w:t>
                </w:r>
                <w:r>
                  <w:rPr>
                    <w:b/>
                    <w:sz w:val="22"/>
                  </w:rPr>
                  <w:t>71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05pt;height:13.05pt;mso-position-horizontal-relative:page;mso-position-vertical-relative:page;z-index:-268288" type="#_x0000_t202" filled="false" stroked="false">
          <v:textbox inset="0,0,0,0">
            <w:txbxContent>
              <w:p>
                <w:pPr>
                  <w:spacing w:line="245" w:lineRule="exact" w:before="0"/>
                  <w:ind w:left="20" w:right="0" w:firstLine="0"/>
                  <w:jc w:val="left"/>
                  <w:rPr>
                    <w:b/>
                    <w:sz w:val="22"/>
                  </w:rPr>
                </w:pPr>
                <w:r>
                  <w:rPr>
                    <w:sz w:val="22"/>
                  </w:rPr>
                  <w:t>Σελίδα </w:t>
                </w:r>
                <w:r>
                  <w:rPr>
                    <w:b/>
                    <w:sz w:val="22"/>
                  </w:rPr>
                  <w:t>71 </w:t>
                </w:r>
                <w:r>
                  <w:rPr>
                    <w:sz w:val="22"/>
                  </w:rPr>
                  <w:t>από </w:t>
                </w:r>
                <w:r>
                  <w:rPr>
                    <w:b/>
                    <w:sz w:val="22"/>
                  </w:rPr>
                  <w:t>71</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850006pt;margin-top:782pt;width:149.85pt;height:13.05pt;mso-position-horizontal-relative:page;mso-position-vertical-relative:page;z-index:-268264" type="#_x0000_t202" filled="false" stroked="false">
          <v:textbox inset="0,0,0,0">
            <w:txbxContent>
              <w:p>
                <w:pPr>
                  <w:pStyle w:val="BodyText"/>
                  <w:spacing w:line="245" w:lineRule="exact"/>
                  <w:ind w:left="20"/>
                  <w:rPr>
                    <w:b/>
                  </w:rPr>
                </w:pPr>
                <w:r>
                  <w:rPr/>
                  <w:t>ΠΑΡΑΡΤΗΜΑ Ι.1 - Σελίδα </w:t>
                </w:r>
                <w:r>
                  <w:rPr/>
                  <w:fldChar w:fldCharType="begin"/>
                </w:r>
                <w:r>
                  <w:rPr>
                    <w:b/>
                  </w:rPr>
                  <w:instrText> PAGE </w:instrText>
                </w:r>
                <w:r>
                  <w:rPr/>
                  <w:fldChar w:fldCharType="separate"/>
                </w:r>
                <w:r>
                  <w:rPr/>
                  <w:t>1</w:t>
                </w:r>
                <w:r>
                  <w:rPr/>
                  <w:fldChar w:fldCharType="end"/>
                </w:r>
                <w:r>
                  <w:rPr>
                    <w:b/>
                  </w:rPr>
                  <w:t> </w:t>
                </w:r>
                <w:r>
                  <w:rPr/>
                  <w:t>από </w:t>
                </w:r>
                <w:r>
                  <w:rPr>
                    <w:b/>
                  </w:rPr>
                  <w:t>8</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850006pt;margin-top:782pt;width:149.85pt;height:13.05pt;mso-position-horizontal-relative:page;mso-position-vertical-relative:page;z-index:-268192" type="#_x0000_t202" filled="false" stroked="false">
          <v:textbox inset="0,0,0,0">
            <w:txbxContent>
              <w:p>
                <w:pPr>
                  <w:pStyle w:val="BodyText"/>
                  <w:spacing w:line="245" w:lineRule="exact"/>
                  <w:ind w:left="20"/>
                  <w:rPr>
                    <w:b/>
                  </w:rPr>
                </w:pPr>
                <w:r>
                  <w:rPr/>
                  <w:t>ΠΑΡΑΡΤΗΜΑ Ι.1 - Σελίδα </w:t>
                </w:r>
                <w:r>
                  <w:rPr/>
                  <w:fldChar w:fldCharType="begin"/>
                </w:r>
                <w:r>
                  <w:rPr>
                    <w:b/>
                  </w:rPr>
                  <w:instrText> PAGE </w:instrText>
                </w:r>
                <w:r>
                  <w:rPr/>
                  <w:fldChar w:fldCharType="separate"/>
                </w:r>
                <w:r>
                  <w:rPr/>
                  <w:t>7</w:t>
                </w:r>
                <w:r>
                  <w:rPr/>
                  <w:fldChar w:fldCharType="end"/>
                </w:r>
                <w:r>
                  <w:rPr>
                    <w:b/>
                  </w:rPr>
                  <w:t> </w:t>
                </w:r>
                <w:r>
                  <w:rPr/>
                  <w:t>από </w:t>
                </w:r>
                <w:r>
                  <w:rPr>
                    <w:b/>
                  </w:rPr>
                  <w:t>8</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7287">
          <wp:simplePos x="0" y="0"/>
          <wp:positionH relativeFrom="page">
            <wp:posOffset>5990590</wp:posOffset>
          </wp:positionH>
          <wp:positionV relativeFrom="page">
            <wp:posOffset>9599929</wp:posOffset>
          </wp:positionV>
          <wp:extent cx="782319" cy="466090"/>
          <wp:effectExtent l="0" t="0" r="0" b="0"/>
          <wp:wrapNone/>
          <wp:docPr id="23" name="image9.jpeg" descr=""/>
          <wp:cNvGraphicFramePr>
            <a:graphicFrameLocks noChangeAspect="1"/>
          </wp:cNvGraphicFramePr>
          <a:graphic>
            <a:graphicData uri="http://schemas.openxmlformats.org/drawingml/2006/picture">
              <pic:pic>
                <pic:nvPicPr>
                  <pic:cNvPr id="24" name="image9.jpeg"/>
                  <pic:cNvPicPr/>
                </pic:nvPicPr>
                <pic:blipFill>
                  <a:blip r:embed="rId1" cstate="print"/>
                  <a:stretch>
                    <a:fillRect/>
                  </a:stretch>
                </pic:blipFill>
                <pic:spPr>
                  <a:xfrm>
                    <a:off x="0" y="0"/>
                    <a:ext cx="782319" cy="466090"/>
                  </a:xfrm>
                  <a:prstGeom prst="rect">
                    <a:avLst/>
                  </a:prstGeom>
                </pic:spPr>
              </pic:pic>
            </a:graphicData>
          </a:graphic>
        </wp:anchor>
      </w:drawing>
    </w:r>
    <w:r>
      <w:rPr/>
      <w:pict>
        <v:shape style="position:absolute;margin-left:104.379997pt;margin-top:767.23999pt;width:74.7pt;height:13.05pt;mso-position-horizontal-relative:page;mso-position-vertical-relative:page;z-index:-268144"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278.170013pt;margin-top:767.23999pt;width:74.5pt;height:13.05pt;mso-position-horizontal-relative:page;mso-position-vertical-relative:page;z-index:-268120" type="#_x0000_t202" filled="false" stroked="false">
          <v:textbox inset="0,0,0,0">
            <w:txbxContent>
              <w:p>
                <w:pPr>
                  <w:spacing w:line="245" w:lineRule="exact" w:before="0"/>
                  <w:ind w:left="20" w:right="0" w:firstLine="0"/>
                  <w:jc w:val="left"/>
                  <w:rPr>
                    <w:b/>
                    <w:sz w:val="22"/>
                  </w:rPr>
                </w:pPr>
                <w:r>
                  <w:rPr>
                    <w:sz w:val="22"/>
                  </w:rPr>
                  <w:t>Σελίδα </w:t>
                </w:r>
                <w:r>
                  <w:rPr>
                    <w:b/>
                    <w:sz w:val="22"/>
                  </w:rPr>
                  <w:t>2 </w:t>
                </w:r>
                <w:r>
                  <w:rPr>
                    <w:sz w:val="22"/>
                  </w:rPr>
                  <w:t>από </w:t>
                </w:r>
                <w:r>
                  <w:rPr>
                    <w:b/>
                    <w:sz w:val="22"/>
                  </w:rPr>
                  <w:t>15</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7359">
          <wp:simplePos x="0" y="0"/>
          <wp:positionH relativeFrom="page">
            <wp:posOffset>5990590</wp:posOffset>
          </wp:positionH>
          <wp:positionV relativeFrom="page">
            <wp:posOffset>9599929</wp:posOffset>
          </wp:positionV>
          <wp:extent cx="782319" cy="466090"/>
          <wp:effectExtent l="0" t="0" r="0" b="0"/>
          <wp:wrapNone/>
          <wp:docPr id="25" name="image9.jpeg" descr=""/>
          <wp:cNvGraphicFramePr>
            <a:graphicFrameLocks noChangeAspect="1"/>
          </wp:cNvGraphicFramePr>
          <a:graphic>
            <a:graphicData uri="http://schemas.openxmlformats.org/drawingml/2006/picture">
              <pic:pic>
                <pic:nvPicPr>
                  <pic:cNvPr id="26" name="image9.jpeg"/>
                  <pic:cNvPicPr/>
                </pic:nvPicPr>
                <pic:blipFill>
                  <a:blip r:embed="rId1" cstate="print"/>
                  <a:stretch>
                    <a:fillRect/>
                  </a:stretch>
                </pic:blipFill>
                <pic:spPr>
                  <a:xfrm>
                    <a:off x="0" y="0"/>
                    <a:ext cx="782319" cy="466090"/>
                  </a:xfrm>
                  <a:prstGeom prst="rect">
                    <a:avLst/>
                  </a:prstGeom>
                </pic:spPr>
              </pic:pic>
            </a:graphicData>
          </a:graphic>
        </wp:anchor>
      </w:drawing>
    </w:r>
    <w:r>
      <w:rPr/>
      <w:pict>
        <v:group style="position:absolute;margin-left:56.400009pt;margin-top:752.52002pt;width:482.65pt;height:.5pt;mso-position-horizontal-relative:page;mso-position-vertical-relative:page;z-index:-268072" coordorigin="1128,15050" coordsize="9653,10">
          <v:line style="position:absolute" from="1133,15055" to="4537,15055" stroked="true" strokeweight=".47998pt" strokecolor="#000000">
            <v:stroke dashstyle="solid"/>
          </v:line>
          <v:line style="position:absolute" from="4537,15055" to="4547,15055" stroked="true" strokeweight=".47998pt" strokecolor="#000000">
            <v:stroke dashstyle="solid"/>
          </v:line>
          <v:line style="position:absolute" from="4547,15055" to="8082,15055" stroked="true" strokeweight=".47998pt" strokecolor="#000000">
            <v:stroke dashstyle="solid"/>
          </v:line>
          <v:line style="position:absolute" from="8082,15055" to="8092,15055" stroked="true" strokeweight=".47998pt" strokecolor="#000000">
            <v:stroke dashstyle="solid"/>
          </v:line>
          <v:line style="position:absolute" from="8092,15055" to="10775,15055" stroked="true" strokeweight=".47998pt" strokecolor="#000000">
            <v:stroke dashstyle="solid"/>
          </v:line>
          <w10:wrap type="none"/>
        </v:group>
      </w:pict>
    </w:r>
    <w:r>
      <w:rPr/>
      <w:pict>
        <v:shape style="position:absolute;margin-left:104.379997pt;margin-top:767.23999pt;width:74.7pt;height:13.05pt;mso-position-horizontal-relative:page;mso-position-vertical-relative:page;z-index:-268048"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278.170013pt;margin-top:767.23999pt;width:74.5pt;height:13.05pt;mso-position-horizontal-relative:page;mso-position-vertical-relative:page;z-index:-268024" type="#_x0000_t202" filled="false" stroked="false">
          <v:textbox inset="0,0,0,0">
            <w:txbxContent>
              <w:p>
                <w:pPr>
                  <w:spacing w:line="245" w:lineRule="exact" w:before="0"/>
                  <w:ind w:left="20" w:right="0" w:firstLine="0"/>
                  <w:jc w:val="left"/>
                  <w:rPr>
                    <w:b/>
                    <w:sz w:val="22"/>
                  </w:rPr>
                </w:pPr>
                <w:r>
                  <w:rPr>
                    <w:sz w:val="22"/>
                  </w:rPr>
                  <w:t>Σελίδα </w:t>
                </w:r>
                <w:r>
                  <w:rPr/>
                  <w:fldChar w:fldCharType="begin"/>
                </w:r>
                <w:r>
                  <w:rPr>
                    <w:b/>
                    <w:sz w:val="22"/>
                  </w:rPr>
                  <w:instrText> PAGE </w:instrText>
                </w:r>
                <w:r>
                  <w:rPr/>
                  <w:fldChar w:fldCharType="separate"/>
                </w:r>
                <w:r>
                  <w:rPr/>
                  <w:t>3</w:t>
                </w:r>
                <w:r>
                  <w:rPr/>
                  <w:fldChar w:fldCharType="end"/>
                </w:r>
                <w:r>
                  <w:rPr>
                    <w:b/>
                    <w:sz w:val="22"/>
                  </w:rPr>
                  <w:t> </w:t>
                </w:r>
                <w:r>
                  <w:rPr>
                    <w:sz w:val="22"/>
                  </w:rPr>
                  <w:t>από </w:t>
                </w:r>
                <w:r>
                  <w:rPr>
                    <w:b/>
                    <w:sz w:val="22"/>
                  </w:rPr>
                  <w:t>15</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7455">
          <wp:simplePos x="0" y="0"/>
          <wp:positionH relativeFrom="page">
            <wp:posOffset>5990590</wp:posOffset>
          </wp:positionH>
          <wp:positionV relativeFrom="page">
            <wp:posOffset>9599929</wp:posOffset>
          </wp:positionV>
          <wp:extent cx="782319" cy="466090"/>
          <wp:effectExtent l="0" t="0" r="0" b="0"/>
          <wp:wrapNone/>
          <wp:docPr id="27" name="image9.jpeg" descr=""/>
          <wp:cNvGraphicFramePr>
            <a:graphicFrameLocks noChangeAspect="1"/>
          </wp:cNvGraphicFramePr>
          <a:graphic>
            <a:graphicData uri="http://schemas.openxmlformats.org/drawingml/2006/picture">
              <pic:pic>
                <pic:nvPicPr>
                  <pic:cNvPr id="28" name="image9.jpeg"/>
                  <pic:cNvPicPr/>
                </pic:nvPicPr>
                <pic:blipFill>
                  <a:blip r:embed="rId1" cstate="print"/>
                  <a:stretch>
                    <a:fillRect/>
                  </a:stretch>
                </pic:blipFill>
                <pic:spPr>
                  <a:xfrm>
                    <a:off x="0" y="0"/>
                    <a:ext cx="782319" cy="466090"/>
                  </a:xfrm>
                  <a:prstGeom prst="rect">
                    <a:avLst/>
                  </a:prstGeom>
                </pic:spPr>
              </pic:pic>
            </a:graphicData>
          </a:graphic>
        </wp:anchor>
      </w:drawing>
    </w:r>
    <w:r>
      <w:rPr/>
      <w:pict>
        <v:group style="position:absolute;margin-left:56.400009pt;margin-top:752.52002pt;width:482.65pt;height:.5pt;mso-position-horizontal-relative:page;mso-position-vertical-relative:page;z-index:-267976" coordorigin="1128,15050" coordsize="9653,10">
          <v:line style="position:absolute" from="1133,15055" to="4537,15055" stroked="true" strokeweight=".47998pt" strokecolor="#000000">
            <v:stroke dashstyle="solid"/>
          </v:line>
          <v:line style="position:absolute" from="4537,15055" to="4547,15055" stroked="true" strokeweight=".47998pt" strokecolor="#000000">
            <v:stroke dashstyle="solid"/>
          </v:line>
          <v:line style="position:absolute" from="4547,15055" to="8082,15055" stroked="true" strokeweight=".47998pt" strokecolor="#000000">
            <v:stroke dashstyle="solid"/>
          </v:line>
          <v:line style="position:absolute" from="8082,15055" to="8092,15055" stroked="true" strokeweight=".47998pt" strokecolor="#000000">
            <v:stroke dashstyle="solid"/>
          </v:line>
          <v:line style="position:absolute" from="8092,15055" to="10775,15055" stroked="true" strokeweight=".47998pt" strokecolor="#000000">
            <v:stroke dashstyle="solid"/>
          </v:line>
          <w10:wrap type="none"/>
        </v:group>
      </w:pict>
    </w:r>
    <w:r>
      <w:rPr/>
      <w:pict>
        <v:shape style="position:absolute;margin-left:104.379997pt;margin-top:767.23999pt;width:74.7pt;height:13.05pt;mso-position-horizontal-relative:page;mso-position-vertical-relative:page;z-index:-267952"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278.170013pt;margin-top:767.23999pt;width:74.5pt;height:13.05pt;mso-position-horizontal-relative:page;mso-position-vertical-relative:page;z-index:-267928" type="#_x0000_t202" filled="false" stroked="false">
          <v:textbox inset="0,0,0,0">
            <w:txbxContent>
              <w:p>
                <w:pPr>
                  <w:spacing w:line="245" w:lineRule="exact" w:before="0"/>
                  <w:ind w:left="20" w:right="0" w:firstLine="0"/>
                  <w:jc w:val="left"/>
                  <w:rPr>
                    <w:b/>
                    <w:sz w:val="22"/>
                  </w:rPr>
                </w:pPr>
                <w:r>
                  <w:rPr>
                    <w:sz w:val="22"/>
                  </w:rPr>
                  <w:t>Σελίδα </w:t>
                </w:r>
                <w:r>
                  <w:rPr/>
                  <w:fldChar w:fldCharType="begin"/>
                </w:r>
                <w:r>
                  <w:rPr>
                    <w:b/>
                    <w:sz w:val="22"/>
                  </w:rPr>
                  <w:instrText> PAGE </w:instrText>
                </w:r>
                <w:r>
                  <w:rPr/>
                  <w:fldChar w:fldCharType="separate"/>
                </w:r>
                <w:r>
                  <w:rPr/>
                  <w:t>4</w:t>
                </w:r>
                <w:r>
                  <w:rPr/>
                  <w:fldChar w:fldCharType="end"/>
                </w:r>
                <w:r>
                  <w:rPr>
                    <w:b/>
                    <w:sz w:val="22"/>
                  </w:rPr>
                  <w:t> </w:t>
                </w:r>
                <w:r>
                  <w:rPr>
                    <w:sz w:val="22"/>
                  </w:rPr>
                  <w:t>από </w:t>
                </w:r>
                <w:r>
                  <w:rPr>
                    <w:b/>
                    <w:sz w:val="22"/>
                  </w:rPr>
                  <w:t>15</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7551">
          <wp:simplePos x="0" y="0"/>
          <wp:positionH relativeFrom="page">
            <wp:posOffset>5990590</wp:posOffset>
          </wp:positionH>
          <wp:positionV relativeFrom="page">
            <wp:posOffset>9599929</wp:posOffset>
          </wp:positionV>
          <wp:extent cx="782319" cy="466090"/>
          <wp:effectExtent l="0" t="0" r="0" b="0"/>
          <wp:wrapNone/>
          <wp:docPr id="29" name="image9.jpeg" descr=""/>
          <wp:cNvGraphicFramePr>
            <a:graphicFrameLocks noChangeAspect="1"/>
          </wp:cNvGraphicFramePr>
          <a:graphic>
            <a:graphicData uri="http://schemas.openxmlformats.org/drawingml/2006/picture">
              <pic:pic>
                <pic:nvPicPr>
                  <pic:cNvPr id="30" name="image9.jpeg"/>
                  <pic:cNvPicPr/>
                </pic:nvPicPr>
                <pic:blipFill>
                  <a:blip r:embed="rId1" cstate="print"/>
                  <a:stretch>
                    <a:fillRect/>
                  </a:stretch>
                </pic:blipFill>
                <pic:spPr>
                  <a:xfrm>
                    <a:off x="0" y="0"/>
                    <a:ext cx="782319" cy="466090"/>
                  </a:xfrm>
                  <a:prstGeom prst="rect">
                    <a:avLst/>
                  </a:prstGeom>
                </pic:spPr>
              </pic:pic>
            </a:graphicData>
          </a:graphic>
        </wp:anchor>
      </w:drawing>
    </w:r>
    <w:r>
      <w:rPr/>
      <w:pict>
        <v:group style="position:absolute;margin-left:56.400009pt;margin-top:752.52002pt;width:482.65pt;height:.5pt;mso-position-horizontal-relative:page;mso-position-vertical-relative:page;z-index:-267880" coordorigin="1128,15050" coordsize="9653,10">
          <v:line style="position:absolute" from="1133,15055" to="4537,15055" stroked="true" strokeweight=".47998pt" strokecolor="#000000">
            <v:stroke dashstyle="solid"/>
          </v:line>
          <v:line style="position:absolute" from="4537,15055" to="4547,15055" stroked="true" strokeweight=".47998pt" strokecolor="#000000">
            <v:stroke dashstyle="solid"/>
          </v:line>
          <v:line style="position:absolute" from="4547,15055" to="8082,15055" stroked="true" strokeweight=".47998pt" strokecolor="#000000">
            <v:stroke dashstyle="solid"/>
          </v:line>
          <v:line style="position:absolute" from="8082,15055" to="8092,15055" stroked="true" strokeweight=".47998pt" strokecolor="#000000">
            <v:stroke dashstyle="solid"/>
          </v:line>
          <v:line style="position:absolute" from="8092,15055" to="10775,15055" stroked="true" strokeweight=".47998pt" strokecolor="#000000">
            <v:stroke dashstyle="solid"/>
          </v:line>
          <w10:wrap type="none"/>
        </v:group>
      </w:pict>
    </w:r>
    <w:r>
      <w:rPr/>
      <w:pict>
        <v:shape style="position:absolute;margin-left:104.379997pt;margin-top:767.23999pt;width:74.7pt;height:13.05pt;mso-position-horizontal-relative:page;mso-position-vertical-relative:page;z-index:-267856"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278.170013pt;margin-top:767.23999pt;width:74.5pt;height:13.05pt;mso-position-horizontal-relative:page;mso-position-vertical-relative:page;z-index:-267832" type="#_x0000_t202" filled="false" stroked="false">
          <v:textbox inset="0,0,0,0">
            <w:txbxContent>
              <w:p>
                <w:pPr>
                  <w:spacing w:line="245" w:lineRule="exact" w:before="0"/>
                  <w:ind w:left="20" w:right="0" w:firstLine="0"/>
                  <w:jc w:val="left"/>
                  <w:rPr>
                    <w:b/>
                    <w:sz w:val="22"/>
                  </w:rPr>
                </w:pPr>
                <w:r>
                  <w:rPr>
                    <w:sz w:val="22"/>
                  </w:rPr>
                  <w:t>Σελίδα </w:t>
                </w:r>
                <w:r>
                  <w:rPr/>
                  <w:fldChar w:fldCharType="begin"/>
                </w:r>
                <w:r>
                  <w:rPr>
                    <w:b/>
                    <w:sz w:val="22"/>
                  </w:rPr>
                  <w:instrText> PAGE </w:instrText>
                </w:r>
                <w:r>
                  <w:rPr/>
                  <w:fldChar w:fldCharType="separate"/>
                </w:r>
                <w:r>
                  <w:rPr/>
                  <w:t>5</w:t>
                </w:r>
                <w:r>
                  <w:rPr/>
                  <w:fldChar w:fldCharType="end"/>
                </w:r>
                <w:r>
                  <w:rPr>
                    <w:b/>
                    <w:sz w:val="22"/>
                  </w:rPr>
                  <w:t> </w:t>
                </w:r>
                <w:r>
                  <w:rPr>
                    <w:sz w:val="22"/>
                  </w:rPr>
                  <w:t>από </w:t>
                </w:r>
                <w:r>
                  <w:rPr>
                    <w:b/>
                    <w:sz w:val="22"/>
                  </w:rPr>
                  <w:t>15</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7647">
          <wp:simplePos x="0" y="0"/>
          <wp:positionH relativeFrom="page">
            <wp:posOffset>5990590</wp:posOffset>
          </wp:positionH>
          <wp:positionV relativeFrom="page">
            <wp:posOffset>9599929</wp:posOffset>
          </wp:positionV>
          <wp:extent cx="782319" cy="466090"/>
          <wp:effectExtent l="0" t="0" r="0" b="0"/>
          <wp:wrapNone/>
          <wp:docPr id="31" name="image9.jpeg" descr=""/>
          <wp:cNvGraphicFramePr>
            <a:graphicFrameLocks noChangeAspect="1"/>
          </wp:cNvGraphicFramePr>
          <a:graphic>
            <a:graphicData uri="http://schemas.openxmlformats.org/drawingml/2006/picture">
              <pic:pic>
                <pic:nvPicPr>
                  <pic:cNvPr id="32" name="image9.jpeg"/>
                  <pic:cNvPicPr/>
                </pic:nvPicPr>
                <pic:blipFill>
                  <a:blip r:embed="rId1" cstate="print"/>
                  <a:stretch>
                    <a:fillRect/>
                  </a:stretch>
                </pic:blipFill>
                <pic:spPr>
                  <a:xfrm>
                    <a:off x="0" y="0"/>
                    <a:ext cx="782319" cy="466090"/>
                  </a:xfrm>
                  <a:prstGeom prst="rect">
                    <a:avLst/>
                  </a:prstGeom>
                </pic:spPr>
              </pic:pic>
            </a:graphicData>
          </a:graphic>
        </wp:anchor>
      </w:drawing>
    </w:r>
    <w:r>
      <w:rPr/>
      <w:pict>
        <v:group style="position:absolute;margin-left:56.400009pt;margin-top:752.52002pt;width:482.65pt;height:.5pt;mso-position-horizontal-relative:page;mso-position-vertical-relative:page;z-index:-267784" coordorigin="1128,15050" coordsize="9653,10">
          <v:line style="position:absolute" from="1133,15055" to="4537,15055" stroked="true" strokeweight=".47998pt" strokecolor="#000000">
            <v:stroke dashstyle="solid"/>
          </v:line>
          <v:line style="position:absolute" from="4537,15055" to="4547,15055" stroked="true" strokeweight=".47998pt" strokecolor="#000000">
            <v:stroke dashstyle="solid"/>
          </v:line>
          <v:line style="position:absolute" from="4547,15055" to="8082,15055" stroked="true" strokeweight=".47998pt" strokecolor="#000000">
            <v:stroke dashstyle="solid"/>
          </v:line>
          <v:line style="position:absolute" from="8082,15055" to="8092,15055" stroked="true" strokeweight=".47998pt" strokecolor="#000000">
            <v:stroke dashstyle="solid"/>
          </v:line>
          <v:line style="position:absolute" from="8092,15055" to="10775,15055" stroked="true" strokeweight=".47998pt" strokecolor="#000000">
            <v:stroke dashstyle="solid"/>
          </v:line>
          <w10:wrap type="none"/>
        </v:group>
      </w:pict>
    </w:r>
    <w:r>
      <w:rPr/>
      <w:pict>
        <v:shape style="position:absolute;margin-left:104.379997pt;margin-top:767.23999pt;width:74.7pt;height:13.05pt;mso-position-horizontal-relative:page;mso-position-vertical-relative:page;z-index:-267760"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278.170013pt;margin-top:767.23999pt;width:74.5pt;height:13.05pt;mso-position-horizontal-relative:page;mso-position-vertical-relative:page;z-index:-267736" type="#_x0000_t202" filled="false" stroked="false">
          <v:textbox inset="0,0,0,0">
            <w:txbxContent>
              <w:p>
                <w:pPr>
                  <w:spacing w:line="245" w:lineRule="exact" w:before="0"/>
                  <w:ind w:left="20" w:right="0" w:firstLine="0"/>
                  <w:jc w:val="left"/>
                  <w:rPr>
                    <w:b/>
                    <w:sz w:val="22"/>
                  </w:rPr>
                </w:pPr>
                <w:r>
                  <w:rPr>
                    <w:sz w:val="22"/>
                  </w:rPr>
                  <w:t>Σελίδα </w:t>
                </w:r>
                <w:r>
                  <w:rPr/>
                  <w:fldChar w:fldCharType="begin"/>
                </w:r>
                <w:r>
                  <w:rPr>
                    <w:b/>
                    <w:sz w:val="22"/>
                  </w:rPr>
                  <w:instrText> PAGE </w:instrText>
                </w:r>
                <w:r>
                  <w:rPr/>
                  <w:fldChar w:fldCharType="separate"/>
                </w:r>
                <w:r>
                  <w:rPr/>
                  <w:t>6</w:t>
                </w:r>
                <w:r>
                  <w:rPr/>
                  <w:fldChar w:fldCharType="end"/>
                </w:r>
                <w:r>
                  <w:rPr>
                    <w:b/>
                    <w:sz w:val="22"/>
                  </w:rPr>
                  <w:t> </w:t>
                </w:r>
                <w:r>
                  <w:rPr>
                    <w:sz w:val="22"/>
                  </w:rPr>
                  <w:t>από </w:t>
                </w:r>
                <w:r>
                  <w:rPr>
                    <w:b/>
                    <w:sz w:val="22"/>
                  </w:rPr>
                  <w:t>15</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4.860001pt;margin-top:504.175995pt;width:74.7pt;height:13.05pt;mso-position-horizontal-relative:page;mso-position-vertical-relative:page;z-index:-267712"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399.970001pt;margin-top:504.175995pt;width:74.5pt;height:13.05pt;mso-position-horizontal-relative:page;mso-position-vertical-relative:page;z-index:-267688" type="#_x0000_t202" filled="false" stroked="false">
          <v:textbox inset="0,0,0,0">
            <w:txbxContent>
              <w:p>
                <w:pPr>
                  <w:spacing w:line="245" w:lineRule="exact" w:before="0"/>
                  <w:ind w:left="20" w:right="0" w:firstLine="0"/>
                  <w:jc w:val="left"/>
                  <w:rPr>
                    <w:b/>
                    <w:sz w:val="22"/>
                  </w:rPr>
                </w:pPr>
                <w:r>
                  <w:rPr>
                    <w:sz w:val="22"/>
                  </w:rPr>
                  <w:t>Σελίδα </w:t>
                </w:r>
                <w:r>
                  <w:rPr>
                    <w:b/>
                    <w:sz w:val="22"/>
                  </w:rPr>
                  <w:t>7 </w:t>
                </w:r>
                <w:r>
                  <w:rPr>
                    <w:sz w:val="22"/>
                  </w:rPr>
                  <w:t>από </w:t>
                </w:r>
                <w:r>
                  <w:rPr>
                    <w:b/>
                    <w:sz w:val="22"/>
                  </w:rPr>
                  <w:t>15</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7815">
          <wp:simplePos x="0" y="0"/>
          <wp:positionH relativeFrom="page">
            <wp:posOffset>7555865</wp:posOffset>
          </wp:positionH>
          <wp:positionV relativeFrom="page">
            <wp:posOffset>6468110</wp:posOffset>
          </wp:positionV>
          <wp:extent cx="781684" cy="466090"/>
          <wp:effectExtent l="0" t="0" r="0" b="0"/>
          <wp:wrapNone/>
          <wp:docPr id="35" name="image9.jpeg" descr=""/>
          <wp:cNvGraphicFramePr>
            <a:graphicFrameLocks noChangeAspect="1"/>
          </wp:cNvGraphicFramePr>
          <a:graphic>
            <a:graphicData uri="http://schemas.openxmlformats.org/drawingml/2006/picture">
              <pic:pic>
                <pic:nvPicPr>
                  <pic:cNvPr id="36" name="image9.jpeg"/>
                  <pic:cNvPicPr/>
                </pic:nvPicPr>
                <pic:blipFill>
                  <a:blip r:embed="rId1" cstate="print"/>
                  <a:stretch>
                    <a:fillRect/>
                  </a:stretch>
                </pic:blipFill>
                <pic:spPr>
                  <a:xfrm>
                    <a:off x="0" y="0"/>
                    <a:ext cx="781684" cy="466090"/>
                  </a:xfrm>
                  <a:prstGeom prst="rect">
                    <a:avLst/>
                  </a:prstGeom>
                </pic:spPr>
              </pic:pic>
            </a:graphicData>
          </a:graphic>
        </wp:anchor>
      </w:drawing>
    </w:r>
    <w:r>
      <w:rPr/>
      <w:pict>
        <v:group style="position:absolute;margin-left:179.779999pt;margin-top:505.895996pt;width:482.5pt;height:.5pt;mso-position-horizontal-relative:page;mso-position-vertical-relative:page;z-index:-267616" coordorigin="3596,10118" coordsize="9650,10">
          <v:line style="position:absolute" from="3600,10123" to="7002,10123" stroked="true" strokeweight=".48001pt" strokecolor="#000000">
            <v:stroke dashstyle="solid"/>
          </v:line>
          <v:line style="position:absolute" from="7002,10123" to="7011,10123" stroked="true" strokeweight=".48001pt" strokecolor="#000000">
            <v:stroke dashstyle="solid"/>
          </v:line>
          <v:line style="position:absolute" from="7011,10123" to="10547,10123" stroked="true" strokeweight=".48001pt" strokecolor="#000000">
            <v:stroke dashstyle="solid"/>
          </v:line>
          <v:line style="position:absolute" from="10547,10123" to="10557,10123" stroked="true" strokeweight=".48001pt" strokecolor="#000000">
            <v:stroke dashstyle="solid"/>
          </v:line>
          <v:line style="position:absolute" from="10557,10123" to="13240,10123" stroked="true" strokeweight=".48001pt" strokecolor="#000000">
            <v:stroke dashstyle="solid"/>
          </v:line>
          <w10:wrap type="none"/>
        </v:group>
      </w:pict>
    </w:r>
    <w:r>
      <w:rPr/>
      <w:pict>
        <v:shape style="position:absolute;margin-left:227.740005pt;margin-top:520.616028pt;width:74.7pt;height:13.05pt;mso-position-horizontal-relative:page;mso-position-vertical-relative:page;z-index:-267592"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401.410004pt;margin-top:520.616028pt;width:74.5pt;height:13.05pt;mso-position-horizontal-relative:page;mso-position-vertical-relative:page;z-index:-267568" type="#_x0000_t202" filled="false" stroked="false">
          <v:textbox inset="0,0,0,0">
            <w:txbxContent>
              <w:p>
                <w:pPr>
                  <w:spacing w:line="245" w:lineRule="exact" w:before="0"/>
                  <w:ind w:left="20" w:right="0" w:firstLine="0"/>
                  <w:jc w:val="left"/>
                  <w:rPr>
                    <w:b/>
                    <w:sz w:val="22"/>
                  </w:rPr>
                </w:pPr>
                <w:r>
                  <w:rPr>
                    <w:sz w:val="22"/>
                  </w:rPr>
                  <w:t>Σελίδα </w:t>
                </w:r>
                <w:r>
                  <w:rPr/>
                  <w:fldChar w:fldCharType="begin"/>
                </w:r>
                <w:r>
                  <w:rPr>
                    <w:b/>
                    <w:sz w:val="22"/>
                  </w:rPr>
                  <w:instrText> PAGE </w:instrText>
                </w:r>
                <w:r>
                  <w:rPr/>
                  <w:fldChar w:fldCharType="separate"/>
                </w:r>
                <w:r>
                  <w:rPr/>
                  <w:t>8</w:t>
                </w:r>
                <w:r>
                  <w:rPr/>
                  <w:fldChar w:fldCharType="end"/>
                </w:r>
                <w:r>
                  <w:rPr>
                    <w:b/>
                    <w:sz w:val="22"/>
                  </w:rPr>
                  <w:t> </w:t>
                </w:r>
                <w:r>
                  <w:rPr>
                    <w:sz w:val="22"/>
                  </w:rPr>
                  <w:t>από </w:t>
                </w:r>
                <w:r>
                  <w:rPr>
                    <w:b/>
                    <w:sz w:val="22"/>
                  </w:rPr>
                  <w:t>15</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7959">
          <wp:simplePos x="0" y="0"/>
          <wp:positionH relativeFrom="page">
            <wp:posOffset>7555865</wp:posOffset>
          </wp:positionH>
          <wp:positionV relativeFrom="page">
            <wp:posOffset>6468110</wp:posOffset>
          </wp:positionV>
          <wp:extent cx="781684" cy="466090"/>
          <wp:effectExtent l="0" t="0" r="0" b="0"/>
          <wp:wrapNone/>
          <wp:docPr id="37" name="image9.jpeg" descr=""/>
          <wp:cNvGraphicFramePr>
            <a:graphicFrameLocks noChangeAspect="1"/>
          </wp:cNvGraphicFramePr>
          <a:graphic>
            <a:graphicData uri="http://schemas.openxmlformats.org/drawingml/2006/picture">
              <pic:pic>
                <pic:nvPicPr>
                  <pic:cNvPr id="38" name="image9.jpeg"/>
                  <pic:cNvPicPr/>
                </pic:nvPicPr>
                <pic:blipFill>
                  <a:blip r:embed="rId1" cstate="print"/>
                  <a:stretch>
                    <a:fillRect/>
                  </a:stretch>
                </pic:blipFill>
                <pic:spPr>
                  <a:xfrm>
                    <a:off x="0" y="0"/>
                    <a:ext cx="781684" cy="466090"/>
                  </a:xfrm>
                  <a:prstGeom prst="rect">
                    <a:avLst/>
                  </a:prstGeom>
                </pic:spPr>
              </pic:pic>
            </a:graphicData>
          </a:graphic>
        </wp:anchor>
      </w:drawing>
    </w:r>
    <w:r>
      <w:rPr/>
      <w:pict>
        <v:group style="position:absolute;margin-left:179.779999pt;margin-top:505.895996pt;width:482.5pt;height:.5pt;mso-position-horizontal-relative:page;mso-position-vertical-relative:page;z-index:-267472" coordorigin="3596,10118" coordsize="9650,10">
          <v:line style="position:absolute" from="3600,10123" to="7002,10123" stroked="true" strokeweight=".48001pt" strokecolor="#000000">
            <v:stroke dashstyle="solid"/>
          </v:line>
          <v:line style="position:absolute" from="7002,10123" to="7011,10123" stroked="true" strokeweight=".48001pt" strokecolor="#000000">
            <v:stroke dashstyle="solid"/>
          </v:line>
          <v:line style="position:absolute" from="7011,10123" to="10547,10123" stroked="true" strokeweight=".48001pt" strokecolor="#000000">
            <v:stroke dashstyle="solid"/>
          </v:line>
          <v:line style="position:absolute" from="10547,10123" to="10557,10123" stroked="true" strokeweight=".48001pt" strokecolor="#000000">
            <v:stroke dashstyle="solid"/>
          </v:line>
          <v:line style="position:absolute" from="10557,10123" to="13240,10123" stroked="true" strokeweight=".48001pt" strokecolor="#000000">
            <v:stroke dashstyle="solid"/>
          </v:line>
          <w10:wrap type="none"/>
        </v:group>
      </w:pict>
    </w:r>
    <w:r>
      <w:rPr/>
      <w:pict>
        <v:shape style="position:absolute;margin-left:227.740005pt;margin-top:520.616028pt;width:74.7pt;height:13.05pt;mso-position-horizontal-relative:page;mso-position-vertical-relative:page;z-index:-267448"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398.649994pt;margin-top:520.616028pt;width:80.05pt;height:13.05pt;mso-position-horizontal-relative:page;mso-position-vertical-relative:page;z-index:-267424" type="#_x0000_t202" filled="false" stroked="false">
          <v:textbox inset="0,0,0,0">
            <w:txbxContent>
              <w:p>
                <w:pPr>
                  <w:spacing w:line="245" w:lineRule="exact" w:before="0"/>
                  <w:ind w:left="20" w:right="0" w:firstLine="0"/>
                  <w:jc w:val="left"/>
                  <w:rPr>
                    <w:b/>
                    <w:sz w:val="22"/>
                  </w:rPr>
                </w:pPr>
                <w:r>
                  <w:rPr>
                    <w:sz w:val="22"/>
                  </w:rPr>
                  <w:t>Σελίδα </w:t>
                </w:r>
                <w:r>
                  <w:rPr>
                    <w:b/>
                    <w:sz w:val="22"/>
                  </w:rPr>
                  <w:t>10 </w:t>
                </w:r>
                <w:r>
                  <w:rPr>
                    <w:sz w:val="22"/>
                  </w:rPr>
                  <w:t>από </w:t>
                </w:r>
                <w:r>
                  <w:rPr>
                    <w:b/>
                    <w:sz w:val="22"/>
                  </w:rPr>
                  <w:t>15</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0.410004pt;margin-top:794.23999pt;width:74.5pt;height:13.05pt;mso-position-horizontal-relative:page;mso-position-vertical-relative:page;z-index:-268624" type="#_x0000_t202" filled="false" stroked="false">
          <v:textbox inset="0,0,0,0">
            <w:txbxContent>
              <w:p>
                <w:pPr>
                  <w:spacing w:line="245" w:lineRule="exact" w:before="0"/>
                  <w:ind w:left="20" w:right="0" w:firstLine="0"/>
                  <w:jc w:val="left"/>
                  <w:rPr>
                    <w:b/>
                    <w:sz w:val="22"/>
                  </w:rPr>
                </w:pPr>
                <w:r>
                  <w:rPr>
                    <w:sz w:val="22"/>
                  </w:rPr>
                  <w:t>Σελίδα </w:t>
                </w:r>
                <w:r>
                  <w:rPr/>
                  <w:fldChar w:fldCharType="begin"/>
                </w:r>
                <w:r>
                  <w:rPr>
                    <w:b/>
                    <w:sz w:val="22"/>
                  </w:rPr>
                  <w:instrText> PAGE </w:instrText>
                </w:r>
                <w:r>
                  <w:rPr/>
                  <w:fldChar w:fldCharType="separate"/>
                </w:r>
                <w:r>
                  <w:rPr/>
                  <w:t>2</w:t>
                </w:r>
                <w:r>
                  <w:rPr/>
                  <w:fldChar w:fldCharType="end"/>
                </w:r>
                <w:r>
                  <w:rPr>
                    <w:b/>
                    <w:sz w:val="22"/>
                  </w:rPr>
                  <w:t> </w:t>
                </w:r>
                <w:r>
                  <w:rPr>
                    <w:sz w:val="22"/>
                  </w:rPr>
                  <w:t>από </w:t>
                </w:r>
                <w:r>
                  <w:rPr>
                    <w:b/>
                    <w:sz w:val="22"/>
                  </w:rPr>
                  <w:t>71</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68079">
          <wp:simplePos x="0" y="0"/>
          <wp:positionH relativeFrom="page">
            <wp:posOffset>7555865</wp:posOffset>
          </wp:positionH>
          <wp:positionV relativeFrom="page">
            <wp:posOffset>6468110</wp:posOffset>
          </wp:positionV>
          <wp:extent cx="781684" cy="466090"/>
          <wp:effectExtent l="0" t="0" r="0" b="0"/>
          <wp:wrapNone/>
          <wp:docPr id="39" name="image9.jpeg" descr=""/>
          <wp:cNvGraphicFramePr>
            <a:graphicFrameLocks noChangeAspect="1"/>
          </wp:cNvGraphicFramePr>
          <a:graphic>
            <a:graphicData uri="http://schemas.openxmlformats.org/drawingml/2006/picture">
              <pic:pic>
                <pic:nvPicPr>
                  <pic:cNvPr id="40" name="image9.jpeg"/>
                  <pic:cNvPicPr/>
                </pic:nvPicPr>
                <pic:blipFill>
                  <a:blip r:embed="rId1" cstate="print"/>
                  <a:stretch>
                    <a:fillRect/>
                  </a:stretch>
                </pic:blipFill>
                <pic:spPr>
                  <a:xfrm>
                    <a:off x="0" y="0"/>
                    <a:ext cx="781684" cy="466090"/>
                  </a:xfrm>
                  <a:prstGeom prst="rect">
                    <a:avLst/>
                  </a:prstGeom>
                </pic:spPr>
              </pic:pic>
            </a:graphicData>
          </a:graphic>
        </wp:anchor>
      </w:drawing>
    </w:r>
    <w:r>
      <w:rPr/>
      <w:pict>
        <v:group style="position:absolute;margin-left:179.779999pt;margin-top:505.895996pt;width:482.5pt;height:.5pt;mso-position-horizontal-relative:page;mso-position-vertical-relative:page;z-index:-267352" coordorigin="3596,10118" coordsize="9650,10">
          <v:line style="position:absolute" from="3600,10123" to="7002,10123" stroked="true" strokeweight=".48001pt" strokecolor="#000000">
            <v:stroke dashstyle="solid"/>
          </v:line>
          <v:line style="position:absolute" from="7002,10123" to="7011,10123" stroked="true" strokeweight=".48001pt" strokecolor="#000000">
            <v:stroke dashstyle="solid"/>
          </v:line>
          <v:line style="position:absolute" from="7011,10123" to="10547,10123" stroked="true" strokeweight=".48001pt" strokecolor="#000000">
            <v:stroke dashstyle="solid"/>
          </v:line>
          <v:line style="position:absolute" from="10547,10123" to="10557,10123" stroked="true" strokeweight=".48001pt" strokecolor="#000000">
            <v:stroke dashstyle="solid"/>
          </v:line>
          <v:line style="position:absolute" from="10557,10123" to="13240,10123" stroked="true" strokeweight=".48001pt" strokecolor="#000000">
            <v:stroke dashstyle="solid"/>
          </v:line>
          <w10:wrap type="none"/>
        </v:group>
      </w:pict>
    </w:r>
    <w:r>
      <w:rPr/>
      <w:pict>
        <v:shape style="position:absolute;margin-left:227.740005pt;margin-top:520.616028pt;width:74.7pt;height:13.05pt;mso-position-horizontal-relative:page;mso-position-vertical-relative:page;z-index:-267328" type="#_x0000_t202" filled="false" stroked="false">
          <v:textbox inset="0,0,0,0">
            <w:txbxContent>
              <w:p>
                <w:pPr>
                  <w:pStyle w:val="BodyText"/>
                  <w:spacing w:line="245" w:lineRule="exact"/>
                  <w:ind w:left="20"/>
                </w:pPr>
                <w:r>
                  <w:rPr/>
                  <w:t>ΠΑΡΑΡΤΗΜΑ Ι.2</w:t>
                </w:r>
              </w:p>
            </w:txbxContent>
          </v:textbox>
          <w10:wrap type="none"/>
        </v:shape>
      </w:pict>
    </w:r>
    <w:r>
      <w:rPr/>
      <w:pict>
        <v:shape style="position:absolute;margin-left:398.649994pt;margin-top:520.616028pt;width:80.05pt;height:13.05pt;mso-position-horizontal-relative:page;mso-position-vertical-relative:page;z-index:-267304" type="#_x0000_t202" filled="false" stroked="false">
          <v:textbox inset="0,0,0,0">
            <w:txbxContent>
              <w:p>
                <w:pPr>
                  <w:spacing w:line="245" w:lineRule="exact" w:before="0"/>
                  <w:ind w:left="20" w:right="0" w:firstLine="0"/>
                  <w:jc w:val="left"/>
                  <w:rPr>
                    <w:b/>
                    <w:sz w:val="22"/>
                  </w:rPr>
                </w:pPr>
                <w:r>
                  <w:rPr>
                    <w:sz w:val="22"/>
                  </w:rPr>
                  <w:t>Σελίδα </w:t>
                </w:r>
                <w:r>
                  <w:rPr/>
                  <w:fldChar w:fldCharType="begin"/>
                </w:r>
                <w:r>
                  <w:rPr>
                    <w:b/>
                    <w:sz w:val="22"/>
                  </w:rPr>
                  <w:instrText> PAGE </w:instrText>
                </w:r>
                <w:r>
                  <w:rPr/>
                  <w:fldChar w:fldCharType="separate"/>
                </w:r>
                <w:r>
                  <w:rPr/>
                  <w:t>11</w:t>
                </w:r>
                <w:r>
                  <w:rPr/>
                  <w:fldChar w:fldCharType="end"/>
                </w:r>
                <w:r>
                  <w:rPr>
                    <w:b/>
                    <w:sz w:val="22"/>
                  </w:rPr>
                  <w:t> </w:t>
                </w:r>
                <w:r>
                  <w:rPr>
                    <w:sz w:val="22"/>
                  </w:rPr>
                  <w:t>από </w:t>
                </w:r>
                <w:r>
                  <w:rPr>
                    <w:b/>
                    <w:sz w:val="22"/>
                  </w:rPr>
                  <w:t>15</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5.610001pt;margin-top:794.23999pt;width:144.3pt;height:13.05pt;mso-position-horizontal-relative:page;mso-position-vertical-relative:page;z-index:-267184" type="#_x0000_t202" filled="false" stroked="false">
          <v:textbox inset="0,0,0,0">
            <w:txbxContent>
              <w:p>
                <w:pPr>
                  <w:pStyle w:val="BodyText"/>
                  <w:spacing w:line="245" w:lineRule="exact"/>
                  <w:ind w:left="20"/>
                  <w:rPr>
                    <w:b/>
                  </w:rPr>
                </w:pPr>
                <w:r>
                  <w:rPr/>
                  <w:t>ΠΑΡΑΡΤΗΜΑ ΙΙ - Σελίδα </w:t>
                </w:r>
                <w:r>
                  <w:rPr/>
                  <w:fldChar w:fldCharType="begin"/>
                </w:r>
                <w:r>
                  <w:rPr>
                    <w:b/>
                  </w:rPr>
                  <w:instrText> PAGE </w:instrText>
                </w:r>
                <w:r>
                  <w:rPr/>
                  <w:fldChar w:fldCharType="separate"/>
                </w:r>
                <w:r>
                  <w:rPr/>
                  <w:t>1</w:t>
                </w:r>
                <w:r>
                  <w:rPr/>
                  <w:fldChar w:fldCharType="end"/>
                </w:r>
                <w:r>
                  <w:rPr>
                    <w:b/>
                  </w:rPr>
                  <w:t> </w:t>
                </w:r>
                <w:r>
                  <w:rPr/>
                  <w:t>από </w:t>
                </w:r>
                <w:r>
                  <w:rPr>
                    <w:b/>
                  </w:rPr>
                  <w:t>6</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4.169998pt;margin-top:794.23999pt;width:147.1pt;height:13.05pt;mso-position-horizontal-relative:page;mso-position-vertical-relative:page;z-index:-267160" type="#_x0000_t202" filled="false" stroked="false">
          <v:textbox inset="0,0,0,0">
            <w:txbxContent>
              <w:p>
                <w:pPr>
                  <w:pStyle w:val="BodyText"/>
                  <w:spacing w:line="245" w:lineRule="exact"/>
                  <w:ind w:left="20"/>
                  <w:rPr>
                    <w:b/>
                  </w:rPr>
                </w:pPr>
                <w:r>
                  <w:rPr/>
                  <w:t>ΠΑΡΑΡΤΗΜΑ ΙΙI - Σελίδα </w:t>
                </w:r>
                <w:r>
                  <w:rPr/>
                  <w:fldChar w:fldCharType="begin"/>
                </w:r>
                <w:r>
                  <w:rPr>
                    <w:b/>
                  </w:rPr>
                  <w:instrText> PAGE </w:instrText>
                </w:r>
                <w:r>
                  <w:rPr/>
                  <w:fldChar w:fldCharType="separate"/>
                </w:r>
                <w:r>
                  <w:rPr/>
                  <w:t>1</w:t>
                </w:r>
                <w:r>
                  <w:rPr/>
                  <w:fldChar w:fldCharType="end"/>
                </w:r>
                <w:r>
                  <w:rPr>
                    <w:b/>
                  </w:rPr>
                  <w:t> </w:t>
                </w:r>
                <w:r>
                  <w:rPr/>
                  <w:t>από </w:t>
                </w:r>
                <w:r>
                  <w:rPr>
                    <w:b/>
                  </w:rPr>
                  <w:t>6</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809998pt;margin-top:794.23999pt;width:147.8pt;height:13.05pt;mso-position-horizontal-relative:page;mso-position-vertical-relative:page;z-index:-267136" type="#_x0000_t202" filled="false" stroked="false">
          <v:textbox inset="0,0,0,0">
            <w:txbxContent>
              <w:p>
                <w:pPr>
                  <w:pStyle w:val="BodyText"/>
                  <w:spacing w:line="245" w:lineRule="exact"/>
                  <w:ind w:left="20"/>
                  <w:rPr>
                    <w:b/>
                  </w:rPr>
                </w:pPr>
                <w:r>
                  <w:rPr/>
                  <w:t>ΠΑΡΑΡΤΗΜΑ ΙV - Σελίδα </w:t>
                </w:r>
                <w:r>
                  <w:rPr/>
                  <w:fldChar w:fldCharType="begin"/>
                </w:r>
                <w:r>
                  <w:rPr>
                    <w:b/>
                  </w:rPr>
                  <w:instrText> PAGE </w:instrText>
                </w:r>
                <w:r>
                  <w:rPr/>
                  <w:fldChar w:fldCharType="separate"/>
                </w:r>
                <w:r>
                  <w:rPr/>
                  <w:t>1</w:t>
                </w:r>
                <w:r>
                  <w:rPr/>
                  <w:fldChar w:fldCharType="end"/>
                </w:r>
                <w:r>
                  <w:rPr>
                    <w:b/>
                  </w:rPr>
                  <w:t> </w:t>
                </w:r>
                <w:r>
                  <w:rPr/>
                  <w:t>από </w:t>
                </w:r>
                <w:r>
                  <w:rPr>
                    <w:b/>
                  </w:rPr>
                  <w:t>5</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369995pt;margin-top:794.23999pt;width:150.7pt;height:13.05pt;mso-position-horizontal-relative:page;mso-position-vertical-relative:page;z-index:-267112" type="#_x0000_t202" filled="false" stroked="false">
          <v:textbox inset="0,0,0,0">
            <w:txbxContent>
              <w:p>
                <w:pPr>
                  <w:pStyle w:val="BodyText"/>
                  <w:spacing w:line="245" w:lineRule="exact"/>
                  <w:ind w:left="20"/>
                  <w:rPr>
                    <w:b/>
                  </w:rPr>
                </w:pPr>
                <w:r>
                  <w:rPr/>
                  <w:t>ΠΑΡΑΡΤΗΜΑ V - Σελίδα </w:t>
                </w:r>
                <w:r>
                  <w:rPr/>
                  <w:fldChar w:fldCharType="begin"/>
                </w:r>
                <w:r>
                  <w:rPr>
                    <w:b/>
                  </w:rPr>
                  <w:instrText> PAGE </w:instrText>
                </w:r>
                <w:r>
                  <w:rPr/>
                  <w:fldChar w:fldCharType="separate"/>
                </w:r>
                <w:r>
                  <w:rPr/>
                  <w:t>1</w:t>
                </w:r>
                <w:r>
                  <w:rPr/>
                  <w:fldChar w:fldCharType="end"/>
                </w:r>
                <w:r>
                  <w:rPr>
                    <w:b/>
                  </w:rPr>
                  <w:t> </w:t>
                </w:r>
                <w:r>
                  <w:rPr/>
                  <w:t>από </w:t>
                </w:r>
                <w:r>
                  <w:rPr>
                    <w:b/>
                  </w:rPr>
                  <w:t>10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9.610001pt;margin-top:794.23999pt;width:156.25pt;height:13.05pt;mso-position-horizontal-relative:page;mso-position-vertical-relative:page;z-index:-267088" type="#_x0000_t202" filled="false" stroked="false">
          <v:textbox inset="0,0,0,0">
            <w:txbxContent>
              <w:p>
                <w:pPr>
                  <w:pStyle w:val="BodyText"/>
                  <w:spacing w:line="245" w:lineRule="exact"/>
                  <w:ind w:left="20"/>
                  <w:rPr>
                    <w:b/>
                  </w:rPr>
                </w:pPr>
                <w:r>
                  <w:rPr/>
                  <w:t>ΠΑΡΑΡΤΗΜΑ V - Σελίδα </w:t>
                </w:r>
                <w:r>
                  <w:rPr>
                    <w:b/>
                  </w:rPr>
                  <w:t>10 </w:t>
                </w:r>
                <w:r>
                  <w:rPr/>
                  <w:t>από </w:t>
                </w:r>
                <w:r>
                  <w:rPr>
                    <w:b/>
                  </w:rPr>
                  <w:t>10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809998pt;margin-top:794.23999pt;width:147.8pt;height:13.05pt;mso-position-horizontal-relative:page;mso-position-vertical-relative:page;z-index:-267064" type="#_x0000_t202" filled="false" stroked="false">
          <v:textbox inset="0,0,0,0">
            <w:txbxContent>
              <w:p>
                <w:pPr>
                  <w:pStyle w:val="BodyText"/>
                  <w:spacing w:line="245" w:lineRule="exact"/>
                  <w:ind w:left="20"/>
                  <w:rPr>
                    <w:b/>
                  </w:rPr>
                </w:pPr>
                <w:r>
                  <w:rPr/>
                  <w:t>ΠΑΡΑΡΤΗΜΑ VΙ - Σελίδα </w:t>
                </w:r>
                <w:r>
                  <w:rPr/>
                  <w:fldChar w:fldCharType="begin"/>
                </w:r>
                <w:r>
                  <w:rPr>
                    <w:b/>
                  </w:rPr>
                  <w:instrText> PAGE </w:instrText>
                </w:r>
                <w:r>
                  <w:rPr/>
                  <w:fldChar w:fldCharType="separate"/>
                </w:r>
                <w:r>
                  <w:rPr/>
                  <w:t>1</w:t>
                </w:r>
                <w:r>
                  <w:rPr/>
                  <w:fldChar w:fldCharType="end"/>
                </w:r>
                <w:r>
                  <w:rPr>
                    <w:b/>
                  </w:rPr>
                  <w:t> </w:t>
                </w:r>
                <w:r>
                  <w:rPr/>
                  <w:t>από </w:t>
                </w:r>
                <w:r>
                  <w:rPr>
                    <w:b/>
                  </w:rPr>
                  <w:t>8</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730011pt;margin-top:547.616028pt;width:150.550pt;height:13.05pt;mso-position-horizontal-relative:page;mso-position-vertical-relative:page;z-index:-267016" type="#_x0000_t202" filled="false" stroked="false">
          <v:textbox inset="0,0,0,0">
            <w:txbxContent>
              <w:p>
                <w:pPr>
                  <w:pStyle w:val="BodyText"/>
                  <w:spacing w:line="245" w:lineRule="exact"/>
                  <w:ind w:left="20"/>
                  <w:rPr>
                    <w:b/>
                  </w:rPr>
                </w:pPr>
                <w:r>
                  <w:rPr/>
                  <w:t>ΠΑΡΑΡΤΗΜΑ VIΙ - Σελίδα </w:t>
                </w:r>
                <w:r>
                  <w:rPr/>
                  <w:fldChar w:fldCharType="begin"/>
                </w:r>
                <w:r>
                  <w:rPr>
                    <w:b/>
                  </w:rPr>
                  <w:instrText> PAGE </w:instrText>
                </w:r>
                <w:r>
                  <w:rPr/>
                  <w:fldChar w:fldCharType="separate"/>
                </w:r>
                <w:r>
                  <w:rPr/>
                  <w:t>1</w:t>
                </w:r>
                <w:r>
                  <w:rPr/>
                  <w:fldChar w:fldCharType="end"/>
                </w:r>
                <w:r>
                  <w:rPr>
                    <w:b/>
                  </w:rPr>
                  <w:t> </w:t>
                </w:r>
                <w:r>
                  <w:rPr/>
                  <w:t>από </w:t>
                </w:r>
                <w:r>
                  <w:rPr>
                    <w:b/>
                  </w:rPr>
                  <w:t>9</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4.169998pt;margin-top:794.23999pt;width:147.2pt;height:13.05pt;mso-position-horizontal-relative:page;mso-position-vertical-relative:page;z-index:-266968" type="#_x0000_t202" filled="false" stroked="false">
          <v:textbox inset="0,0,0,0">
            <w:txbxContent>
              <w:p>
                <w:pPr>
                  <w:pStyle w:val="BodyText"/>
                  <w:spacing w:line="245" w:lineRule="exact"/>
                  <w:ind w:left="20"/>
                  <w:rPr>
                    <w:b/>
                  </w:rPr>
                </w:pPr>
                <w:r>
                  <w:rPr/>
                  <w:t>ΠΑΡΑΡΤΗΜΑ IX - Σελίδα </w:t>
                </w:r>
                <w:r>
                  <w:rPr/>
                  <w:fldChar w:fldCharType="begin"/>
                </w:r>
                <w:r>
                  <w:rPr>
                    <w:b/>
                  </w:rPr>
                  <w:instrText> PAGE </w:instrText>
                </w:r>
                <w:r>
                  <w:rPr/>
                  <w:fldChar w:fldCharType="separate"/>
                </w:r>
                <w:r>
                  <w:rPr/>
                  <w:t>1</w:t>
                </w:r>
                <w:r>
                  <w:rPr/>
                  <w:fldChar w:fldCharType="end"/>
                </w:r>
                <w:r>
                  <w:rPr>
                    <w:b/>
                  </w:rPr>
                  <w:t> </w:t>
                </w:r>
                <w:r>
                  <w:rPr/>
                  <w:t>από </w:t>
                </w:r>
                <w:r>
                  <w:rPr>
                    <w:b/>
                  </w:rPr>
                  <w:t>4</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05pt;height:13.05pt;mso-position-horizontal-relative:page;mso-position-vertical-relative:page;z-index:-268600" type="#_x0000_t202" filled="false" stroked="false">
          <v:textbox inset="0,0,0,0">
            <w:txbxContent>
              <w:p>
                <w:pPr>
                  <w:spacing w:line="245" w:lineRule="exact" w:before="0"/>
                  <w:ind w:left="20" w:right="0" w:firstLine="0"/>
                  <w:jc w:val="left"/>
                  <w:rPr>
                    <w:b/>
                    <w:sz w:val="22"/>
                  </w:rPr>
                </w:pPr>
                <w:r>
                  <w:rPr>
                    <w:sz w:val="22"/>
                  </w:rPr>
                  <w:t>Σελίδα </w:t>
                </w:r>
                <w:r>
                  <w:rPr>
                    <w:b/>
                    <w:sz w:val="22"/>
                  </w:rPr>
                  <w:t>10 </w:t>
                </w:r>
                <w:r>
                  <w:rPr>
                    <w:sz w:val="22"/>
                  </w:rPr>
                  <w:t>από </w:t>
                </w:r>
                <w:r>
                  <w:rPr>
                    <w:b/>
                    <w:sz w:val="22"/>
                  </w:rPr>
                  <w:t>71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4.169998pt;margin-top:794.23999pt;width:144.450pt;height:13.05pt;mso-position-horizontal-relative:page;mso-position-vertical-relative:page;z-index:-266920" type="#_x0000_t202" filled="false" stroked="false">
          <v:textbox inset="0,0,0,0">
            <w:txbxContent>
              <w:p>
                <w:pPr>
                  <w:pStyle w:val="BodyText"/>
                  <w:spacing w:line="245" w:lineRule="exact"/>
                  <w:ind w:left="20"/>
                  <w:rPr>
                    <w:b/>
                  </w:rPr>
                </w:pPr>
                <w:r>
                  <w:rPr/>
                  <w:t>ΠΑΡΑΡΤΗΜΑ X - Σελίδα </w:t>
                </w:r>
                <w:r>
                  <w:rPr/>
                  <w:fldChar w:fldCharType="begin"/>
                </w:r>
                <w:r>
                  <w:rPr>
                    <w:b/>
                  </w:rPr>
                  <w:instrText> PAGE </w:instrText>
                </w:r>
                <w:r>
                  <w:rPr/>
                  <w:fldChar w:fldCharType="separate"/>
                </w:r>
                <w:r>
                  <w:rPr/>
                  <w:t>1</w:t>
                </w:r>
                <w:r>
                  <w:rPr/>
                  <w:fldChar w:fldCharType="end"/>
                </w:r>
                <w:r>
                  <w:rPr>
                    <w:b/>
                  </w:rPr>
                  <w:t> </w:t>
                </w:r>
                <w:r>
                  <w:rPr/>
                  <w:t>από </w:t>
                </w:r>
                <w:r>
                  <w:rPr>
                    <w:b/>
                  </w:rPr>
                  <w:t>8</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8.850006pt;margin-top:547.616028pt;width:144.450pt;height:13.05pt;mso-position-horizontal-relative:page;mso-position-vertical-relative:page;z-index:-266872" type="#_x0000_t202" filled="false" stroked="false">
          <v:textbox inset="0,0,0,0">
            <w:txbxContent>
              <w:p>
                <w:pPr>
                  <w:pStyle w:val="BodyText"/>
                  <w:spacing w:line="245" w:lineRule="exact"/>
                  <w:ind w:left="20"/>
                  <w:rPr>
                    <w:b/>
                  </w:rPr>
                </w:pPr>
                <w:r>
                  <w:rPr/>
                  <w:t>ΠΑΡΑΡΤΗΜΑ X - Σελίδα </w:t>
                </w:r>
                <w:r>
                  <w:rPr/>
                  <w:fldChar w:fldCharType="begin"/>
                </w:r>
                <w:r>
                  <w:rPr>
                    <w:b/>
                  </w:rPr>
                  <w:instrText> PAGE </w:instrText>
                </w:r>
                <w:r>
                  <w:rPr/>
                  <w:fldChar w:fldCharType="separate"/>
                </w:r>
                <w:r>
                  <w:rPr/>
                  <w:t>6</w:t>
                </w:r>
                <w:r>
                  <w:rPr/>
                  <w:fldChar w:fldCharType="end"/>
                </w:r>
                <w:r>
                  <w:rPr>
                    <w:b/>
                  </w:rPr>
                  <w:t> </w:t>
                </w:r>
                <w:r>
                  <w:rPr/>
                  <w:t>από </w:t>
                </w:r>
                <w:r>
                  <w:rPr>
                    <w:b/>
                  </w:rPr>
                  <w:t>8</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729996pt;margin-top:794.23999pt;width:149.950pt;height:13.05pt;mso-position-horizontal-relative:page;mso-position-vertical-relative:page;z-index:-266800" type="#_x0000_t202" filled="false" stroked="false">
          <v:textbox inset="0,0,0,0">
            <w:txbxContent>
              <w:p>
                <w:pPr>
                  <w:pStyle w:val="BodyText"/>
                  <w:spacing w:line="245" w:lineRule="exact"/>
                  <w:ind w:left="20"/>
                  <w:rPr>
                    <w:b/>
                  </w:rPr>
                </w:pPr>
                <w:r>
                  <w:rPr/>
                  <w:t>ΠΑΡΑΡΤΗΜΑ XII - Σελίδα </w:t>
                </w:r>
                <w:r>
                  <w:rPr/>
                  <w:fldChar w:fldCharType="begin"/>
                </w:r>
                <w:r>
                  <w:rPr>
                    <w:b/>
                  </w:rPr>
                  <w:instrText> PAGE </w:instrText>
                </w:r>
                <w:r>
                  <w:rPr/>
                  <w:fldChar w:fldCharType="separate"/>
                </w:r>
                <w:r>
                  <w:rPr/>
                  <w:t>1</w:t>
                </w:r>
                <w:r>
                  <w:rPr/>
                  <w:fldChar w:fldCharType="end"/>
                </w:r>
                <w:r>
                  <w:rPr>
                    <w:b/>
                  </w:rPr>
                  <w:t> </w:t>
                </w:r>
                <w:r>
                  <w:rPr/>
                  <w:t>από </w:t>
                </w:r>
                <w:r>
                  <w:rPr>
                    <w:b/>
                  </w:rPr>
                  <w:t>3</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9.610001pt;margin-top:793.76001pt;width:156.2pt;height:13.55pt;mso-position-horizontal-relative:page;mso-position-vertical-relative:page;z-index:-266776" type="#_x0000_t202" filled="false" stroked="false">
          <v:textbox inset="0,0,0,0">
            <w:txbxContent>
              <w:p>
                <w:pPr>
                  <w:spacing w:line="255" w:lineRule="exact" w:before="0"/>
                  <w:ind w:left="20" w:right="0" w:firstLine="0"/>
                  <w:jc w:val="left"/>
                  <w:rPr>
                    <w:b/>
                    <w:sz w:val="22"/>
                  </w:rPr>
                </w:pPr>
                <w:r>
                  <w:rPr>
                    <w:sz w:val="23"/>
                  </w:rPr>
                  <w:t>ΠΑΡΑΡΤΗΜΑ ΧΙΙΙ </w:t>
                </w:r>
                <w:r>
                  <w:rPr>
                    <w:sz w:val="22"/>
                  </w:rPr>
                  <w:t>- Σελίδα </w:t>
                </w:r>
                <w:r>
                  <w:rPr/>
                  <w:fldChar w:fldCharType="begin"/>
                </w:r>
                <w:r>
                  <w:rPr>
                    <w:b/>
                    <w:sz w:val="22"/>
                  </w:rPr>
                  <w:instrText> PAGE </w:instrText>
                </w:r>
                <w:r>
                  <w:rPr/>
                  <w:fldChar w:fldCharType="separate"/>
                </w:r>
                <w:r>
                  <w:rPr/>
                  <w:t>1</w:t>
                </w:r>
                <w:r>
                  <w:rPr/>
                  <w:fldChar w:fldCharType="end"/>
                </w:r>
                <w:r>
                  <w:rPr>
                    <w:b/>
                    <w:sz w:val="22"/>
                  </w:rPr>
                  <w:t> </w:t>
                </w:r>
                <w:r>
                  <w:rPr>
                    <w:sz w:val="22"/>
                  </w:rPr>
                  <w:t>από </w:t>
                </w:r>
                <w:r>
                  <w:rPr>
                    <w:b/>
                    <w:sz w:val="22"/>
                  </w:rPr>
                  <w:t>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05pt;height:13.05pt;mso-position-horizontal-relative:page;mso-position-vertical-relative:page;z-index:-268576" type="#_x0000_t202" filled="false" stroked="false">
          <v:textbox inset="0,0,0,0">
            <w:txbxContent>
              <w:p>
                <w:pPr>
                  <w:spacing w:line="245" w:lineRule="exact" w:before="0"/>
                  <w:ind w:left="20" w:right="0" w:firstLine="0"/>
                  <w:jc w:val="left"/>
                  <w:rPr>
                    <w:b/>
                    <w:sz w:val="22"/>
                  </w:rPr>
                </w:pPr>
                <w:r>
                  <w:rPr>
                    <w:sz w:val="22"/>
                  </w:rPr>
                  <w:t>Σελίδα </w:t>
                </w:r>
                <w:r>
                  <w:rPr/>
                  <w:fldChar w:fldCharType="begin"/>
                </w:r>
                <w:r>
                  <w:rPr>
                    <w:b/>
                    <w:sz w:val="22"/>
                  </w:rPr>
                  <w:instrText> PAGE </w:instrText>
                </w:r>
                <w:r>
                  <w:rPr/>
                  <w:fldChar w:fldCharType="separate"/>
                </w:r>
                <w:r>
                  <w:rPr/>
                  <w:t>11</w:t>
                </w:r>
                <w:r>
                  <w:rPr/>
                  <w:fldChar w:fldCharType="end"/>
                </w:r>
                <w:r>
                  <w:rPr>
                    <w:b/>
                    <w:sz w:val="22"/>
                  </w:rPr>
                  <w:t> </w:t>
                </w:r>
                <w:r>
                  <w:rPr>
                    <w:sz w:val="22"/>
                  </w:rPr>
                  <w:t>από </w:t>
                </w:r>
                <w:r>
                  <w:rPr>
                    <w:b/>
                    <w:sz w:val="22"/>
                  </w:rPr>
                  <w:t>71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05pt;height:13.05pt;mso-position-horizontal-relative:page;mso-position-vertical-relative:page;z-index:-268552" type="#_x0000_t202" filled="false" stroked="false">
          <v:textbox inset="0,0,0,0">
            <w:txbxContent>
              <w:p>
                <w:pPr>
                  <w:spacing w:line="245" w:lineRule="exact" w:before="0"/>
                  <w:ind w:left="20" w:right="0" w:firstLine="0"/>
                  <w:jc w:val="left"/>
                  <w:rPr>
                    <w:b/>
                    <w:sz w:val="22"/>
                  </w:rPr>
                </w:pPr>
                <w:r>
                  <w:rPr>
                    <w:sz w:val="22"/>
                  </w:rPr>
                  <w:t>Σελίδα </w:t>
                </w:r>
                <w:r>
                  <w:rPr>
                    <w:b/>
                    <w:sz w:val="22"/>
                  </w:rPr>
                  <w:t>20 </w:t>
                </w:r>
                <w:r>
                  <w:rPr>
                    <w:sz w:val="22"/>
                  </w:rPr>
                  <w:t>από </w:t>
                </w:r>
                <w:r>
                  <w:rPr>
                    <w:b/>
                    <w:sz w:val="22"/>
                  </w:rPr>
                  <w:t>71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05pt;height:13.05pt;mso-position-horizontal-relative:page;mso-position-vertical-relative:page;z-index:-268528" type="#_x0000_t202" filled="false" stroked="false">
          <v:textbox inset="0,0,0,0">
            <w:txbxContent>
              <w:p>
                <w:pPr>
                  <w:spacing w:line="245" w:lineRule="exact" w:before="0"/>
                  <w:ind w:left="20" w:right="0" w:firstLine="0"/>
                  <w:jc w:val="left"/>
                  <w:rPr>
                    <w:b/>
                    <w:sz w:val="22"/>
                  </w:rPr>
                </w:pPr>
                <w:r>
                  <w:rPr>
                    <w:sz w:val="22"/>
                  </w:rPr>
                  <w:t>Σελίδα </w:t>
                </w:r>
                <w:r>
                  <w:rPr/>
                  <w:fldChar w:fldCharType="begin"/>
                </w:r>
                <w:r>
                  <w:rPr>
                    <w:b/>
                    <w:sz w:val="22"/>
                  </w:rPr>
                  <w:instrText> PAGE </w:instrText>
                </w:r>
                <w:r>
                  <w:rPr/>
                  <w:fldChar w:fldCharType="separate"/>
                </w:r>
                <w:r>
                  <w:rPr/>
                  <w:t>21</w:t>
                </w:r>
                <w:r>
                  <w:rPr/>
                  <w:fldChar w:fldCharType="end"/>
                </w:r>
                <w:r>
                  <w:rPr>
                    <w:b/>
                    <w:sz w:val="22"/>
                  </w:rPr>
                  <w:t> </w:t>
                </w:r>
                <w:r>
                  <w:rPr>
                    <w:sz w:val="22"/>
                  </w:rPr>
                  <w:t>από </w:t>
                </w:r>
                <w:r>
                  <w:rPr>
                    <w:b/>
                    <w:sz w:val="22"/>
                  </w:rPr>
                  <w:t>71</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1pt;height:13.05pt;mso-position-horizontal-relative:page;mso-position-vertical-relative:page;z-index:-268504" type="#_x0000_t202" filled="false" stroked="false">
          <v:textbox inset="0,0,0,0">
            <w:txbxContent>
              <w:p>
                <w:pPr>
                  <w:spacing w:line="245" w:lineRule="exact" w:before="0"/>
                  <w:ind w:left="20" w:right="0" w:firstLine="0"/>
                  <w:jc w:val="left"/>
                  <w:rPr>
                    <w:b/>
                    <w:sz w:val="22"/>
                  </w:rPr>
                </w:pPr>
                <w:r>
                  <w:rPr>
                    <w:sz w:val="22"/>
                  </w:rPr>
                  <w:t>Σελίδα </w:t>
                </w:r>
                <w:r>
                  <w:rPr>
                    <w:b/>
                    <w:sz w:val="22"/>
                  </w:rPr>
                  <w:t>30 </w:t>
                </w:r>
                <w:r>
                  <w:rPr>
                    <w:sz w:val="22"/>
                  </w:rPr>
                  <w:t>από </w:t>
                </w:r>
                <w:r>
                  <w:rPr>
                    <w:b/>
                    <w:sz w:val="22"/>
                  </w:rPr>
                  <w:t>71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794.23999pt;width:80.05pt;height:13.05pt;mso-position-horizontal-relative:page;mso-position-vertical-relative:page;z-index:-268480" type="#_x0000_t202" filled="false" stroked="false">
          <v:textbox inset="0,0,0,0">
            <w:txbxContent>
              <w:p>
                <w:pPr>
                  <w:spacing w:line="245" w:lineRule="exact" w:before="0"/>
                  <w:ind w:left="20" w:right="0" w:firstLine="0"/>
                  <w:jc w:val="left"/>
                  <w:rPr>
                    <w:b/>
                    <w:sz w:val="22"/>
                  </w:rPr>
                </w:pPr>
                <w:r>
                  <w:rPr>
                    <w:sz w:val="22"/>
                  </w:rPr>
                  <w:t>Σελίδα </w:t>
                </w:r>
                <w:r>
                  <w:rPr/>
                  <w:fldChar w:fldCharType="begin"/>
                </w:r>
                <w:r>
                  <w:rPr>
                    <w:b/>
                    <w:sz w:val="22"/>
                  </w:rPr>
                  <w:instrText> PAGE </w:instrText>
                </w:r>
                <w:r>
                  <w:rPr/>
                  <w:fldChar w:fldCharType="separate"/>
                </w:r>
                <w:r>
                  <w:rPr/>
                  <w:t>31</w:t>
                </w:r>
                <w:r>
                  <w:rPr/>
                  <w:fldChar w:fldCharType="end"/>
                </w:r>
                <w:r>
                  <w:rPr>
                    <w:b/>
                    <w:sz w:val="22"/>
                  </w:rPr>
                  <w:t> </w:t>
                </w:r>
                <w:r>
                  <w:rPr>
                    <w:sz w:val="22"/>
                  </w:rPr>
                  <w:t>από </w:t>
                </w:r>
                <w:r>
                  <w:rPr>
                    <w:b/>
                    <w:sz w:val="22"/>
                  </w:rPr>
                  <w:t>71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20001pt;margin-top:36.409985pt;width:487.5pt;height:36.35pt;mso-position-horizontal-relative:page;mso-position-vertical-relative:page;z-index:-268648" type="#_x0000_t202" filled="false" stroked="false">
          <v:textbox inset="0,0,0,0">
            <w:txbxContent>
              <w:p>
                <w:pPr>
                  <w:spacing w:line="223" w:lineRule="exact" w:before="0"/>
                  <w:ind w:left="0" w:right="0" w:firstLine="0"/>
                  <w:jc w:val="center"/>
                  <w:rPr>
                    <w:sz w:val="20"/>
                  </w:rPr>
                </w:pPr>
                <w:r>
                  <w:rPr>
                    <w:sz w:val="20"/>
                  </w:rPr>
                  <w:t>Αναλυτική Πρόσκληση Δράσης: Ενίσχυση υφιστάμενων επιχειρήσεων για την αξιοποίηση πατεντών ή και καινοτομιών,</w:t>
                </w:r>
              </w:p>
              <w:p>
                <w:pPr>
                  <w:spacing w:before="0"/>
                  <w:ind w:left="397" w:right="394" w:firstLine="0"/>
                  <w:jc w:val="center"/>
                  <w:rPr>
                    <w:sz w:val="20"/>
                  </w:rPr>
                </w:pPr>
                <w:r>
                  <w:rPr>
                    <w:sz w:val="20"/>
                  </w:rPr>
                  <w:t>καθώς και υποστηρικτικών υπηρεσιών για την βελτίωση της παραγωγικής τους δραστηριότητας ή και για την ανάπτυξη νέων προϊόντων και υπηρεσιών, «</w:t>
                </w:r>
                <w:r>
                  <w:rPr>
                    <w:b/>
                    <w:i/>
                    <w:sz w:val="20"/>
                  </w:rPr>
                  <w:t>Επανεπενδύω στη Θεσσαλία</w:t>
                </w:r>
                <w:r>
                  <w:rPr>
                    <w:sz w:val="20"/>
                  </w:rPr>
                  <w:t>»</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86.110008pt;width:396.15pt;height:12pt;mso-position-horizontal-relative:page;mso-position-vertical-relative:page;z-index:-267664" type="#_x0000_t202" filled="false" stroked="false">
          <v:textbox inset="0,0,0,0">
            <w:txbxContent>
              <w:p>
                <w:pPr>
                  <w:tabs>
                    <w:tab w:pos="379" w:val="left" w:leader="none"/>
                  </w:tabs>
                  <w:spacing w:line="223" w:lineRule="exact" w:before="0"/>
                  <w:ind w:left="20" w:right="0" w:firstLine="0"/>
                  <w:jc w:val="left"/>
                  <w:rPr>
                    <w:b/>
                    <w:sz w:val="20"/>
                  </w:rPr>
                </w:pPr>
                <w:r>
                  <w:rPr>
                    <w:b/>
                    <w:sz w:val="20"/>
                    <w:u w:val="single"/>
                  </w:rPr>
                  <w:t>2.</w:t>
                </w:r>
                <w:r>
                  <w:rPr>
                    <w:b/>
                    <w:sz w:val="20"/>
                  </w:rPr>
                  <w:tab/>
                </w:r>
                <w:r>
                  <w:rPr>
                    <w:b/>
                    <w:sz w:val="20"/>
                    <w:u w:val="single"/>
                  </w:rPr>
                  <w:t>Κόστος για επενδύσεις σε στοιχεία ενεργητικού – Μηχανήματα - Εξοπλισμός </w:t>
                </w:r>
                <w:r>
                  <w:rPr>
                    <w:b/>
                    <w:sz w:val="20"/>
                  </w:rPr>
                  <w:t>(De</w:t>
                </w:r>
                <w:r>
                  <w:rPr>
                    <w:b/>
                    <w:spacing w:val="-15"/>
                    <w:sz w:val="20"/>
                  </w:rPr>
                  <w:t> </w:t>
                </w:r>
                <w:r>
                  <w:rPr>
                    <w:b/>
                    <w:sz w:val="20"/>
                  </w:rPr>
                  <w:t>Minimis)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86.110008pt;width:398.3pt;height:12pt;mso-position-horizontal-relative:page;mso-position-vertical-relative:page;z-index:-267544" type="#_x0000_t202" filled="false" stroked="false">
          <v:textbox inset="0,0,0,0">
            <w:txbxContent>
              <w:p>
                <w:pPr>
                  <w:tabs>
                    <w:tab w:pos="379" w:val="left" w:leader="none"/>
                  </w:tabs>
                  <w:spacing w:line="223" w:lineRule="exact" w:before="0"/>
                  <w:ind w:left="20" w:right="0" w:firstLine="0"/>
                  <w:jc w:val="left"/>
                  <w:rPr>
                    <w:b/>
                    <w:sz w:val="20"/>
                  </w:rPr>
                </w:pPr>
                <w:r>
                  <w:rPr>
                    <w:b/>
                    <w:sz w:val="20"/>
                    <w:u w:val="single"/>
                  </w:rPr>
                  <w:t>3.</w:t>
                </w:r>
                <w:r>
                  <w:rPr>
                    <w:b/>
                    <w:sz w:val="20"/>
                  </w:rPr>
                  <w:tab/>
                </w:r>
                <w:r>
                  <w:rPr>
                    <w:b/>
                    <w:sz w:val="20"/>
                    <w:u w:val="single"/>
                  </w:rPr>
                  <w:t>Κόστος για επενδύσεις σε στοιχεία ενεργητικού – Άυλα στοιχεία ενεργητικού </w:t>
                </w:r>
                <w:r>
                  <w:rPr>
                    <w:b/>
                    <w:sz w:val="20"/>
                  </w:rPr>
                  <w:t>(De</w:t>
                </w:r>
                <w:r>
                  <w:rPr>
                    <w:b/>
                    <w:spacing w:val="-17"/>
                    <w:sz w:val="20"/>
                  </w:rPr>
                  <w:t> </w:t>
                </w:r>
                <w:r>
                  <w:rPr>
                    <w:b/>
                    <w:sz w:val="20"/>
                  </w:rPr>
                  <w:t>Minimis)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86.110008pt;width:536.550pt;height:12pt;mso-position-horizontal-relative:page;mso-position-vertical-relative:page;z-index:-267520" type="#_x0000_t202" filled="false" stroked="false">
          <v:textbox inset="0,0,0,0">
            <w:txbxContent>
              <w:p>
                <w:pPr>
                  <w:tabs>
                    <w:tab w:pos="379" w:val="left" w:leader="none"/>
                  </w:tabs>
                  <w:spacing w:line="223" w:lineRule="exact" w:before="0"/>
                  <w:ind w:left="20" w:right="0" w:firstLine="0"/>
                  <w:jc w:val="left"/>
                  <w:rPr>
                    <w:b/>
                    <w:sz w:val="20"/>
                  </w:rPr>
                </w:pPr>
                <w:r>
                  <w:rPr>
                    <w:b/>
                    <w:sz w:val="20"/>
                    <w:u w:val="single"/>
                  </w:rPr>
                  <w:t>4.</w:t>
                </w:r>
                <w:r>
                  <w:rPr>
                    <w:b/>
                    <w:sz w:val="20"/>
                  </w:rPr>
                  <w:tab/>
                </w:r>
                <w:r>
                  <w:rPr>
                    <w:b/>
                    <w:sz w:val="20"/>
                    <w:u w:val="single"/>
                  </w:rPr>
                  <w:t>Κόστος για επενδύσεις σε στοιχεία ενεργητικού – Τεχνολογική αναβάθμιση μέσω της αύξησης της χρήσης ΤΠΕ </w:t>
                </w:r>
                <w:r>
                  <w:rPr>
                    <w:b/>
                    <w:sz w:val="20"/>
                  </w:rPr>
                  <w:t>(De</w:t>
                </w:r>
                <w:r>
                  <w:rPr>
                    <w:b/>
                    <w:spacing w:val="-20"/>
                    <w:sz w:val="20"/>
                  </w:rPr>
                  <w:t> </w:t>
                </w:r>
                <w:r>
                  <w:rPr>
                    <w:b/>
                    <w:sz w:val="20"/>
                  </w:rPr>
                  <w:t>Minimis)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86.110008pt;width:234.95pt;height:12pt;mso-position-horizontal-relative:page;mso-position-vertical-relative:page;z-index:-267400" type="#_x0000_t202" filled="false" stroked="false">
          <v:textbox inset="0,0,0,0">
            <w:txbxContent>
              <w:p>
                <w:pPr>
                  <w:tabs>
                    <w:tab w:pos="379" w:val="left" w:leader="none"/>
                  </w:tabs>
                  <w:spacing w:line="223" w:lineRule="exact" w:before="0"/>
                  <w:ind w:left="20" w:right="0" w:firstLine="0"/>
                  <w:jc w:val="left"/>
                  <w:rPr>
                    <w:b/>
                    <w:sz w:val="20"/>
                  </w:rPr>
                </w:pPr>
                <w:r>
                  <w:rPr>
                    <w:b/>
                    <w:sz w:val="20"/>
                    <w:u w:val="single"/>
                  </w:rPr>
                  <w:t>5.</w:t>
                </w:r>
                <w:r>
                  <w:rPr>
                    <w:b/>
                    <w:sz w:val="20"/>
                  </w:rPr>
                  <w:tab/>
                </w:r>
                <w:r>
                  <w:rPr>
                    <w:b/>
                    <w:sz w:val="20"/>
                    <w:u w:val="single"/>
                  </w:rPr>
                  <w:t>Δαπάνες συμβουλευτικών υπηρεσιών (De</w:t>
                </w:r>
                <w:r>
                  <w:rPr>
                    <w:b/>
                    <w:spacing w:val="-12"/>
                    <w:sz w:val="20"/>
                    <w:u w:val="single"/>
                  </w:rPr>
                  <w:t> </w:t>
                </w:r>
                <w:r>
                  <w:rPr>
                    <w:b/>
                    <w:sz w:val="20"/>
                    <w:u w:val="single"/>
                  </w:rPr>
                  <w:t>Minimis)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86.110008pt;width:272.5pt;height:12pt;mso-position-horizontal-relative:page;mso-position-vertical-relative:page;z-index:-267280" type="#_x0000_t202" filled="false" stroked="false">
          <v:textbox inset="0,0,0,0">
            <w:txbxContent>
              <w:p>
                <w:pPr>
                  <w:tabs>
                    <w:tab w:pos="379" w:val="left" w:leader="none"/>
                  </w:tabs>
                  <w:spacing w:line="223" w:lineRule="exact" w:before="0"/>
                  <w:ind w:left="20" w:right="0" w:firstLine="0"/>
                  <w:jc w:val="left"/>
                  <w:rPr>
                    <w:b/>
                    <w:sz w:val="20"/>
                  </w:rPr>
                </w:pPr>
                <w:r>
                  <w:rPr>
                    <w:b/>
                    <w:sz w:val="20"/>
                    <w:u w:val="single"/>
                  </w:rPr>
                  <w:t>6.</w:t>
                </w:r>
                <w:r>
                  <w:rPr>
                    <w:b/>
                    <w:sz w:val="20"/>
                  </w:rPr>
                  <w:tab/>
                </w:r>
                <w:r>
                  <w:rPr>
                    <w:b/>
                    <w:sz w:val="20"/>
                    <w:u w:val="single"/>
                  </w:rPr>
                  <w:t>Δαπάνες για συμμετοχή σε εμπορικές εκθέσεις </w:t>
                </w:r>
                <w:r>
                  <w:rPr>
                    <w:b/>
                    <w:sz w:val="20"/>
                  </w:rPr>
                  <w:t>(De</w:t>
                </w:r>
                <w:r>
                  <w:rPr>
                    <w:b/>
                    <w:spacing w:val="-14"/>
                    <w:sz w:val="20"/>
                  </w:rPr>
                  <w:t> </w:t>
                </w:r>
                <w:r>
                  <w:rPr>
                    <w:b/>
                    <w:sz w:val="20"/>
                  </w:rPr>
                  <w:t>Minimis)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86.110008pt;width:336pt;height:12pt;mso-position-horizontal-relative:page;mso-position-vertical-relative:page;z-index:-267256" type="#_x0000_t202" filled="false" stroked="false">
          <v:textbox inset="0,0,0,0">
            <w:txbxContent>
              <w:p>
                <w:pPr>
                  <w:tabs>
                    <w:tab w:pos="379" w:val="left" w:leader="none"/>
                  </w:tabs>
                  <w:spacing w:line="223" w:lineRule="exact" w:before="0"/>
                  <w:ind w:left="20" w:right="0" w:firstLine="0"/>
                  <w:jc w:val="left"/>
                  <w:rPr>
                    <w:b/>
                    <w:sz w:val="20"/>
                  </w:rPr>
                </w:pPr>
                <w:r>
                  <w:rPr>
                    <w:b/>
                    <w:sz w:val="20"/>
                    <w:u w:val="single"/>
                  </w:rPr>
                  <w:t>8.</w:t>
                </w:r>
                <w:r>
                  <w:rPr>
                    <w:b/>
                    <w:sz w:val="20"/>
                  </w:rPr>
                  <w:tab/>
                </w:r>
                <w:r>
                  <w:rPr>
                    <w:b/>
                    <w:sz w:val="20"/>
                    <w:u w:val="single"/>
                  </w:rPr>
                  <w:t>Ενισχύσεις Καινοτομίας  - Δαπάνες για υπηρεσίες καινοτομίας </w:t>
                </w:r>
                <w:r>
                  <w:rPr>
                    <w:b/>
                    <w:sz w:val="20"/>
                  </w:rPr>
                  <w:t>(De</w:t>
                </w:r>
                <w:r>
                  <w:rPr>
                    <w:b/>
                    <w:spacing w:val="-19"/>
                    <w:sz w:val="20"/>
                  </w:rPr>
                  <w:t> </w:t>
                </w:r>
                <w:r>
                  <w:rPr>
                    <w:b/>
                    <w:sz w:val="20"/>
                  </w:rPr>
                  <w:t>minimis)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384003pt;margin-top:92.110008pt;width:341.65pt;height:12pt;mso-position-horizontal-relative:page;mso-position-vertical-relative:page;z-index:-267232" type="#_x0000_t202" filled="false" stroked="false">
          <v:textbox inset="0,0,0,0">
            <w:txbxContent>
              <w:p>
                <w:pPr>
                  <w:spacing w:line="223" w:lineRule="exact" w:before="0"/>
                  <w:ind w:left="20" w:right="0" w:firstLine="0"/>
                  <w:jc w:val="left"/>
                  <w:rPr>
                    <w:b/>
                    <w:sz w:val="20"/>
                  </w:rPr>
                </w:pPr>
                <w:r>
                  <w:rPr>
                    <w:b/>
                    <w:sz w:val="20"/>
                    <w:u w:val="single"/>
                  </w:rPr>
                  <w:t>10.  Δαπάνες προσωπικού (Μισθολογικό κόστος νέου προσωπικού) </w:t>
                </w:r>
                <w:r>
                  <w:rPr>
                    <w:b/>
                    <w:sz w:val="20"/>
                  </w:rPr>
                  <w:t>(De Minimis)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20001pt;margin-top:36.409985pt;width:487.5pt;height:36.35pt;mso-position-horizontal-relative:page;mso-position-vertical-relative:page;z-index:-267208" type="#_x0000_t202" filled="false" stroked="false">
          <v:textbox inset="0,0,0,0">
            <w:txbxContent>
              <w:p>
                <w:pPr>
                  <w:spacing w:line="223" w:lineRule="exact" w:before="0"/>
                  <w:ind w:left="0" w:right="0" w:firstLine="0"/>
                  <w:jc w:val="center"/>
                  <w:rPr>
                    <w:sz w:val="20"/>
                  </w:rPr>
                </w:pPr>
                <w:r>
                  <w:rPr>
                    <w:sz w:val="20"/>
                  </w:rPr>
                  <w:t>Αναλυτική Πρόσκληση Δράσης: Ενίσχυση υφιστάμενων επιχειρήσεων για την αξιοποίηση πατεντών ή και καινοτομιών,</w:t>
                </w:r>
              </w:p>
              <w:p>
                <w:pPr>
                  <w:spacing w:before="0"/>
                  <w:ind w:left="397" w:right="394" w:firstLine="0"/>
                  <w:jc w:val="center"/>
                  <w:rPr>
                    <w:sz w:val="20"/>
                  </w:rPr>
                </w:pPr>
                <w:r>
                  <w:rPr>
                    <w:sz w:val="20"/>
                  </w:rPr>
                  <w:t>καθώς και υποστηρικτικών υπηρεσιών για την βελτίωση της παραγωγικής τους δραστηριότητας ή και για την ανάπτυξη νέων προϊόντων και υπηρεσιών, «</w:t>
                </w:r>
                <w:r>
                  <w:rPr>
                    <w:b/>
                    <w:i/>
                    <w:sz w:val="20"/>
                  </w:rPr>
                  <w:t>Επανεπενδύω στη Θεσσαλία</w:t>
                </w:r>
                <w:r>
                  <w:rPr>
                    <w:sz w:val="20"/>
                  </w:rPr>
                  <w:t>»</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704002pt;margin-top:36.410007pt;width:678.2pt;height:24.2pt;mso-position-horizontal-relative:page;mso-position-vertical-relative:page;z-index:-267040" type="#_x0000_t202" filled="false" stroked="false">
          <v:textbox inset="0,0,0,0">
            <w:txbxContent>
              <w:p>
                <w:pPr>
                  <w:spacing w:line="223" w:lineRule="exact" w:before="0"/>
                  <w:ind w:left="0" w:right="0" w:firstLine="0"/>
                  <w:jc w:val="center"/>
                  <w:rPr>
                    <w:sz w:val="20"/>
                  </w:rPr>
                </w:pPr>
                <w:r>
                  <w:rPr>
                    <w:sz w:val="20"/>
                  </w:rPr>
                  <w:t>Αναλυτική Πρόσκληση Δράσης: Ενίσχυση υφιστάμενων επιχειρήσεων για την αξιοποίηση πατεντών ή και καινοτομιών, καθώς και υποστηρικτικών υπηρεσιών για την</w:t>
                </w:r>
              </w:p>
              <w:p>
                <w:pPr>
                  <w:spacing w:before="0"/>
                  <w:ind w:left="5" w:right="0" w:firstLine="0"/>
                  <w:jc w:val="center"/>
                  <w:rPr>
                    <w:sz w:val="20"/>
                  </w:rPr>
                </w:pPr>
                <w:r>
                  <w:rPr>
                    <w:sz w:val="20"/>
                  </w:rPr>
                  <w:t>βελτίωση της παραγωγικής τους δραστηριότητας ή και για την ανάπτυξη νέων προϊόντων και υπηρεσιών, «</w:t>
                </w:r>
                <w:r>
                  <w:rPr>
                    <w:b/>
                    <w:i/>
                    <w:sz w:val="20"/>
                  </w:rPr>
                  <w:t>Επανεπενδύω στη Θεσσαλία</w:t>
                </w:r>
                <w:r>
                  <w:rPr>
                    <w:sz w:val="20"/>
                  </w:rPr>
                  <w:t>»</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20001pt;margin-top:36.409985pt;width:487.5pt;height:36.35pt;mso-position-horizontal-relative:page;mso-position-vertical-relative:page;z-index:-266992" type="#_x0000_t202" filled="false" stroked="false">
          <v:textbox inset="0,0,0,0">
            <w:txbxContent>
              <w:p>
                <w:pPr>
                  <w:spacing w:line="223" w:lineRule="exact" w:before="0"/>
                  <w:ind w:left="0" w:right="0" w:firstLine="0"/>
                  <w:jc w:val="center"/>
                  <w:rPr>
                    <w:sz w:val="20"/>
                  </w:rPr>
                </w:pPr>
                <w:r>
                  <w:rPr>
                    <w:sz w:val="20"/>
                  </w:rPr>
                  <w:t>Αναλυτική Πρόσκληση Δράσης: Ενίσχυση υφιστάμενων επιχειρήσεων για την αξιοποίηση πατεντών ή και καινοτομιών,</w:t>
                </w:r>
              </w:p>
              <w:p>
                <w:pPr>
                  <w:spacing w:before="0"/>
                  <w:ind w:left="397" w:right="394" w:firstLine="0"/>
                  <w:jc w:val="center"/>
                  <w:rPr>
                    <w:sz w:val="20"/>
                  </w:rPr>
                </w:pPr>
                <w:r>
                  <w:rPr>
                    <w:sz w:val="20"/>
                  </w:rPr>
                  <w:t>καθώς και υποστηρικτικών υπηρεσιών για την βελτίωση της παραγωγικής τους δραστηριότητας ή και για την ανάπτυξη νέων προϊόντων και υπηρεσιών, «</w:t>
                </w:r>
                <w:r>
                  <w:rPr>
                    <w:b/>
                    <w:i/>
                    <w:sz w:val="20"/>
                  </w:rPr>
                  <w:t>Επανεπενδύω στη Θεσσαλία</w:t>
                </w:r>
                <w:r>
                  <w:rPr>
                    <w:sz w:val="20"/>
                  </w:rPr>
                  <w:t>»</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84pt;margin-top:36.409985pt;width:472.7pt;height:36.35pt;mso-position-horizontal-relative:page;mso-position-vertical-relative:page;z-index:-266944" type="#_x0000_t202" filled="false" stroked="false">
          <v:textbox inset="0,0,0,0">
            <w:txbxContent>
              <w:p>
                <w:pPr>
                  <w:spacing w:line="223" w:lineRule="exact" w:before="0"/>
                  <w:ind w:left="7" w:right="7" w:firstLine="0"/>
                  <w:jc w:val="center"/>
                  <w:rPr>
                    <w:sz w:val="20"/>
                  </w:rPr>
                </w:pPr>
                <w:r>
                  <w:rPr>
                    <w:sz w:val="20"/>
                  </w:rPr>
                  <w:t>Αναλυτική Πρόσκληση Δράσης: Ενίσχυση υφιστάμενων επιχειρήσεων για την αξιοποίηση πατεντών ή και</w:t>
                </w:r>
              </w:p>
              <w:p>
                <w:pPr>
                  <w:spacing w:before="0"/>
                  <w:ind w:left="9" w:right="7" w:firstLine="0"/>
                  <w:jc w:val="center"/>
                  <w:rPr>
                    <w:sz w:val="20"/>
                  </w:rPr>
                </w:pPr>
                <w:r>
                  <w:rPr>
                    <w:sz w:val="20"/>
                  </w:rPr>
                  <w:t>καινοτομιών, καθώς και υποστηρικτικών υπηρεσιών για την βελτίωση της παραγωγικής τους δραστηριότητας ή και για την ανάπτυξη νέων προϊόντων και υπηρεσιών, «</w:t>
                </w:r>
                <w:r>
                  <w:rPr>
                    <w:b/>
                    <w:i/>
                    <w:sz w:val="20"/>
                  </w:rPr>
                  <w:t>Επανεπενδύω στη Θεσσαλία</w:t>
                </w:r>
                <w:r>
                  <w:rPr>
                    <w:sz w:val="20"/>
                  </w:rPr>
                  <w:t>»</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704002pt;margin-top:36.410007pt;width:678.2pt;height:24.2pt;mso-position-horizontal-relative:page;mso-position-vertical-relative:page;z-index:-266896" type="#_x0000_t202" filled="false" stroked="false">
          <v:textbox inset="0,0,0,0">
            <w:txbxContent>
              <w:p>
                <w:pPr>
                  <w:spacing w:line="223" w:lineRule="exact" w:before="0"/>
                  <w:ind w:left="0" w:right="0" w:firstLine="0"/>
                  <w:jc w:val="center"/>
                  <w:rPr>
                    <w:sz w:val="20"/>
                  </w:rPr>
                </w:pPr>
                <w:r>
                  <w:rPr>
                    <w:sz w:val="20"/>
                  </w:rPr>
                  <w:t>Αναλυτική Πρόσκληση Δράσης: Ενίσχυση υφιστάμενων επιχειρήσεων για την αξιοποίηση πατεντών ή και καινοτομιών, καθώς και υποστηρικτικών υπηρεσιών για την</w:t>
                </w:r>
              </w:p>
              <w:p>
                <w:pPr>
                  <w:spacing w:before="0"/>
                  <w:ind w:left="5" w:right="0" w:firstLine="0"/>
                  <w:jc w:val="center"/>
                  <w:rPr>
                    <w:sz w:val="20"/>
                  </w:rPr>
                </w:pPr>
                <w:r>
                  <w:rPr>
                    <w:sz w:val="20"/>
                  </w:rPr>
                  <w:t>βελτίωση της παραγωγικής τους δραστηριότητας ή και για την ανάπτυξη νέων προϊόντων και υπηρεσιών, «</w:t>
                </w:r>
                <w:r>
                  <w:rPr>
                    <w:b/>
                    <w:i/>
                    <w:sz w:val="20"/>
                  </w:rPr>
                  <w:t>Επανεπενδύω στη Θεσσαλία</w:t>
                </w:r>
                <w:r>
                  <w:rPr>
                    <w:sz w:val="20"/>
                  </w:rPr>
                  <w:t>»</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20001pt;margin-top:36.409985pt;width:487.5pt;height:36.35pt;mso-position-horizontal-relative:page;mso-position-vertical-relative:page;z-index:-266848" type="#_x0000_t202" filled="false" stroked="false">
          <v:textbox inset="0,0,0,0">
            <w:txbxContent>
              <w:p>
                <w:pPr>
                  <w:spacing w:line="223" w:lineRule="exact" w:before="0"/>
                  <w:ind w:left="0" w:right="0" w:firstLine="0"/>
                  <w:jc w:val="center"/>
                  <w:rPr>
                    <w:sz w:val="20"/>
                  </w:rPr>
                </w:pPr>
                <w:r>
                  <w:rPr>
                    <w:sz w:val="20"/>
                  </w:rPr>
                  <w:t>Αναλυτική Πρόσκληση Δράσης: Ενίσχυση υφιστάμενων επιχειρήσεων για την αξιοποίηση πατεντών ή και καινοτομιών,</w:t>
                </w:r>
              </w:p>
              <w:p>
                <w:pPr>
                  <w:spacing w:before="0"/>
                  <w:ind w:left="397" w:right="394" w:firstLine="0"/>
                  <w:jc w:val="center"/>
                  <w:rPr>
                    <w:sz w:val="20"/>
                  </w:rPr>
                </w:pPr>
                <w:r>
                  <w:rPr>
                    <w:sz w:val="20"/>
                  </w:rPr>
                  <w:t>καθώς και υποστηρικτικών υπηρεσιών για την βελτίωση της παραγωγικής τους δραστηριότητας ή και για την ανάπτυξη νέων προϊόντων και υπηρεσιών, «</w:t>
                </w:r>
                <w:r>
                  <w:rPr>
                    <w:b/>
                    <w:i/>
                    <w:sz w:val="20"/>
                  </w:rPr>
                  <w:t>Επανεπενδύω στη Θεσσαλία</w:t>
                </w:r>
                <w:r>
                  <w:rPr>
                    <w:sz w:val="20"/>
                  </w:rPr>
                  <w:t>»</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20001pt;margin-top:36.409985pt;width:487.5pt;height:36.35pt;mso-position-horizontal-relative:page;mso-position-vertical-relative:page;z-index:-266824" type="#_x0000_t202" filled="false" stroked="false">
          <v:textbox inset="0,0,0,0">
            <w:txbxContent>
              <w:p>
                <w:pPr>
                  <w:spacing w:line="223" w:lineRule="exact" w:before="0"/>
                  <w:ind w:left="0" w:right="0" w:firstLine="0"/>
                  <w:jc w:val="center"/>
                  <w:rPr>
                    <w:sz w:val="20"/>
                  </w:rPr>
                </w:pPr>
                <w:r>
                  <w:rPr>
                    <w:sz w:val="20"/>
                  </w:rPr>
                  <w:t>Αναλυτική Πρόσκληση Δράσης: Ενίσχυση υφιστάμενων επιχειρήσεων για την αξιοποίηση πατεντών ή και καινοτομιών,</w:t>
                </w:r>
              </w:p>
              <w:p>
                <w:pPr>
                  <w:spacing w:before="0"/>
                  <w:ind w:left="397" w:right="394" w:firstLine="0"/>
                  <w:jc w:val="center"/>
                  <w:rPr>
                    <w:sz w:val="20"/>
                  </w:rPr>
                </w:pPr>
                <w:r>
                  <w:rPr>
                    <w:sz w:val="20"/>
                  </w:rPr>
                  <w:t>καθώς και υποστηρικτικών υπηρεσιών για την βελτίωση της παραγωγικής τους δραστηριότητας ή και για την ανάπτυξη νέων προϊόντων και υπηρεσιών, «</w:t>
                </w:r>
                <w:r>
                  <w:rPr>
                    <w:b/>
                    <w:i/>
                    <w:sz w:val="20"/>
                  </w:rPr>
                  <w:t>Επανεπενδύω στη Θεσσαλία</w:t>
                </w:r>
                <w:r>
                  <w:rPr>
                    <w:sz w:val="20"/>
                  </w:rPr>
                  <w: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39999pt;margin-top:49.170704pt;width:272.350pt;height:11.35pt;mso-position-horizontal-relative:page;mso-position-vertical-relative:page;z-index:-268240" type="#_x0000_t202" filled="false" stroked="false">
          <v:textbox inset="0,0,0,0">
            <w:txbxContent>
              <w:p>
                <w:pPr>
                  <w:spacing w:before="20"/>
                  <w:ind w:left="20" w:right="0" w:firstLine="0"/>
                  <w:jc w:val="left"/>
                  <w:rPr>
                    <w:rFonts w:ascii="Trebuchet MS" w:hAnsi="Trebuchet MS"/>
                    <w:i/>
                    <w:sz w:val="16"/>
                  </w:rPr>
                </w:pPr>
                <w:r>
                  <w:rPr>
                    <w:rFonts w:ascii="Trebuchet MS" w:hAnsi="Trebuchet MS"/>
                    <w:i/>
                    <w:sz w:val="16"/>
                  </w:rPr>
                  <w:t>ΠΑΡΑΡΤΗΜΑ Ι.1: ΕΝΤΥΠΟ ΥΠΟΒΟΛΗΣ ΑΙΤΗΣΗΣ ΧΡΗΜΑΤΟΔΟΤΗΣΗΣ ΜΕΡΟΣ 1</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39999pt;margin-top:49.170704pt;width:272.350pt;height:11.35pt;mso-position-horizontal-relative:page;mso-position-vertical-relative:page;z-index:-268216" type="#_x0000_t202" filled="false" stroked="false">
          <v:textbox inset="0,0,0,0">
            <w:txbxContent>
              <w:p>
                <w:pPr>
                  <w:spacing w:before="20"/>
                  <w:ind w:left="20" w:right="0" w:firstLine="0"/>
                  <w:jc w:val="left"/>
                  <w:rPr>
                    <w:rFonts w:ascii="Trebuchet MS" w:hAnsi="Trebuchet MS"/>
                    <w:i/>
                    <w:sz w:val="16"/>
                  </w:rPr>
                </w:pPr>
                <w:r>
                  <w:rPr>
                    <w:rFonts w:ascii="Trebuchet MS" w:hAnsi="Trebuchet MS"/>
                    <w:i/>
                    <w:sz w:val="16"/>
                  </w:rPr>
                  <w:t>ΠΑΡΑΡΤΗΜΑ Ι.1: ΕΝΤΥΠΟ ΥΠΟΒΟΛΗΣ ΑΙΤΗΣΗΣ ΧΡΗΜΑΤΟΔΟΤΗΣΗΣ ΜΕΡΟΣ 1</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0">
    <w:multiLevelType w:val="hybridMultilevel"/>
    <w:lvl w:ilvl="0">
      <w:start w:val="0"/>
      <w:numFmt w:val="bullet"/>
      <w:lvlText w:val="-"/>
      <w:lvlJc w:val="left"/>
      <w:pPr>
        <w:ind w:left="866" w:hanging="360"/>
      </w:pPr>
      <w:rPr>
        <w:rFonts w:hint="default" w:ascii="Tahoma" w:hAnsi="Tahoma" w:eastAsia="Tahoma" w:cs="Tahoma"/>
        <w:w w:val="100"/>
        <w:sz w:val="22"/>
        <w:szCs w:val="22"/>
      </w:rPr>
    </w:lvl>
    <w:lvl w:ilvl="1">
      <w:start w:val="0"/>
      <w:numFmt w:val="bullet"/>
      <w:lvlText w:val="•"/>
      <w:lvlJc w:val="left"/>
      <w:pPr>
        <w:ind w:left="1770" w:hanging="360"/>
      </w:pPr>
      <w:rPr>
        <w:rFonts w:hint="default"/>
      </w:rPr>
    </w:lvl>
    <w:lvl w:ilvl="2">
      <w:start w:val="0"/>
      <w:numFmt w:val="bullet"/>
      <w:lvlText w:val="•"/>
      <w:lvlJc w:val="left"/>
      <w:pPr>
        <w:ind w:left="2681" w:hanging="360"/>
      </w:pPr>
      <w:rPr>
        <w:rFonts w:hint="default"/>
      </w:rPr>
    </w:lvl>
    <w:lvl w:ilvl="3">
      <w:start w:val="0"/>
      <w:numFmt w:val="bullet"/>
      <w:lvlText w:val="•"/>
      <w:lvlJc w:val="left"/>
      <w:pPr>
        <w:ind w:left="3591" w:hanging="360"/>
      </w:pPr>
      <w:rPr>
        <w:rFonts w:hint="default"/>
      </w:rPr>
    </w:lvl>
    <w:lvl w:ilvl="4">
      <w:start w:val="0"/>
      <w:numFmt w:val="bullet"/>
      <w:lvlText w:val="•"/>
      <w:lvlJc w:val="left"/>
      <w:pPr>
        <w:ind w:left="4502" w:hanging="360"/>
      </w:pPr>
      <w:rPr>
        <w:rFonts w:hint="default"/>
      </w:rPr>
    </w:lvl>
    <w:lvl w:ilvl="5">
      <w:start w:val="0"/>
      <w:numFmt w:val="bullet"/>
      <w:lvlText w:val="•"/>
      <w:lvlJc w:val="left"/>
      <w:pPr>
        <w:ind w:left="5413" w:hanging="360"/>
      </w:pPr>
      <w:rPr>
        <w:rFonts w:hint="default"/>
      </w:rPr>
    </w:lvl>
    <w:lvl w:ilvl="6">
      <w:start w:val="0"/>
      <w:numFmt w:val="bullet"/>
      <w:lvlText w:val="•"/>
      <w:lvlJc w:val="left"/>
      <w:pPr>
        <w:ind w:left="6323" w:hanging="360"/>
      </w:pPr>
      <w:rPr>
        <w:rFonts w:hint="default"/>
      </w:rPr>
    </w:lvl>
    <w:lvl w:ilvl="7">
      <w:start w:val="0"/>
      <w:numFmt w:val="bullet"/>
      <w:lvlText w:val="•"/>
      <w:lvlJc w:val="left"/>
      <w:pPr>
        <w:ind w:left="7234" w:hanging="360"/>
      </w:pPr>
      <w:rPr>
        <w:rFonts w:hint="default"/>
      </w:rPr>
    </w:lvl>
    <w:lvl w:ilvl="8">
      <w:start w:val="0"/>
      <w:numFmt w:val="bullet"/>
      <w:lvlText w:val="•"/>
      <w:lvlJc w:val="left"/>
      <w:pPr>
        <w:ind w:left="8145" w:hanging="360"/>
      </w:pPr>
      <w:rPr>
        <w:rFonts w:hint="default"/>
      </w:rPr>
    </w:lvl>
  </w:abstractNum>
  <w:abstractNum w:abstractNumId="89">
    <w:multiLevelType w:val="hybridMultilevel"/>
    <w:lvl w:ilvl="0">
      <w:start w:val="0"/>
      <w:numFmt w:val="bullet"/>
      <w:lvlText w:val="o"/>
      <w:lvlJc w:val="left"/>
      <w:pPr>
        <w:ind w:left="866" w:hanging="360"/>
      </w:pPr>
      <w:rPr>
        <w:rFonts w:hint="default" w:ascii="Courier New" w:hAnsi="Courier New" w:eastAsia="Courier New" w:cs="Courier New"/>
        <w:w w:val="100"/>
        <w:sz w:val="22"/>
        <w:szCs w:val="22"/>
      </w:rPr>
    </w:lvl>
    <w:lvl w:ilvl="1">
      <w:start w:val="0"/>
      <w:numFmt w:val="bullet"/>
      <w:lvlText w:val="•"/>
      <w:lvlJc w:val="left"/>
      <w:pPr>
        <w:ind w:left="1770" w:hanging="360"/>
      </w:pPr>
      <w:rPr>
        <w:rFonts w:hint="default"/>
      </w:rPr>
    </w:lvl>
    <w:lvl w:ilvl="2">
      <w:start w:val="0"/>
      <w:numFmt w:val="bullet"/>
      <w:lvlText w:val="•"/>
      <w:lvlJc w:val="left"/>
      <w:pPr>
        <w:ind w:left="2681" w:hanging="360"/>
      </w:pPr>
      <w:rPr>
        <w:rFonts w:hint="default"/>
      </w:rPr>
    </w:lvl>
    <w:lvl w:ilvl="3">
      <w:start w:val="0"/>
      <w:numFmt w:val="bullet"/>
      <w:lvlText w:val="•"/>
      <w:lvlJc w:val="left"/>
      <w:pPr>
        <w:ind w:left="3591" w:hanging="360"/>
      </w:pPr>
      <w:rPr>
        <w:rFonts w:hint="default"/>
      </w:rPr>
    </w:lvl>
    <w:lvl w:ilvl="4">
      <w:start w:val="0"/>
      <w:numFmt w:val="bullet"/>
      <w:lvlText w:val="•"/>
      <w:lvlJc w:val="left"/>
      <w:pPr>
        <w:ind w:left="4502" w:hanging="360"/>
      </w:pPr>
      <w:rPr>
        <w:rFonts w:hint="default"/>
      </w:rPr>
    </w:lvl>
    <w:lvl w:ilvl="5">
      <w:start w:val="0"/>
      <w:numFmt w:val="bullet"/>
      <w:lvlText w:val="•"/>
      <w:lvlJc w:val="left"/>
      <w:pPr>
        <w:ind w:left="5413" w:hanging="360"/>
      </w:pPr>
      <w:rPr>
        <w:rFonts w:hint="default"/>
      </w:rPr>
    </w:lvl>
    <w:lvl w:ilvl="6">
      <w:start w:val="0"/>
      <w:numFmt w:val="bullet"/>
      <w:lvlText w:val="•"/>
      <w:lvlJc w:val="left"/>
      <w:pPr>
        <w:ind w:left="6323" w:hanging="360"/>
      </w:pPr>
      <w:rPr>
        <w:rFonts w:hint="default"/>
      </w:rPr>
    </w:lvl>
    <w:lvl w:ilvl="7">
      <w:start w:val="0"/>
      <w:numFmt w:val="bullet"/>
      <w:lvlText w:val="•"/>
      <w:lvlJc w:val="left"/>
      <w:pPr>
        <w:ind w:left="7234" w:hanging="360"/>
      </w:pPr>
      <w:rPr>
        <w:rFonts w:hint="default"/>
      </w:rPr>
    </w:lvl>
    <w:lvl w:ilvl="8">
      <w:start w:val="0"/>
      <w:numFmt w:val="bullet"/>
      <w:lvlText w:val="•"/>
      <w:lvlJc w:val="left"/>
      <w:pPr>
        <w:ind w:left="8145" w:hanging="360"/>
      </w:pPr>
      <w:rPr>
        <w:rFonts w:hint="default"/>
      </w:rPr>
    </w:lvl>
  </w:abstractNum>
  <w:abstractNum w:abstractNumId="88">
    <w:multiLevelType w:val="hybridMultilevel"/>
    <w:lvl w:ilvl="0">
      <w:start w:val="1"/>
      <w:numFmt w:val="decimal"/>
      <w:lvlText w:val="(%1)"/>
      <w:lvlJc w:val="left"/>
      <w:pPr>
        <w:ind w:left="240" w:hanging="389"/>
        <w:jc w:val="left"/>
      </w:pPr>
      <w:rPr>
        <w:rFonts w:hint="default" w:ascii="Calibri" w:hAnsi="Calibri" w:eastAsia="Calibri" w:cs="Calibri"/>
        <w:w w:val="100"/>
        <w:sz w:val="22"/>
        <w:szCs w:val="22"/>
      </w:rPr>
    </w:lvl>
    <w:lvl w:ilvl="1">
      <w:start w:val="0"/>
      <w:numFmt w:val="bullet"/>
      <w:lvlText w:val="•"/>
      <w:lvlJc w:val="left"/>
      <w:pPr>
        <w:ind w:left="1238" w:hanging="389"/>
      </w:pPr>
      <w:rPr>
        <w:rFonts w:hint="default"/>
      </w:rPr>
    </w:lvl>
    <w:lvl w:ilvl="2">
      <w:start w:val="0"/>
      <w:numFmt w:val="bullet"/>
      <w:lvlText w:val="•"/>
      <w:lvlJc w:val="left"/>
      <w:pPr>
        <w:ind w:left="2237" w:hanging="389"/>
      </w:pPr>
      <w:rPr>
        <w:rFonts w:hint="default"/>
      </w:rPr>
    </w:lvl>
    <w:lvl w:ilvl="3">
      <w:start w:val="0"/>
      <w:numFmt w:val="bullet"/>
      <w:lvlText w:val="•"/>
      <w:lvlJc w:val="left"/>
      <w:pPr>
        <w:ind w:left="3235" w:hanging="389"/>
      </w:pPr>
      <w:rPr>
        <w:rFonts w:hint="default"/>
      </w:rPr>
    </w:lvl>
    <w:lvl w:ilvl="4">
      <w:start w:val="0"/>
      <w:numFmt w:val="bullet"/>
      <w:lvlText w:val="•"/>
      <w:lvlJc w:val="left"/>
      <w:pPr>
        <w:ind w:left="4234" w:hanging="389"/>
      </w:pPr>
      <w:rPr>
        <w:rFonts w:hint="default"/>
      </w:rPr>
    </w:lvl>
    <w:lvl w:ilvl="5">
      <w:start w:val="0"/>
      <w:numFmt w:val="bullet"/>
      <w:lvlText w:val="•"/>
      <w:lvlJc w:val="left"/>
      <w:pPr>
        <w:ind w:left="5233" w:hanging="389"/>
      </w:pPr>
      <w:rPr>
        <w:rFonts w:hint="default"/>
      </w:rPr>
    </w:lvl>
    <w:lvl w:ilvl="6">
      <w:start w:val="0"/>
      <w:numFmt w:val="bullet"/>
      <w:lvlText w:val="•"/>
      <w:lvlJc w:val="left"/>
      <w:pPr>
        <w:ind w:left="6231" w:hanging="389"/>
      </w:pPr>
      <w:rPr>
        <w:rFonts w:hint="default"/>
      </w:rPr>
    </w:lvl>
    <w:lvl w:ilvl="7">
      <w:start w:val="0"/>
      <w:numFmt w:val="bullet"/>
      <w:lvlText w:val="•"/>
      <w:lvlJc w:val="left"/>
      <w:pPr>
        <w:ind w:left="7230" w:hanging="389"/>
      </w:pPr>
      <w:rPr>
        <w:rFonts w:hint="default"/>
      </w:rPr>
    </w:lvl>
    <w:lvl w:ilvl="8">
      <w:start w:val="0"/>
      <w:numFmt w:val="bullet"/>
      <w:lvlText w:val="•"/>
      <w:lvlJc w:val="left"/>
      <w:pPr>
        <w:ind w:left="8229" w:hanging="389"/>
      </w:pPr>
      <w:rPr>
        <w:rFonts w:hint="default"/>
      </w:rPr>
    </w:lvl>
  </w:abstractNum>
  <w:abstractNum w:abstractNumId="87">
    <w:multiLevelType w:val="hybridMultilevel"/>
    <w:lvl w:ilvl="0">
      <w:start w:val="1"/>
      <w:numFmt w:val="decimal"/>
      <w:lvlText w:val="(%1)"/>
      <w:lvlJc w:val="left"/>
      <w:pPr>
        <w:ind w:left="240" w:hanging="300"/>
        <w:jc w:val="left"/>
      </w:pPr>
      <w:rPr>
        <w:rFonts w:hint="default" w:ascii="Calibri" w:hAnsi="Calibri" w:eastAsia="Calibri" w:cs="Calibri"/>
        <w:w w:val="100"/>
        <w:sz w:val="22"/>
        <w:szCs w:val="22"/>
      </w:rPr>
    </w:lvl>
    <w:lvl w:ilvl="1">
      <w:start w:val="0"/>
      <w:numFmt w:val="bullet"/>
      <w:lvlText w:val="•"/>
      <w:lvlJc w:val="left"/>
      <w:pPr>
        <w:ind w:left="1238" w:hanging="300"/>
      </w:pPr>
      <w:rPr>
        <w:rFonts w:hint="default"/>
      </w:rPr>
    </w:lvl>
    <w:lvl w:ilvl="2">
      <w:start w:val="0"/>
      <w:numFmt w:val="bullet"/>
      <w:lvlText w:val="•"/>
      <w:lvlJc w:val="left"/>
      <w:pPr>
        <w:ind w:left="2237" w:hanging="300"/>
      </w:pPr>
      <w:rPr>
        <w:rFonts w:hint="default"/>
      </w:rPr>
    </w:lvl>
    <w:lvl w:ilvl="3">
      <w:start w:val="0"/>
      <w:numFmt w:val="bullet"/>
      <w:lvlText w:val="•"/>
      <w:lvlJc w:val="left"/>
      <w:pPr>
        <w:ind w:left="3235" w:hanging="300"/>
      </w:pPr>
      <w:rPr>
        <w:rFonts w:hint="default"/>
      </w:rPr>
    </w:lvl>
    <w:lvl w:ilvl="4">
      <w:start w:val="0"/>
      <w:numFmt w:val="bullet"/>
      <w:lvlText w:val="•"/>
      <w:lvlJc w:val="left"/>
      <w:pPr>
        <w:ind w:left="4234" w:hanging="300"/>
      </w:pPr>
      <w:rPr>
        <w:rFonts w:hint="default"/>
      </w:rPr>
    </w:lvl>
    <w:lvl w:ilvl="5">
      <w:start w:val="0"/>
      <w:numFmt w:val="bullet"/>
      <w:lvlText w:val="•"/>
      <w:lvlJc w:val="left"/>
      <w:pPr>
        <w:ind w:left="5233" w:hanging="300"/>
      </w:pPr>
      <w:rPr>
        <w:rFonts w:hint="default"/>
      </w:rPr>
    </w:lvl>
    <w:lvl w:ilvl="6">
      <w:start w:val="0"/>
      <w:numFmt w:val="bullet"/>
      <w:lvlText w:val="•"/>
      <w:lvlJc w:val="left"/>
      <w:pPr>
        <w:ind w:left="6231" w:hanging="300"/>
      </w:pPr>
      <w:rPr>
        <w:rFonts w:hint="default"/>
      </w:rPr>
    </w:lvl>
    <w:lvl w:ilvl="7">
      <w:start w:val="0"/>
      <w:numFmt w:val="bullet"/>
      <w:lvlText w:val="•"/>
      <w:lvlJc w:val="left"/>
      <w:pPr>
        <w:ind w:left="7230" w:hanging="300"/>
      </w:pPr>
      <w:rPr>
        <w:rFonts w:hint="default"/>
      </w:rPr>
    </w:lvl>
    <w:lvl w:ilvl="8">
      <w:start w:val="0"/>
      <w:numFmt w:val="bullet"/>
      <w:lvlText w:val="•"/>
      <w:lvlJc w:val="left"/>
      <w:pPr>
        <w:ind w:left="8229" w:hanging="300"/>
      </w:pPr>
      <w:rPr>
        <w:rFonts w:hint="default"/>
      </w:rPr>
    </w:lvl>
  </w:abstractNum>
  <w:abstractNum w:abstractNumId="86">
    <w:multiLevelType w:val="hybridMultilevel"/>
    <w:lvl w:ilvl="0">
      <w:start w:val="1"/>
      <w:numFmt w:val="decimal"/>
      <w:lvlText w:val="(%1)"/>
      <w:lvlJc w:val="left"/>
      <w:pPr>
        <w:ind w:left="240" w:hanging="721"/>
        <w:jc w:val="left"/>
      </w:pPr>
      <w:rPr>
        <w:rFonts w:hint="default" w:ascii="Calibri" w:hAnsi="Calibri" w:eastAsia="Calibri" w:cs="Calibri"/>
        <w:spacing w:val="-1"/>
        <w:w w:val="100"/>
        <w:sz w:val="22"/>
        <w:szCs w:val="22"/>
      </w:rPr>
    </w:lvl>
    <w:lvl w:ilvl="1">
      <w:start w:val="0"/>
      <w:numFmt w:val="bullet"/>
      <w:lvlText w:val="•"/>
      <w:lvlJc w:val="left"/>
      <w:pPr>
        <w:ind w:left="1238" w:hanging="721"/>
      </w:pPr>
      <w:rPr>
        <w:rFonts w:hint="default"/>
      </w:rPr>
    </w:lvl>
    <w:lvl w:ilvl="2">
      <w:start w:val="0"/>
      <w:numFmt w:val="bullet"/>
      <w:lvlText w:val="•"/>
      <w:lvlJc w:val="left"/>
      <w:pPr>
        <w:ind w:left="2237" w:hanging="721"/>
      </w:pPr>
      <w:rPr>
        <w:rFonts w:hint="default"/>
      </w:rPr>
    </w:lvl>
    <w:lvl w:ilvl="3">
      <w:start w:val="0"/>
      <w:numFmt w:val="bullet"/>
      <w:lvlText w:val="•"/>
      <w:lvlJc w:val="left"/>
      <w:pPr>
        <w:ind w:left="3235" w:hanging="721"/>
      </w:pPr>
      <w:rPr>
        <w:rFonts w:hint="default"/>
      </w:rPr>
    </w:lvl>
    <w:lvl w:ilvl="4">
      <w:start w:val="0"/>
      <w:numFmt w:val="bullet"/>
      <w:lvlText w:val="•"/>
      <w:lvlJc w:val="left"/>
      <w:pPr>
        <w:ind w:left="4234" w:hanging="721"/>
      </w:pPr>
      <w:rPr>
        <w:rFonts w:hint="default"/>
      </w:rPr>
    </w:lvl>
    <w:lvl w:ilvl="5">
      <w:start w:val="0"/>
      <w:numFmt w:val="bullet"/>
      <w:lvlText w:val="•"/>
      <w:lvlJc w:val="left"/>
      <w:pPr>
        <w:ind w:left="5233" w:hanging="721"/>
      </w:pPr>
      <w:rPr>
        <w:rFonts w:hint="default"/>
      </w:rPr>
    </w:lvl>
    <w:lvl w:ilvl="6">
      <w:start w:val="0"/>
      <w:numFmt w:val="bullet"/>
      <w:lvlText w:val="•"/>
      <w:lvlJc w:val="left"/>
      <w:pPr>
        <w:ind w:left="6231" w:hanging="721"/>
      </w:pPr>
      <w:rPr>
        <w:rFonts w:hint="default"/>
      </w:rPr>
    </w:lvl>
    <w:lvl w:ilvl="7">
      <w:start w:val="0"/>
      <w:numFmt w:val="bullet"/>
      <w:lvlText w:val="•"/>
      <w:lvlJc w:val="left"/>
      <w:pPr>
        <w:ind w:left="7230" w:hanging="721"/>
      </w:pPr>
      <w:rPr>
        <w:rFonts w:hint="default"/>
      </w:rPr>
    </w:lvl>
    <w:lvl w:ilvl="8">
      <w:start w:val="0"/>
      <w:numFmt w:val="bullet"/>
      <w:lvlText w:val="•"/>
      <w:lvlJc w:val="left"/>
      <w:pPr>
        <w:ind w:left="8229" w:hanging="721"/>
      </w:pPr>
      <w:rPr>
        <w:rFonts w:hint="default"/>
      </w:rPr>
    </w:lvl>
  </w:abstractNum>
  <w:abstractNum w:abstractNumId="85">
    <w:multiLevelType w:val="hybridMultilevel"/>
    <w:lvl w:ilvl="0">
      <w:start w:val="1"/>
      <w:numFmt w:val="decimal"/>
      <w:lvlText w:val="(%1)"/>
      <w:lvlJc w:val="left"/>
      <w:pPr>
        <w:ind w:left="240" w:hanging="317"/>
        <w:jc w:val="left"/>
      </w:pPr>
      <w:rPr>
        <w:rFonts w:hint="default" w:ascii="Calibri" w:hAnsi="Calibri" w:eastAsia="Calibri" w:cs="Calibri"/>
        <w:w w:val="100"/>
        <w:sz w:val="22"/>
        <w:szCs w:val="22"/>
      </w:rPr>
    </w:lvl>
    <w:lvl w:ilvl="1">
      <w:start w:val="0"/>
      <w:numFmt w:val="bullet"/>
      <w:lvlText w:val="•"/>
      <w:lvlJc w:val="left"/>
      <w:pPr>
        <w:ind w:left="1238" w:hanging="317"/>
      </w:pPr>
      <w:rPr>
        <w:rFonts w:hint="default"/>
      </w:rPr>
    </w:lvl>
    <w:lvl w:ilvl="2">
      <w:start w:val="0"/>
      <w:numFmt w:val="bullet"/>
      <w:lvlText w:val="•"/>
      <w:lvlJc w:val="left"/>
      <w:pPr>
        <w:ind w:left="2237" w:hanging="317"/>
      </w:pPr>
      <w:rPr>
        <w:rFonts w:hint="default"/>
      </w:rPr>
    </w:lvl>
    <w:lvl w:ilvl="3">
      <w:start w:val="0"/>
      <w:numFmt w:val="bullet"/>
      <w:lvlText w:val="•"/>
      <w:lvlJc w:val="left"/>
      <w:pPr>
        <w:ind w:left="3235" w:hanging="317"/>
      </w:pPr>
      <w:rPr>
        <w:rFonts w:hint="default"/>
      </w:rPr>
    </w:lvl>
    <w:lvl w:ilvl="4">
      <w:start w:val="0"/>
      <w:numFmt w:val="bullet"/>
      <w:lvlText w:val="•"/>
      <w:lvlJc w:val="left"/>
      <w:pPr>
        <w:ind w:left="4234" w:hanging="317"/>
      </w:pPr>
      <w:rPr>
        <w:rFonts w:hint="default"/>
      </w:rPr>
    </w:lvl>
    <w:lvl w:ilvl="5">
      <w:start w:val="0"/>
      <w:numFmt w:val="bullet"/>
      <w:lvlText w:val="•"/>
      <w:lvlJc w:val="left"/>
      <w:pPr>
        <w:ind w:left="5233" w:hanging="317"/>
      </w:pPr>
      <w:rPr>
        <w:rFonts w:hint="default"/>
      </w:rPr>
    </w:lvl>
    <w:lvl w:ilvl="6">
      <w:start w:val="0"/>
      <w:numFmt w:val="bullet"/>
      <w:lvlText w:val="•"/>
      <w:lvlJc w:val="left"/>
      <w:pPr>
        <w:ind w:left="6231" w:hanging="317"/>
      </w:pPr>
      <w:rPr>
        <w:rFonts w:hint="default"/>
      </w:rPr>
    </w:lvl>
    <w:lvl w:ilvl="7">
      <w:start w:val="0"/>
      <w:numFmt w:val="bullet"/>
      <w:lvlText w:val="•"/>
      <w:lvlJc w:val="left"/>
      <w:pPr>
        <w:ind w:left="7230" w:hanging="317"/>
      </w:pPr>
      <w:rPr>
        <w:rFonts w:hint="default"/>
      </w:rPr>
    </w:lvl>
    <w:lvl w:ilvl="8">
      <w:start w:val="0"/>
      <w:numFmt w:val="bullet"/>
      <w:lvlText w:val="•"/>
      <w:lvlJc w:val="left"/>
      <w:pPr>
        <w:ind w:left="8229" w:hanging="317"/>
      </w:pPr>
      <w:rPr>
        <w:rFonts w:hint="default"/>
      </w:rPr>
    </w:lvl>
  </w:abstractNum>
  <w:abstractNum w:abstractNumId="84">
    <w:multiLevelType w:val="hybridMultilevel"/>
    <w:lvl w:ilvl="0">
      <w:start w:val="1"/>
      <w:numFmt w:val="decimal"/>
      <w:lvlText w:val="(%1)"/>
      <w:lvlJc w:val="left"/>
      <w:pPr>
        <w:ind w:left="667" w:hanging="428"/>
        <w:jc w:val="left"/>
      </w:pPr>
      <w:rPr>
        <w:rFonts w:hint="default" w:ascii="Calibri" w:hAnsi="Calibri" w:eastAsia="Calibri" w:cs="Calibri"/>
        <w:spacing w:val="-1"/>
        <w:w w:val="100"/>
        <w:sz w:val="22"/>
        <w:szCs w:val="22"/>
      </w:rPr>
    </w:lvl>
    <w:lvl w:ilvl="1">
      <w:start w:val="0"/>
      <w:numFmt w:val="bullet"/>
      <w:lvlText w:val="•"/>
      <w:lvlJc w:val="left"/>
      <w:pPr>
        <w:ind w:left="1616" w:hanging="428"/>
      </w:pPr>
      <w:rPr>
        <w:rFonts w:hint="default"/>
      </w:rPr>
    </w:lvl>
    <w:lvl w:ilvl="2">
      <w:start w:val="0"/>
      <w:numFmt w:val="bullet"/>
      <w:lvlText w:val="•"/>
      <w:lvlJc w:val="left"/>
      <w:pPr>
        <w:ind w:left="2573" w:hanging="428"/>
      </w:pPr>
      <w:rPr>
        <w:rFonts w:hint="default"/>
      </w:rPr>
    </w:lvl>
    <w:lvl w:ilvl="3">
      <w:start w:val="0"/>
      <w:numFmt w:val="bullet"/>
      <w:lvlText w:val="•"/>
      <w:lvlJc w:val="left"/>
      <w:pPr>
        <w:ind w:left="3529" w:hanging="428"/>
      </w:pPr>
      <w:rPr>
        <w:rFonts w:hint="default"/>
      </w:rPr>
    </w:lvl>
    <w:lvl w:ilvl="4">
      <w:start w:val="0"/>
      <w:numFmt w:val="bullet"/>
      <w:lvlText w:val="•"/>
      <w:lvlJc w:val="left"/>
      <w:pPr>
        <w:ind w:left="4486" w:hanging="428"/>
      </w:pPr>
      <w:rPr>
        <w:rFonts w:hint="default"/>
      </w:rPr>
    </w:lvl>
    <w:lvl w:ilvl="5">
      <w:start w:val="0"/>
      <w:numFmt w:val="bullet"/>
      <w:lvlText w:val="•"/>
      <w:lvlJc w:val="left"/>
      <w:pPr>
        <w:ind w:left="5443" w:hanging="428"/>
      </w:pPr>
      <w:rPr>
        <w:rFonts w:hint="default"/>
      </w:rPr>
    </w:lvl>
    <w:lvl w:ilvl="6">
      <w:start w:val="0"/>
      <w:numFmt w:val="bullet"/>
      <w:lvlText w:val="•"/>
      <w:lvlJc w:val="left"/>
      <w:pPr>
        <w:ind w:left="6399" w:hanging="428"/>
      </w:pPr>
      <w:rPr>
        <w:rFonts w:hint="default"/>
      </w:rPr>
    </w:lvl>
    <w:lvl w:ilvl="7">
      <w:start w:val="0"/>
      <w:numFmt w:val="bullet"/>
      <w:lvlText w:val="•"/>
      <w:lvlJc w:val="left"/>
      <w:pPr>
        <w:ind w:left="7356" w:hanging="428"/>
      </w:pPr>
      <w:rPr>
        <w:rFonts w:hint="default"/>
      </w:rPr>
    </w:lvl>
    <w:lvl w:ilvl="8">
      <w:start w:val="0"/>
      <w:numFmt w:val="bullet"/>
      <w:lvlText w:val="•"/>
      <w:lvlJc w:val="left"/>
      <w:pPr>
        <w:ind w:left="8313" w:hanging="428"/>
      </w:pPr>
      <w:rPr>
        <w:rFonts w:hint="default"/>
      </w:rPr>
    </w:lvl>
  </w:abstractNum>
  <w:abstractNum w:abstractNumId="83">
    <w:multiLevelType w:val="hybridMultilevel"/>
    <w:lvl w:ilvl="0">
      <w:start w:val="1"/>
      <w:numFmt w:val="decimal"/>
      <w:lvlText w:val="%1."/>
      <w:lvlJc w:val="left"/>
      <w:pPr>
        <w:ind w:left="460" w:hanging="361"/>
        <w:jc w:val="left"/>
      </w:pPr>
      <w:rPr>
        <w:rFonts w:hint="default" w:ascii="Calibri" w:hAnsi="Calibri" w:eastAsia="Calibri" w:cs="Calibri"/>
        <w:w w:val="100"/>
        <w:sz w:val="22"/>
        <w:szCs w:val="22"/>
      </w:rPr>
    </w:lvl>
    <w:lvl w:ilvl="1">
      <w:start w:val="1"/>
      <w:numFmt w:val="decimal"/>
      <w:lvlText w:val="(%2)"/>
      <w:lvlJc w:val="left"/>
      <w:pPr>
        <w:ind w:left="598" w:hanging="359"/>
        <w:jc w:val="left"/>
      </w:pPr>
      <w:rPr>
        <w:rFonts w:hint="default" w:ascii="Calibri" w:hAnsi="Calibri" w:eastAsia="Calibri" w:cs="Calibri"/>
        <w:spacing w:val="-1"/>
        <w:w w:val="100"/>
        <w:sz w:val="22"/>
        <w:szCs w:val="22"/>
      </w:rPr>
    </w:lvl>
    <w:lvl w:ilvl="2">
      <w:start w:val="0"/>
      <w:numFmt w:val="bullet"/>
      <w:lvlText w:val="•"/>
      <w:lvlJc w:val="left"/>
      <w:pPr>
        <w:ind w:left="1636" w:hanging="359"/>
      </w:pPr>
      <w:rPr>
        <w:rFonts w:hint="default"/>
      </w:rPr>
    </w:lvl>
    <w:lvl w:ilvl="3">
      <w:start w:val="0"/>
      <w:numFmt w:val="bullet"/>
      <w:lvlText w:val="•"/>
      <w:lvlJc w:val="left"/>
      <w:pPr>
        <w:ind w:left="2672" w:hanging="359"/>
      </w:pPr>
      <w:rPr>
        <w:rFonts w:hint="default"/>
      </w:rPr>
    </w:lvl>
    <w:lvl w:ilvl="4">
      <w:start w:val="0"/>
      <w:numFmt w:val="bullet"/>
      <w:lvlText w:val="•"/>
      <w:lvlJc w:val="left"/>
      <w:pPr>
        <w:ind w:left="3708" w:hanging="359"/>
      </w:pPr>
      <w:rPr>
        <w:rFonts w:hint="default"/>
      </w:rPr>
    </w:lvl>
    <w:lvl w:ilvl="5">
      <w:start w:val="0"/>
      <w:numFmt w:val="bullet"/>
      <w:lvlText w:val="•"/>
      <w:lvlJc w:val="left"/>
      <w:pPr>
        <w:ind w:left="4745" w:hanging="359"/>
      </w:pPr>
      <w:rPr>
        <w:rFonts w:hint="default"/>
      </w:rPr>
    </w:lvl>
    <w:lvl w:ilvl="6">
      <w:start w:val="0"/>
      <w:numFmt w:val="bullet"/>
      <w:lvlText w:val="•"/>
      <w:lvlJc w:val="left"/>
      <w:pPr>
        <w:ind w:left="5781" w:hanging="359"/>
      </w:pPr>
      <w:rPr>
        <w:rFonts w:hint="default"/>
      </w:rPr>
    </w:lvl>
    <w:lvl w:ilvl="7">
      <w:start w:val="0"/>
      <w:numFmt w:val="bullet"/>
      <w:lvlText w:val="•"/>
      <w:lvlJc w:val="left"/>
      <w:pPr>
        <w:ind w:left="6817" w:hanging="359"/>
      </w:pPr>
      <w:rPr>
        <w:rFonts w:hint="default"/>
      </w:rPr>
    </w:lvl>
    <w:lvl w:ilvl="8">
      <w:start w:val="0"/>
      <w:numFmt w:val="bullet"/>
      <w:lvlText w:val="•"/>
      <w:lvlJc w:val="left"/>
      <w:pPr>
        <w:ind w:left="7853" w:hanging="359"/>
      </w:pPr>
      <w:rPr>
        <w:rFonts w:hint="default"/>
      </w:rPr>
    </w:lvl>
  </w:abstractNum>
  <w:abstractNum w:abstractNumId="82">
    <w:multiLevelType w:val="hybridMultilevel"/>
    <w:lvl w:ilvl="0">
      <w:start w:val="1"/>
      <w:numFmt w:val="decimal"/>
      <w:lvlText w:val="(%1)"/>
      <w:lvlJc w:val="left"/>
      <w:pPr>
        <w:ind w:left="380" w:hanging="242"/>
        <w:jc w:val="left"/>
      </w:pPr>
      <w:rPr>
        <w:rFonts w:hint="default" w:ascii="Calibri" w:hAnsi="Calibri" w:eastAsia="Calibri" w:cs="Calibri"/>
        <w:spacing w:val="-2"/>
        <w:w w:val="99"/>
        <w:sz w:val="18"/>
        <w:szCs w:val="18"/>
      </w:rPr>
    </w:lvl>
    <w:lvl w:ilvl="1">
      <w:start w:val="1"/>
      <w:numFmt w:val="decimal"/>
      <w:lvlText w:val="(%2)"/>
      <w:lvlJc w:val="left"/>
      <w:pPr>
        <w:ind w:left="480" w:hanging="305"/>
        <w:jc w:val="left"/>
      </w:pPr>
      <w:rPr>
        <w:rFonts w:hint="default" w:ascii="Verdana" w:hAnsi="Verdana" w:eastAsia="Verdana" w:cs="Verdana"/>
        <w:spacing w:val="-1"/>
        <w:w w:val="100"/>
        <w:sz w:val="16"/>
        <w:szCs w:val="16"/>
      </w:rPr>
    </w:lvl>
    <w:lvl w:ilvl="2">
      <w:start w:val="0"/>
      <w:numFmt w:val="bullet"/>
      <w:lvlText w:val="•"/>
      <w:lvlJc w:val="left"/>
      <w:pPr>
        <w:ind w:left="1587" w:hanging="305"/>
      </w:pPr>
      <w:rPr>
        <w:rFonts w:hint="default"/>
      </w:rPr>
    </w:lvl>
    <w:lvl w:ilvl="3">
      <w:start w:val="0"/>
      <w:numFmt w:val="bullet"/>
      <w:lvlText w:val="•"/>
      <w:lvlJc w:val="left"/>
      <w:pPr>
        <w:ind w:left="2694" w:hanging="305"/>
      </w:pPr>
      <w:rPr>
        <w:rFonts w:hint="default"/>
      </w:rPr>
    </w:lvl>
    <w:lvl w:ilvl="4">
      <w:start w:val="0"/>
      <w:numFmt w:val="bullet"/>
      <w:lvlText w:val="•"/>
      <w:lvlJc w:val="left"/>
      <w:pPr>
        <w:ind w:left="3802" w:hanging="305"/>
      </w:pPr>
      <w:rPr>
        <w:rFonts w:hint="default"/>
      </w:rPr>
    </w:lvl>
    <w:lvl w:ilvl="5">
      <w:start w:val="0"/>
      <w:numFmt w:val="bullet"/>
      <w:lvlText w:val="•"/>
      <w:lvlJc w:val="left"/>
      <w:pPr>
        <w:ind w:left="4909" w:hanging="305"/>
      </w:pPr>
      <w:rPr>
        <w:rFonts w:hint="default"/>
      </w:rPr>
    </w:lvl>
    <w:lvl w:ilvl="6">
      <w:start w:val="0"/>
      <w:numFmt w:val="bullet"/>
      <w:lvlText w:val="•"/>
      <w:lvlJc w:val="left"/>
      <w:pPr>
        <w:ind w:left="6016" w:hanging="305"/>
      </w:pPr>
      <w:rPr>
        <w:rFonts w:hint="default"/>
      </w:rPr>
    </w:lvl>
    <w:lvl w:ilvl="7">
      <w:start w:val="0"/>
      <w:numFmt w:val="bullet"/>
      <w:lvlText w:val="•"/>
      <w:lvlJc w:val="left"/>
      <w:pPr>
        <w:ind w:left="7124" w:hanging="305"/>
      </w:pPr>
      <w:rPr>
        <w:rFonts w:hint="default"/>
      </w:rPr>
    </w:lvl>
    <w:lvl w:ilvl="8">
      <w:start w:val="0"/>
      <w:numFmt w:val="bullet"/>
      <w:lvlText w:val="•"/>
      <w:lvlJc w:val="left"/>
      <w:pPr>
        <w:ind w:left="8231" w:hanging="305"/>
      </w:pPr>
      <w:rPr>
        <w:rFonts w:hint="default"/>
      </w:rPr>
    </w:lvl>
  </w:abstractNum>
  <w:abstractNum w:abstractNumId="81">
    <w:multiLevelType w:val="hybridMultilevel"/>
    <w:lvl w:ilvl="0">
      <w:start w:val="1"/>
      <w:numFmt w:val="decimal"/>
      <w:lvlText w:val="%1."/>
      <w:lvlJc w:val="left"/>
      <w:pPr>
        <w:ind w:left="823" w:hanging="360"/>
        <w:jc w:val="left"/>
      </w:pPr>
      <w:rPr>
        <w:rFonts w:hint="default" w:ascii="Calibri" w:hAnsi="Calibri" w:eastAsia="Calibri" w:cs="Calibri"/>
        <w:spacing w:val="-1"/>
        <w:w w:val="99"/>
        <w:sz w:val="20"/>
        <w:szCs w:val="20"/>
      </w:rPr>
    </w:lvl>
    <w:lvl w:ilvl="1">
      <w:start w:val="0"/>
      <w:numFmt w:val="bullet"/>
      <w:lvlText w:val="•"/>
      <w:lvlJc w:val="left"/>
      <w:pPr>
        <w:ind w:left="1760" w:hanging="360"/>
      </w:pPr>
      <w:rPr>
        <w:rFonts w:hint="default"/>
      </w:rPr>
    </w:lvl>
    <w:lvl w:ilvl="2">
      <w:start w:val="0"/>
      <w:numFmt w:val="bullet"/>
      <w:lvlText w:val="•"/>
      <w:lvlJc w:val="left"/>
      <w:pPr>
        <w:ind w:left="2700" w:hanging="360"/>
      </w:pPr>
      <w:rPr>
        <w:rFonts w:hint="default"/>
      </w:rPr>
    </w:lvl>
    <w:lvl w:ilvl="3">
      <w:start w:val="0"/>
      <w:numFmt w:val="bullet"/>
      <w:lvlText w:val="•"/>
      <w:lvlJc w:val="left"/>
      <w:pPr>
        <w:ind w:left="3640" w:hanging="360"/>
      </w:pPr>
      <w:rPr>
        <w:rFonts w:hint="default"/>
      </w:rPr>
    </w:lvl>
    <w:lvl w:ilvl="4">
      <w:start w:val="0"/>
      <w:numFmt w:val="bullet"/>
      <w:lvlText w:val="•"/>
      <w:lvlJc w:val="left"/>
      <w:pPr>
        <w:ind w:left="4580" w:hanging="360"/>
      </w:pPr>
      <w:rPr>
        <w:rFonts w:hint="default"/>
      </w:rPr>
    </w:lvl>
    <w:lvl w:ilvl="5">
      <w:start w:val="0"/>
      <w:numFmt w:val="bullet"/>
      <w:lvlText w:val="•"/>
      <w:lvlJc w:val="left"/>
      <w:pPr>
        <w:ind w:left="5520" w:hanging="360"/>
      </w:pPr>
      <w:rPr>
        <w:rFonts w:hint="default"/>
      </w:rPr>
    </w:lvl>
    <w:lvl w:ilvl="6">
      <w:start w:val="0"/>
      <w:numFmt w:val="bullet"/>
      <w:lvlText w:val="•"/>
      <w:lvlJc w:val="left"/>
      <w:pPr>
        <w:ind w:left="6460" w:hanging="360"/>
      </w:pPr>
      <w:rPr>
        <w:rFonts w:hint="default"/>
      </w:rPr>
    </w:lvl>
    <w:lvl w:ilvl="7">
      <w:start w:val="0"/>
      <w:numFmt w:val="bullet"/>
      <w:lvlText w:val="•"/>
      <w:lvlJc w:val="left"/>
      <w:pPr>
        <w:ind w:left="7400" w:hanging="360"/>
      </w:pPr>
      <w:rPr>
        <w:rFonts w:hint="default"/>
      </w:rPr>
    </w:lvl>
    <w:lvl w:ilvl="8">
      <w:start w:val="0"/>
      <w:numFmt w:val="bullet"/>
      <w:lvlText w:val="•"/>
      <w:lvlJc w:val="left"/>
      <w:pPr>
        <w:ind w:left="8340" w:hanging="360"/>
      </w:pPr>
      <w:rPr>
        <w:rFonts w:hint="default"/>
      </w:rPr>
    </w:lvl>
  </w:abstractNum>
  <w:abstractNum w:abstractNumId="80">
    <w:multiLevelType w:val="hybridMultilevel"/>
    <w:lvl w:ilvl="0">
      <w:start w:val="1"/>
      <w:numFmt w:val="decimal"/>
      <w:lvlText w:val="%1."/>
      <w:lvlJc w:val="left"/>
      <w:pPr>
        <w:ind w:left="823" w:hanging="360"/>
        <w:jc w:val="left"/>
      </w:pPr>
      <w:rPr>
        <w:rFonts w:hint="default" w:ascii="Calibri" w:hAnsi="Calibri" w:eastAsia="Calibri" w:cs="Calibri"/>
        <w:w w:val="100"/>
        <w:sz w:val="22"/>
        <w:szCs w:val="22"/>
      </w:rPr>
    </w:lvl>
    <w:lvl w:ilvl="1">
      <w:start w:val="0"/>
      <w:numFmt w:val="bullet"/>
      <w:lvlText w:val="•"/>
      <w:lvlJc w:val="left"/>
      <w:pPr>
        <w:ind w:left="1623" w:hanging="360"/>
      </w:pPr>
      <w:rPr>
        <w:rFonts w:hint="default"/>
      </w:rPr>
    </w:lvl>
    <w:lvl w:ilvl="2">
      <w:start w:val="0"/>
      <w:numFmt w:val="bullet"/>
      <w:lvlText w:val="•"/>
      <w:lvlJc w:val="left"/>
      <w:pPr>
        <w:ind w:left="2426" w:hanging="360"/>
      </w:pPr>
      <w:rPr>
        <w:rFonts w:hint="default"/>
      </w:rPr>
    </w:lvl>
    <w:lvl w:ilvl="3">
      <w:start w:val="0"/>
      <w:numFmt w:val="bullet"/>
      <w:lvlText w:val="•"/>
      <w:lvlJc w:val="left"/>
      <w:pPr>
        <w:ind w:left="3229" w:hanging="360"/>
      </w:pPr>
      <w:rPr>
        <w:rFonts w:hint="default"/>
      </w:rPr>
    </w:lvl>
    <w:lvl w:ilvl="4">
      <w:start w:val="0"/>
      <w:numFmt w:val="bullet"/>
      <w:lvlText w:val="•"/>
      <w:lvlJc w:val="left"/>
      <w:pPr>
        <w:ind w:left="4033" w:hanging="360"/>
      </w:pPr>
      <w:rPr>
        <w:rFonts w:hint="default"/>
      </w:rPr>
    </w:lvl>
    <w:lvl w:ilvl="5">
      <w:start w:val="0"/>
      <w:numFmt w:val="bullet"/>
      <w:lvlText w:val="•"/>
      <w:lvlJc w:val="left"/>
      <w:pPr>
        <w:ind w:left="4836" w:hanging="360"/>
      </w:pPr>
      <w:rPr>
        <w:rFonts w:hint="default"/>
      </w:rPr>
    </w:lvl>
    <w:lvl w:ilvl="6">
      <w:start w:val="0"/>
      <w:numFmt w:val="bullet"/>
      <w:lvlText w:val="•"/>
      <w:lvlJc w:val="left"/>
      <w:pPr>
        <w:ind w:left="5639" w:hanging="360"/>
      </w:pPr>
      <w:rPr>
        <w:rFonts w:hint="default"/>
      </w:rPr>
    </w:lvl>
    <w:lvl w:ilvl="7">
      <w:start w:val="0"/>
      <w:numFmt w:val="bullet"/>
      <w:lvlText w:val="•"/>
      <w:lvlJc w:val="left"/>
      <w:pPr>
        <w:ind w:left="6442" w:hanging="360"/>
      </w:pPr>
      <w:rPr>
        <w:rFonts w:hint="default"/>
      </w:rPr>
    </w:lvl>
    <w:lvl w:ilvl="8">
      <w:start w:val="0"/>
      <w:numFmt w:val="bullet"/>
      <w:lvlText w:val="•"/>
      <w:lvlJc w:val="left"/>
      <w:pPr>
        <w:ind w:left="7246" w:hanging="360"/>
      </w:pPr>
      <w:rPr>
        <w:rFonts w:hint="default"/>
      </w:rPr>
    </w:lvl>
  </w:abstractNum>
  <w:abstractNum w:abstractNumId="79">
    <w:multiLevelType w:val="hybridMultilevel"/>
    <w:lvl w:ilvl="0">
      <w:start w:val="1"/>
      <w:numFmt w:val="decimal"/>
      <w:lvlText w:val="%1."/>
      <w:lvlJc w:val="left"/>
      <w:pPr>
        <w:ind w:left="590" w:hanging="360"/>
        <w:jc w:val="left"/>
      </w:pPr>
      <w:rPr>
        <w:rFonts w:hint="default" w:ascii="Calibri" w:hAnsi="Calibri" w:eastAsia="Calibri" w:cs="Calibri"/>
        <w:w w:val="100"/>
        <w:sz w:val="22"/>
        <w:szCs w:val="22"/>
      </w:rPr>
    </w:lvl>
    <w:lvl w:ilvl="1">
      <w:start w:val="0"/>
      <w:numFmt w:val="bullet"/>
      <w:lvlText w:val="•"/>
      <w:lvlJc w:val="left"/>
      <w:pPr>
        <w:ind w:left="1425" w:hanging="360"/>
      </w:pPr>
      <w:rPr>
        <w:rFonts w:hint="default"/>
      </w:rPr>
    </w:lvl>
    <w:lvl w:ilvl="2">
      <w:start w:val="0"/>
      <w:numFmt w:val="bullet"/>
      <w:lvlText w:val="•"/>
      <w:lvlJc w:val="left"/>
      <w:pPr>
        <w:ind w:left="2250" w:hanging="360"/>
      </w:pPr>
      <w:rPr>
        <w:rFonts w:hint="default"/>
      </w:rPr>
    </w:lvl>
    <w:lvl w:ilvl="3">
      <w:start w:val="0"/>
      <w:numFmt w:val="bullet"/>
      <w:lvlText w:val="•"/>
      <w:lvlJc w:val="left"/>
      <w:pPr>
        <w:ind w:left="3075" w:hanging="360"/>
      </w:pPr>
      <w:rPr>
        <w:rFonts w:hint="default"/>
      </w:rPr>
    </w:lvl>
    <w:lvl w:ilvl="4">
      <w:start w:val="0"/>
      <w:numFmt w:val="bullet"/>
      <w:lvlText w:val="•"/>
      <w:lvlJc w:val="left"/>
      <w:pPr>
        <w:ind w:left="3901" w:hanging="360"/>
      </w:pPr>
      <w:rPr>
        <w:rFonts w:hint="default"/>
      </w:rPr>
    </w:lvl>
    <w:lvl w:ilvl="5">
      <w:start w:val="0"/>
      <w:numFmt w:val="bullet"/>
      <w:lvlText w:val="•"/>
      <w:lvlJc w:val="left"/>
      <w:pPr>
        <w:ind w:left="4726" w:hanging="360"/>
      </w:pPr>
      <w:rPr>
        <w:rFonts w:hint="default"/>
      </w:rPr>
    </w:lvl>
    <w:lvl w:ilvl="6">
      <w:start w:val="0"/>
      <w:numFmt w:val="bullet"/>
      <w:lvlText w:val="•"/>
      <w:lvlJc w:val="left"/>
      <w:pPr>
        <w:ind w:left="5551" w:hanging="360"/>
      </w:pPr>
      <w:rPr>
        <w:rFonts w:hint="default"/>
      </w:rPr>
    </w:lvl>
    <w:lvl w:ilvl="7">
      <w:start w:val="0"/>
      <w:numFmt w:val="bullet"/>
      <w:lvlText w:val="•"/>
      <w:lvlJc w:val="left"/>
      <w:pPr>
        <w:ind w:left="6376" w:hanging="360"/>
      </w:pPr>
      <w:rPr>
        <w:rFonts w:hint="default"/>
      </w:rPr>
    </w:lvl>
    <w:lvl w:ilvl="8">
      <w:start w:val="0"/>
      <w:numFmt w:val="bullet"/>
      <w:lvlText w:val="•"/>
      <w:lvlJc w:val="left"/>
      <w:pPr>
        <w:ind w:left="7202" w:hanging="360"/>
      </w:pPr>
      <w:rPr>
        <w:rFonts w:hint="default"/>
      </w:rPr>
    </w:lvl>
  </w:abstractNum>
  <w:abstractNum w:abstractNumId="78">
    <w:multiLevelType w:val="hybridMultilevel"/>
    <w:lvl w:ilvl="0">
      <w:start w:val="0"/>
      <w:numFmt w:val="bullet"/>
      <w:lvlText w:val=""/>
      <w:lvlJc w:val="left"/>
      <w:pPr>
        <w:ind w:left="823" w:hanging="360"/>
      </w:pPr>
      <w:rPr>
        <w:rFonts w:hint="default" w:ascii="Symbol" w:hAnsi="Symbol" w:eastAsia="Symbol" w:cs="Symbol"/>
        <w:w w:val="100"/>
        <w:sz w:val="22"/>
        <w:szCs w:val="22"/>
      </w:rPr>
    </w:lvl>
    <w:lvl w:ilvl="1">
      <w:start w:val="0"/>
      <w:numFmt w:val="bullet"/>
      <w:lvlText w:val="•"/>
      <w:lvlJc w:val="left"/>
      <w:pPr>
        <w:ind w:left="1623" w:hanging="360"/>
      </w:pPr>
      <w:rPr>
        <w:rFonts w:hint="default"/>
      </w:rPr>
    </w:lvl>
    <w:lvl w:ilvl="2">
      <w:start w:val="0"/>
      <w:numFmt w:val="bullet"/>
      <w:lvlText w:val="•"/>
      <w:lvlJc w:val="left"/>
      <w:pPr>
        <w:ind w:left="2426" w:hanging="360"/>
      </w:pPr>
      <w:rPr>
        <w:rFonts w:hint="default"/>
      </w:rPr>
    </w:lvl>
    <w:lvl w:ilvl="3">
      <w:start w:val="0"/>
      <w:numFmt w:val="bullet"/>
      <w:lvlText w:val="•"/>
      <w:lvlJc w:val="left"/>
      <w:pPr>
        <w:ind w:left="3229" w:hanging="360"/>
      </w:pPr>
      <w:rPr>
        <w:rFonts w:hint="default"/>
      </w:rPr>
    </w:lvl>
    <w:lvl w:ilvl="4">
      <w:start w:val="0"/>
      <w:numFmt w:val="bullet"/>
      <w:lvlText w:val="•"/>
      <w:lvlJc w:val="left"/>
      <w:pPr>
        <w:ind w:left="4033" w:hanging="360"/>
      </w:pPr>
      <w:rPr>
        <w:rFonts w:hint="default"/>
      </w:rPr>
    </w:lvl>
    <w:lvl w:ilvl="5">
      <w:start w:val="0"/>
      <w:numFmt w:val="bullet"/>
      <w:lvlText w:val="•"/>
      <w:lvlJc w:val="left"/>
      <w:pPr>
        <w:ind w:left="4836" w:hanging="360"/>
      </w:pPr>
      <w:rPr>
        <w:rFonts w:hint="default"/>
      </w:rPr>
    </w:lvl>
    <w:lvl w:ilvl="6">
      <w:start w:val="0"/>
      <w:numFmt w:val="bullet"/>
      <w:lvlText w:val="•"/>
      <w:lvlJc w:val="left"/>
      <w:pPr>
        <w:ind w:left="5639" w:hanging="360"/>
      </w:pPr>
      <w:rPr>
        <w:rFonts w:hint="default"/>
      </w:rPr>
    </w:lvl>
    <w:lvl w:ilvl="7">
      <w:start w:val="0"/>
      <w:numFmt w:val="bullet"/>
      <w:lvlText w:val="•"/>
      <w:lvlJc w:val="left"/>
      <w:pPr>
        <w:ind w:left="6442" w:hanging="360"/>
      </w:pPr>
      <w:rPr>
        <w:rFonts w:hint="default"/>
      </w:rPr>
    </w:lvl>
    <w:lvl w:ilvl="8">
      <w:start w:val="0"/>
      <w:numFmt w:val="bullet"/>
      <w:lvlText w:val="•"/>
      <w:lvlJc w:val="left"/>
      <w:pPr>
        <w:ind w:left="7246" w:hanging="360"/>
      </w:pPr>
      <w:rPr>
        <w:rFonts w:hint="default"/>
      </w:rPr>
    </w:lvl>
  </w:abstractNum>
  <w:abstractNum w:abstractNumId="77">
    <w:multiLevelType w:val="hybridMultilevel"/>
    <w:lvl w:ilvl="0">
      <w:start w:val="0"/>
      <w:numFmt w:val="bullet"/>
      <w:lvlText w:val=""/>
      <w:lvlJc w:val="left"/>
      <w:pPr>
        <w:ind w:left="419" w:hanging="317"/>
      </w:pPr>
      <w:rPr>
        <w:rFonts w:hint="default" w:ascii="Symbol" w:hAnsi="Symbol" w:eastAsia="Symbol" w:cs="Symbol"/>
        <w:w w:val="100"/>
        <w:sz w:val="22"/>
        <w:szCs w:val="22"/>
      </w:rPr>
    </w:lvl>
    <w:lvl w:ilvl="1">
      <w:start w:val="0"/>
      <w:numFmt w:val="bullet"/>
      <w:lvlText w:val="•"/>
      <w:lvlJc w:val="left"/>
      <w:pPr>
        <w:ind w:left="1263" w:hanging="317"/>
      </w:pPr>
      <w:rPr>
        <w:rFonts w:hint="default"/>
      </w:rPr>
    </w:lvl>
    <w:lvl w:ilvl="2">
      <w:start w:val="0"/>
      <w:numFmt w:val="bullet"/>
      <w:lvlText w:val="•"/>
      <w:lvlJc w:val="left"/>
      <w:pPr>
        <w:ind w:left="2106" w:hanging="317"/>
      </w:pPr>
      <w:rPr>
        <w:rFonts w:hint="default"/>
      </w:rPr>
    </w:lvl>
    <w:lvl w:ilvl="3">
      <w:start w:val="0"/>
      <w:numFmt w:val="bullet"/>
      <w:lvlText w:val="•"/>
      <w:lvlJc w:val="left"/>
      <w:pPr>
        <w:ind w:left="2949" w:hanging="317"/>
      </w:pPr>
      <w:rPr>
        <w:rFonts w:hint="default"/>
      </w:rPr>
    </w:lvl>
    <w:lvl w:ilvl="4">
      <w:start w:val="0"/>
      <w:numFmt w:val="bullet"/>
      <w:lvlText w:val="•"/>
      <w:lvlJc w:val="left"/>
      <w:pPr>
        <w:ind w:left="3793" w:hanging="317"/>
      </w:pPr>
      <w:rPr>
        <w:rFonts w:hint="default"/>
      </w:rPr>
    </w:lvl>
    <w:lvl w:ilvl="5">
      <w:start w:val="0"/>
      <w:numFmt w:val="bullet"/>
      <w:lvlText w:val="•"/>
      <w:lvlJc w:val="left"/>
      <w:pPr>
        <w:ind w:left="4636" w:hanging="317"/>
      </w:pPr>
      <w:rPr>
        <w:rFonts w:hint="default"/>
      </w:rPr>
    </w:lvl>
    <w:lvl w:ilvl="6">
      <w:start w:val="0"/>
      <w:numFmt w:val="bullet"/>
      <w:lvlText w:val="•"/>
      <w:lvlJc w:val="left"/>
      <w:pPr>
        <w:ind w:left="5479" w:hanging="317"/>
      </w:pPr>
      <w:rPr>
        <w:rFonts w:hint="default"/>
      </w:rPr>
    </w:lvl>
    <w:lvl w:ilvl="7">
      <w:start w:val="0"/>
      <w:numFmt w:val="bullet"/>
      <w:lvlText w:val="•"/>
      <w:lvlJc w:val="left"/>
      <w:pPr>
        <w:ind w:left="6322" w:hanging="317"/>
      </w:pPr>
      <w:rPr>
        <w:rFonts w:hint="default"/>
      </w:rPr>
    </w:lvl>
    <w:lvl w:ilvl="8">
      <w:start w:val="0"/>
      <w:numFmt w:val="bullet"/>
      <w:lvlText w:val="•"/>
      <w:lvlJc w:val="left"/>
      <w:pPr>
        <w:ind w:left="7166" w:hanging="317"/>
      </w:pPr>
      <w:rPr>
        <w:rFonts w:hint="default"/>
      </w:rPr>
    </w:lvl>
  </w:abstractNum>
  <w:abstractNum w:abstractNumId="76">
    <w:multiLevelType w:val="hybridMultilevel"/>
    <w:lvl w:ilvl="0">
      <w:start w:val="0"/>
      <w:numFmt w:val="bullet"/>
      <w:lvlText w:val=""/>
      <w:lvlJc w:val="left"/>
      <w:pPr>
        <w:ind w:left="823" w:hanging="360"/>
      </w:pPr>
      <w:rPr>
        <w:rFonts w:hint="default" w:ascii="Symbol" w:hAnsi="Symbol" w:eastAsia="Symbol" w:cs="Symbol"/>
        <w:w w:val="100"/>
        <w:sz w:val="22"/>
        <w:szCs w:val="22"/>
      </w:rPr>
    </w:lvl>
    <w:lvl w:ilvl="1">
      <w:start w:val="0"/>
      <w:numFmt w:val="bullet"/>
      <w:lvlText w:val="•"/>
      <w:lvlJc w:val="left"/>
      <w:pPr>
        <w:ind w:left="1623" w:hanging="360"/>
      </w:pPr>
      <w:rPr>
        <w:rFonts w:hint="default"/>
      </w:rPr>
    </w:lvl>
    <w:lvl w:ilvl="2">
      <w:start w:val="0"/>
      <w:numFmt w:val="bullet"/>
      <w:lvlText w:val="•"/>
      <w:lvlJc w:val="left"/>
      <w:pPr>
        <w:ind w:left="2426" w:hanging="360"/>
      </w:pPr>
      <w:rPr>
        <w:rFonts w:hint="default"/>
      </w:rPr>
    </w:lvl>
    <w:lvl w:ilvl="3">
      <w:start w:val="0"/>
      <w:numFmt w:val="bullet"/>
      <w:lvlText w:val="•"/>
      <w:lvlJc w:val="left"/>
      <w:pPr>
        <w:ind w:left="3229" w:hanging="360"/>
      </w:pPr>
      <w:rPr>
        <w:rFonts w:hint="default"/>
      </w:rPr>
    </w:lvl>
    <w:lvl w:ilvl="4">
      <w:start w:val="0"/>
      <w:numFmt w:val="bullet"/>
      <w:lvlText w:val="•"/>
      <w:lvlJc w:val="left"/>
      <w:pPr>
        <w:ind w:left="4033" w:hanging="360"/>
      </w:pPr>
      <w:rPr>
        <w:rFonts w:hint="default"/>
      </w:rPr>
    </w:lvl>
    <w:lvl w:ilvl="5">
      <w:start w:val="0"/>
      <w:numFmt w:val="bullet"/>
      <w:lvlText w:val="•"/>
      <w:lvlJc w:val="left"/>
      <w:pPr>
        <w:ind w:left="4836" w:hanging="360"/>
      </w:pPr>
      <w:rPr>
        <w:rFonts w:hint="default"/>
      </w:rPr>
    </w:lvl>
    <w:lvl w:ilvl="6">
      <w:start w:val="0"/>
      <w:numFmt w:val="bullet"/>
      <w:lvlText w:val="•"/>
      <w:lvlJc w:val="left"/>
      <w:pPr>
        <w:ind w:left="5639" w:hanging="360"/>
      </w:pPr>
      <w:rPr>
        <w:rFonts w:hint="default"/>
      </w:rPr>
    </w:lvl>
    <w:lvl w:ilvl="7">
      <w:start w:val="0"/>
      <w:numFmt w:val="bullet"/>
      <w:lvlText w:val="•"/>
      <w:lvlJc w:val="left"/>
      <w:pPr>
        <w:ind w:left="6442" w:hanging="360"/>
      </w:pPr>
      <w:rPr>
        <w:rFonts w:hint="default"/>
      </w:rPr>
    </w:lvl>
    <w:lvl w:ilvl="8">
      <w:start w:val="0"/>
      <w:numFmt w:val="bullet"/>
      <w:lvlText w:val="•"/>
      <w:lvlJc w:val="left"/>
      <w:pPr>
        <w:ind w:left="7246" w:hanging="360"/>
      </w:pPr>
      <w:rPr>
        <w:rFonts w:hint="default"/>
      </w:rPr>
    </w:lvl>
  </w:abstractNum>
  <w:abstractNum w:abstractNumId="75">
    <w:multiLevelType w:val="hybridMultilevel"/>
    <w:lvl w:ilvl="0">
      <w:start w:val="1"/>
      <w:numFmt w:val="decimal"/>
      <w:lvlText w:val="%1."/>
      <w:lvlJc w:val="left"/>
      <w:pPr>
        <w:ind w:left="480" w:hanging="360"/>
        <w:jc w:val="left"/>
      </w:pPr>
      <w:rPr>
        <w:rFonts w:hint="default" w:ascii="Calibri" w:hAnsi="Calibri" w:eastAsia="Calibri" w:cs="Calibri"/>
        <w:spacing w:val="-1"/>
        <w:w w:val="99"/>
        <w:sz w:val="20"/>
        <w:szCs w:val="20"/>
      </w:rPr>
    </w:lvl>
    <w:lvl w:ilvl="1">
      <w:start w:val="0"/>
      <w:numFmt w:val="bullet"/>
      <w:lvlText w:val="•"/>
      <w:lvlJc w:val="left"/>
      <w:pPr>
        <w:ind w:left="881" w:hanging="360"/>
      </w:pPr>
      <w:rPr>
        <w:rFonts w:hint="default"/>
      </w:rPr>
    </w:lvl>
    <w:lvl w:ilvl="2">
      <w:start w:val="0"/>
      <w:numFmt w:val="bullet"/>
      <w:lvlText w:val="•"/>
      <w:lvlJc w:val="left"/>
      <w:pPr>
        <w:ind w:left="1283" w:hanging="360"/>
      </w:pPr>
      <w:rPr>
        <w:rFonts w:hint="default"/>
      </w:rPr>
    </w:lvl>
    <w:lvl w:ilvl="3">
      <w:start w:val="0"/>
      <w:numFmt w:val="bullet"/>
      <w:lvlText w:val="•"/>
      <w:lvlJc w:val="left"/>
      <w:pPr>
        <w:ind w:left="1685" w:hanging="360"/>
      </w:pPr>
      <w:rPr>
        <w:rFonts w:hint="default"/>
      </w:rPr>
    </w:lvl>
    <w:lvl w:ilvl="4">
      <w:start w:val="0"/>
      <w:numFmt w:val="bullet"/>
      <w:lvlText w:val="•"/>
      <w:lvlJc w:val="left"/>
      <w:pPr>
        <w:ind w:left="2087" w:hanging="360"/>
      </w:pPr>
      <w:rPr>
        <w:rFonts w:hint="default"/>
      </w:rPr>
    </w:lvl>
    <w:lvl w:ilvl="5">
      <w:start w:val="0"/>
      <w:numFmt w:val="bullet"/>
      <w:lvlText w:val="•"/>
      <w:lvlJc w:val="left"/>
      <w:pPr>
        <w:ind w:left="2489" w:hanging="360"/>
      </w:pPr>
      <w:rPr>
        <w:rFonts w:hint="default"/>
      </w:rPr>
    </w:lvl>
    <w:lvl w:ilvl="6">
      <w:start w:val="0"/>
      <w:numFmt w:val="bullet"/>
      <w:lvlText w:val="•"/>
      <w:lvlJc w:val="left"/>
      <w:pPr>
        <w:ind w:left="2891" w:hanging="360"/>
      </w:pPr>
      <w:rPr>
        <w:rFonts w:hint="default"/>
      </w:rPr>
    </w:lvl>
    <w:lvl w:ilvl="7">
      <w:start w:val="0"/>
      <w:numFmt w:val="bullet"/>
      <w:lvlText w:val="•"/>
      <w:lvlJc w:val="left"/>
      <w:pPr>
        <w:ind w:left="3293" w:hanging="360"/>
      </w:pPr>
      <w:rPr>
        <w:rFonts w:hint="default"/>
      </w:rPr>
    </w:lvl>
    <w:lvl w:ilvl="8">
      <w:start w:val="0"/>
      <w:numFmt w:val="bullet"/>
      <w:lvlText w:val="•"/>
      <w:lvlJc w:val="left"/>
      <w:pPr>
        <w:ind w:left="3694" w:hanging="360"/>
      </w:pPr>
      <w:rPr>
        <w:rFonts w:hint="default"/>
      </w:rPr>
    </w:lvl>
  </w:abstractNum>
  <w:abstractNum w:abstractNumId="74">
    <w:multiLevelType w:val="hybridMultilevel"/>
    <w:lvl w:ilvl="0">
      <w:start w:val="1"/>
      <w:numFmt w:val="decimal"/>
      <w:lvlText w:val="%1."/>
      <w:lvlJc w:val="left"/>
      <w:pPr>
        <w:ind w:left="460" w:hanging="361"/>
        <w:jc w:val="left"/>
      </w:pPr>
      <w:rPr>
        <w:rFonts w:hint="default" w:ascii="Calibri" w:hAnsi="Calibri" w:eastAsia="Calibri" w:cs="Calibri"/>
        <w:w w:val="100"/>
        <w:sz w:val="22"/>
        <w:szCs w:val="22"/>
      </w:rPr>
    </w:lvl>
    <w:lvl w:ilvl="1">
      <w:start w:val="9"/>
      <w:numFmt w:val="decimal"/>
      <w:lvlText w:val="%2."/>
      <w:lvlJc w:val="left"/>
      <w:pPr>
        <w:ind w:left="939" w:hanging="360"/>
        <w:jc w:val="left"/>
      </w:pPr>
      <w:rPr>
        <w:rFonts w:hint="default" w:ascii="Calibri" w:hAnsi="Calibri" w:eastAsia="Calibri" w:cs="Calibri"/>
        <w:spacing w:val="-1"/>
        <w:w w:val="99"/>
        <w:sz w:val="20"/>
        <w:szCs w:val="20"/>
      </w:rPr>
    </w:lvl>
    <w:lvl w:ilvl="2">
      <w:start w:val="0"/>
      <w:numFmt w:val="bullet"/>
      <w:lvlText w:val="•"/>
      <w:lvlJc w:val="left"/>
      <w:pPr>
        <w:ind w:left="1942" w:hanging="360"/>
      </w:pPr>
      <w:rPr>
        <w:rFonts w:hint="default"/>
      </w:rPr>
    </w:lvl>
    <w:lvl w:ilvl="3">
      <w:start w:val="0"/>
      <w:numFmt w:val="bullet"/>
      <w:lvlText w:val="•"/>
      <w:lvlJc w:val="left"/>
      <w:pPr>
        <w:ind w:left="2945" w:hanging="360"/>
      </w:pPr>
      <w:rPr>
        <w:rFonts w:hint="default"/>
      </w:rPr>
    </w:lvl>
    <w:lvl w:ilvl="4">
      <w:start w:val="0"/>
      <w:numFmt w:val="bullet"/>
      <w:lvlText w:val="•"/>
      <w:lvlJc w:val="left"/>
      <w:pPr>
        <w:ind w:left="3948" w:hanging="360"/>
      </w:pPr>
      <w:rPr>
        <w:rFonts w:hint="default"/>
      </w:rPr>
    </w:lvl>
    <w:lvl w:ilvl="5">
      <w:start w:val="0"/>
      <w:numFmt w:val="bullet"/>
      <w:lvlText w:val="•"/>
      <w:lvlJc w:val="left"/>
      <w:pPr>
        <w:ind w:left="4951" w:hanging="360"/>
      </w:pPr>
      <w:rPr>
        <w:rFonts w:hint="default"/>
      </w:rPr>
    </w:lvl>
    <w:lvl w:ilvl="6">
      <w:start w:val="0"/>
      <w:numFmt w:val="bullet"/>
      <w:lvlText w:val="•"/>
      <w:lvlJc w:val="left"/>
      <w:pPr>
        <w:ind w:left="5954" w:hanging="360"/>
      </w:pPr>
      <w:rPr>
        <w:rFonts w:hint="default"/>
      </w:rPr>
    </w:lvl>
    <w:lvl w:ilvl="7">
      <w:start w:val="0"/>
      <w:numFmt w:val="bullet"/>
      <w:lvlText w:val="•"/>
      <w:lvlJc w:val="left"/>
      <w:pPr>
        <w:ind w:left="6957" w:hanging="360"/>
      </w:pPr>
      <w:rPr>
        <w:rFonts w:hint="default"/>
      </w:rPr>
    </w:lvl>
    <w:lvl w:ilvl="8">
      <w:start w:val="0"/>
      <w:numFmt w:val="bullet"/>
      <w:lvlText w:val="•"/>
      <w:lvlJc w:val="left"/>
      <w:pPr>
        <w:ind w:left="7960" w:hanging="360"/>
      </w:pPr>
      <w:rPr>
        <w:rFonts w:hint="default"/>
      </w:rPr>
    </w:lvl>
  </w:abstractNum>
  <w:abstractNum w:abstractNumId="73">
    <w:multiLevelType w:val="hybridMultilevel"/>
    <w:lvl w:ilvl="0">
      <w:start w:val="1"/>
      <w:numFmt w:val="lowerRoman"/>
      <w:lvlText w:val="%1."/>
      <w:lvlJc w:val="left"/>
      <w:pPr>
        <w:ind w:left="460" w:hanging="361"/>
        <w:jc w:val="left"/>
      </w:pPr>
      <w:rPr>
        <w:rFonts w:hint="default" w:ascii="Calibri" w:hAnsi="Calibri" w:eastAsia="Calibri" w:cs="Calibri"/>
        <w:spacing w:val="-1"/>
        <w:w w:val="100"/>
        <w:sz w:val="22"/>
        <w:szCs w:val="22"/>
      </w:rPr>
    </w:lvl>
    <w:lvl w:ilvl="1">
      <w:start w:val="1"/>
      <w:numFmt w:val="decimal"/>
      <w:lvlText w:val="%2."/>
      <w:lvlJc w:val="left"/>
      <w:pPr>
        <w:ind w:left="820" w:hanging="360"/>
        <w:jc w:val="left"/>
      </w:pPr>
      <w:rPr>
        <w:rFonts w:hint="default"/>
        <w:w w:val="100"/>
      </w:rPr>
    </w:lvl>
    <w:lvl w:ilvl="2">
      <w:start w:val="0"/>
      <w:numFmt w:val="bullet"/>
      <w:lvlText w:val="•"/>
      <w:lvlJc w:val="left"/>
      <w:pPr>
        <w:ind w:left="1836" w:hanging="360"/>
      </w:pPr>
      <w:rPr>
        <w:rFonts w:hint="default"/>
      </w:rPr>
    </w:lvl>
    <w:lvl w:ilvl="3">
      <w:start w:val="0"/>
      <w:numFmt w:val="bullet"/>
      <w:lvlText w:val="•"/>
      <w:lvlJc w:val="left"/>
      <w:pPr>
        <w:ind w:left="2852" w:hanging="360"/>
      </w:pPr>
      <w:rPr>
        <w:rFonts w:hint="default"/>
      </w:rPr>
    </w:lvl>
    <w:lvl w:ilvl="4">
      <w:start w:val="0"/>
      <w:numFmt w:val="bullet"/>
      <w:lvlText w:val="•"/>
      <w:lvlJc w:val="left"/>
      <w:pPr>
        <w:ind w:left="3868" w:hanging="360"/>
      </w:pPr>
      <w:rPr>
        <w:rFonts w:hint="default"/>
      </w:rPr>
    </w:lvl>
    <w:lvl w:ilvl="5">
      <w:start w:val="0"/>
      <w:numFmt w:val="bullet"/>
      <w:lvlText w:val="•"/>
      <w:lvlJc w:val="left"/>
      <w:pPr>
        <w:ind w:left="4885" w:hanging="360"/>
      </w:pPr>
      <w:rPr>
        <w:rFonts w:hint="default"/>
      </w:rPr>
    </w:lvl>
    <w:lvl w:ilvl="6">
      <w:start w:val="0"/>
      <w:numFmt w:val="bullet"/>
      <w:lvlText w:val="•"/>
      <w:lvlJc w:val="left"/>
      <w:pPr>
        <w:ind w:left="5901" w:hanging="360"/>
      </w:pPr>
      <w:rPr>
        <w:rFonts w:hint="default"/>
      </w:rPr>
    </w:lvl>
    <w:lvl w:ilvl="7">
      <w:start w:val="0"/>
      <w:numFmt w:val="bullet"/>
      <w:lvlText w:val="•"/>
      <w:lvlJc w:val="left"/>
      <w:pPr>
        <w:ind w:left="6917" w:hanging="360"/>
      </w:pPr>
      <w:rPr>
        <w:rFonts w:hint="default"/>
      </w:rPr>
    </w:lvl>
    <w:lvl w:ilvl="8">
      <w:start w:val="0"/>
      <w:numFmt w:val="bullet"/>
      <w:lvlText w:val="•"/>
      <w:lvlJc w:val="left"/>
      <w:pPr>
        <w:ind w:left="7933" w:hanging="360"/>
      </w:pPr>
      <w:rPr>
        <w:rFonts w:hint="default"/>
      </w:rPr>
    </w:lvl>
  </w:abstractNum>
  <w:abstractNum w:abstractNumId="72">
    <w:multiLevelType w:val="hybridMultilevel"/>
    <w:lvl w:ilvl="0">
      <w:start w:val="1"/>
      <w:numFmt w:val="decimal"/>
      <w:lvlText w:val="(%1)"/>
      <w:lvlJc w:val="left"/>
      <w:pPr>
        <w:ind w:left="220" w:hanging="231"/>
        <w:jc w:val="left"/>
      </w:pPr>
      <w:rPr>
        <w:rFonts w:hint="default" w:ascii="Calibri" w:hAnsi="Calibri" w:eastAsia="Calibri" w:cs="Calibri"/>
        <w:spacing w:val="-1"/>
        <w:w w:val="99"/>
        <w:sz w:val="20"/>
        <w:szCs w:val="20"/>
      </w:rPr>
    </w:lvl>
    <w:lvl w:ilvl="1">
      <w:start w:val="0"/>
      <w:numFmt w:val="bullet"/>
      <w:lvlText w:val="•"/>
      <w:lvlJc w:val="left"/>
      <w:pPr>
        <w:ind w:left="1206" w:hanging="231"/>
      </w:pPr>
      <w:rPr>
        <w:rFonts w:hint="default"/>
      </w:rPr>
    </w:lvl>
    <w:lvl w:ilvl="2">
      <w:start w:val="0"/>
      <w:numFmt w:val="bullet"/>
      <w:lvlText w:val="•"/>
      <w:lvlJc w:val="left"/>
      <w:pPr>
        <w:ind w:left="2193" w:hanging="231"/>
      </w:pPr>
      <w:rPr>
        <w:rFonts w:hint="default"/>
      </w:rPr>
    </w:lvl>
    <w:lvl w:ilvl="3">
      <w:start w:val="0"/>
      <w:numFmt w:val="bullet"/>
      <w:lvlText w:val="•"/>
      <w:lvlJc w:val="left"/>
      <w:pPr>
        <w:ind w:left="3179" w:hanging="231"/>
      </w:pPr>
      <w:rPr>
        <w:rFonts w:hint="default"/>
      </w:rPr>
    </w:lvl>
    <w:lvl w:ilvl="4">
      <w:start w:val="0"/>
      <w:numFmt w:val="bullet"/>
      <w:lvlText w:val="•"/>
      <w:lvlJc w:val="left"/>
      <w:pPr>
        <w:ind w:left="4166" w:hanging="231"/>
      </w:pPr>
      <w:rPr>
        <w:rFonts w:hint="default"/>
      </w:rPr>
    </w:lvl>
    <w:lvl w:ilvl="5">
      <w:start w:val="0"/>
      <w:numFmt w:val="bullet"/>
      <w:lvlText w:val="•"/>
      <w:lvlJc w:val="left"/>
      <w:pPr>
        <w:ind w:left="5153" w:hanging="231"/>
      </w:pPr>
      <w:rPr>
        <w:rFonts w:hint="default"/>
      </w:rPr>
    </w:lvl>
    <w:lvl w:ilvl="6">
      <w:start w:val="0"/>
      <w:numFmt w:val="bullet"/>
      <w:lvlText w:val="•"/>
      <w:lvlJc w:val="left"/>
      <w:pPr>
        <w:ind w:left="6139" w:hanging="231"/>
      </w:pPr>
      <w:rPr>
        <w:rFonts w:hint="default"/>
      </w:rPr>
    </w:lvl>
    <w:lvl w:ilvl="7">
      <w:start w:val="0"/>
      <w:numFmt w:val="bullet"/>
      <w:lvlText w:val="•"/>
      <w:lvlJc w:val="left"/>
      <w:pPr>
        <w:ind w:left="7126" w:hanging="231"/>
      </w:pPr>
      <w:rPr>
        <w:rFonts w:hint="default"/>
      </w:rPr>
    </w:lvl>
    <w:lvl w:ilvl="8">
      <w:start w:val="0"/>
      <w:numFmt w:val="bullet"/>
      <w:lvlText w:val="•"/>
      <w:lvlJc w:val="left"/>
      <w:pPr>
        <w:ind w:left="8113" w:hanging="231"/>
      </w:pPr>
      <w:rPr>
        <w:rFonts w:hint="default"/>
      </w:rPr>
    </w:lvl>
  </w:abstractNum>
  <w:abstractNum w:abstractNumId="71">
    <w:multiLevelType w:val="hybridMultilevel"/>
    <w:lvl w:ilvl="0">
      <w:start w:val="1"/>
      <w:numFmt w:val="decimal"/>
      <w:lvlText w:val="%1."/>
      <w:lvlJc w:val="left"/>
      <w:pPr>
        <w:ind w:left="438" w:hanging="219"/>
        <w:jc w:val="left"/>
      </w:pPr>
      <w:rPr>
        <w:rFonts w:hint="default" w:ascii="Calibri" w:hAnsi="Calibri" w:eastAsia="Calibri" w:cs="Calibri"/>
        <w:w w:val="100"/>
        <w:sz w:val="22"/>
        <w:szCs w:val="22"/>
      </w:rPr>
    </w:lvl>
    <w:lvl w:ilvl="1">
      <w:start w:val="0"/>
      <w:numFmt w:val="bullet"/>
      <w:lvlText w:val="•"/>
      <w:lvlJc w:val="left"/>
      <w:pPr>
        <w:ind w:left="1404" w:hanging="219"/>
      </w:pPr>
      <w:rPr>
        <w:rFonts w:hint="default"/>
      </w:rPr>
    </w:lvl>
    <w:lvl w:ilvl="2">
      <w:start w:val="0"/>
      <w:numFmt w:val="bullet"/>
      <w:lvlText w:val="•"/>
      <w:lvlJc w:val="left"/>
      <w:pPr>
        <w:ind w:left="2369" w:hanging="219"/>
      </w:pPr>
      <w:rPr>
        <w:rFonts w:hint="default"/>
      </w:rPr>
    </w:lvl>
    <w:lvl w:ilvl="3">
      <w:start w:val="0"/>
      <w:numFmt w:val="bullet"/>
      <w:lvlText w:val="•"/>
      <w:lvlJc w:val="left"/>
      <w:pPr>
        <w:ind w:left="3333" w:hanging="219"/>
      </w:pPr>
      <w:rPr>
        <w:rFonts w:hint="default"/>
      </w:rPr>
    </w:lvl>
    <w:lvl w:ilvl="4">
      <w:start w:val="0"/>
      <w:numFmt w:val="bullet"/>
      <w:lvlText w:val="•"/>
      <w:lvlJc w:val="left"/>
      <w:pPr>
        <w:ind w:left="4298" w:hanging="219"/>
      </w:pPr>
      <w:rPr>
        <w:rFonts w:hint="default"/>
      </w:rPr>
    </w:lvl>
    <w:lvl w:ilvl="5">
      <w:start w:val="0"/>
      <w:numFmt w:val="bullet"/>
      <w:lvlText w:val="•"/>
      <w:lvlJc w:val="left"/>
      <w:pPr>
        <w:ind w:left="5263" w:hanging="219"/>
      </w:pPr>
      <w:rPr>
        <w:rFonts w:hint="default"/>
      </w:rPr>
    </w:lvl>
    <w:lvl w:ilvl="6">
      <w:start w:val="0"/>
      <w:numFmt w:val="bullet"/>
      <w:lvlText w:val="•"/>
      <w:lvlJc w:val="left"/>
      <w:pPr>
        <w:ind w:left="6227" w:hanging="219"/>
      </w:pPr>
      <w:rPr>
        <w:rFonts w:hint="default"/>
      </w:rPr>
    </w:lvl>
    <w:lvl w:ilvl="7">
      <w:start w:val="0"/>
      <w:numFmt w:val="bullet"/>
      <w:lvlText w:val="•"/>
      <w:lvlJc w:val="left"/>
      <w:pPr>
        <w:ind w:left="7192" w:hanging="219"/>
      </w:pPr>
      <w:rPr>
        <w:rFonts w:hint="default"/>
      </w:rPr>
    </w:lvl>
    <w:lvl w:ilvl="8">
      <w:start w:val="0"/>
      <w:numFmt w:val="bullet"/>
      <w:lvlText w:val="•"/>
      <w:lvlJc w:val="left"/>
      <w:pPr>
        <w:ind w:left="8157" w:hanging="219"/>
      </w:pPr>
      <w:rPr>
        <w:rFonts w:hint="default"/>
      </w:rPr>
    </w:lvl>
  </w:abstractNum>
  <w:abstractNum w:abstractNumId="70">
    <w:multiLevelType w:val="hybridMultilevel"/>
    <w:lvl w:ilvl="0">
      <w:start w:val="0"/>
      <w:numFmt w:val="bullet"/>
      <w:lvlText w:val=""/>
      <w:lvlJc w:val="left"/>
      <w:pPr>
        <w:ind w:left="580" w:hanging="361"/>
      </w:pPr>
      <w:rPr>
        <w:rFonts w:hint="default" w:ascii="Symbol" w:hAnsi="Symbol" w:eastAsia="Symbol" w:cs="Symbol"/>
        <w:w w:val="100"/>
        <w:sz w:val="22"/>
        <w:szCs w:val="22"/>
      </w:rPr>
    </w:lvl>
    <w:lvl w:ilvl="1">
      <w:start w:val="0"/>
      <w:numFmt w:val="bullet"/>
      <w:lvlText w:val="•"/>
      <w:lvlJc w:val="left"/>
      <w:pPr>
        <w:ind w:left="1530" w:hanging="361"/>
      </w:pPr>
      <w:rPr>
        <w:rFonts w:hint="default"/>
      </w:rPr>
    </w:lvl>
    <w:lvl w:ilvl="2">
      <w:start w:val="0"/>
      <w:numFmt w:val="bullet"/>
      <w:lvlText w:val="•"/>
      <w:lvlJc w:val="left"/>
      <w:pPr>
        <w:ind w:left="2481" w:hanging="361"/>
      </w:pPr>
      <w:rPr>
        <w:rFonts w:hint="default"/>
      </w:rPr>
    </w:lvl>
    <w:lvl w:ilvl="3">
      <w:start w:val="0"/>
      <w:numFmt w:val="bullet"/>
      <w:lvlText w:val="•"/>
      <w:lvlJc w:val="left"/>
      <w:pPr>
        <w:ind w:left="3431" w:hanging="361"/>
      </w:pPr>
      <w:rPr>
        <w:rFonts w:hint="default"/>
      </w:rPr>
    </w:lvl>
    <w:lvl w:ilvl="4">
      <w:start w:val="0"/>
      <w:numFmt w:val="bullet"/>
      <w:lvlText w:val="•"/>
      <w:lvlJc w:val="left"/>
      <w:pPr>
        <w:ind w:left="4382" w:hanging="361"/>
      </w:pPr>
      <w:rPr>
        <w:rFonts w:hint="default"/>
      </w:rPr>
    </w:lvl>
    <w:lvl w:ilvl="5">
      <w:start w:val="0"/>
      <w:numFmt w:val="bullet"/>
      <w:lvlText w:val="•"/>
      <w:lvlJc w:val="left"/>
      <w:pPr>
        <w:ind w:left="5333" w:hanging="361"/>
      </w:pPr>
      <w:rPr>
        <w:rFonts w:hint="default"/>
      </w:rPr>
    </w:lvl>
    <w:lvl w:ilvl="6">
      <w:start w:val="0"/>
      <w:numFmt w:val="bullet"/>
      <w:lvlText w:val="•"/>
      <w:lvlJc w:val="left"/>
      <w:pPr>
        <w:ind w:left="6283" w:hanging="361"/>
      </w:pPr>
      <w:rPr>
        <w:rFonts w:hint="default"/>
      </w:rPr>
    </w:lvl>
    <w:lvl w:ilvl="7">
      <w:start w:val="0"/>
      <w:numFmt w:val="bullet"/>
      <w:lvlText w:val="•"/>
      <w:lvlJc w:val="left"/>
      <w:pPr>
        <w:ind w:left="7234" w:hanging="361"/>
      </w:pPr>
      <w:rPr>
        <w:rFonts w:hint="default"/>
      </w:rPr>
    </w:lvl>
    <w:lvl w:ilvl="8">
      <w:start w:val="0"/>
      <w:numFmt w:val="bullet"/>
      <w:lvlText w:val="•"/>
      <w:lvlJc w:val="left"/>
      <w:pPr>
        <w:ind w:left="8185" w:hanging="361"/>
      </w:pPr>
      <w:rPr>
        <w:rFonts w:hint="default"/>
      </w:rPr>
    </w:lvl>
  </w:abstractNum>
  <w:abstractNum w:abstractNumId="69">
    <w:multiLevelType w:val="hybridMultilevel"/>
    <w:lvl w:ilvl="0">
      <w:start w:val="1"/>
      <w:numFmt w:val="decimal"/>
      <w:lvlText w:val="(%1)"/>
      <w:lvlJc w:val="left"/>
      <w:pPr>
        <w:ind w:left="503" w:hanging="231"/>
        <w:jc w:val="left"/>
      </w:pPr>
      <w:rPr>
        <w:rFonts w:hint="default" w:ascii="Calibri" w:hAnsi="Calibri" w:eastAsia="Calibri" w:cs="Calibri"/>
        <w:spacing w:val="-1"/>
        <w:w w:val="99"/>
        <w:sz w:val="20"/>
        <w:szCs w:val="20"/>
      </w:rPr>
    </w:lvl>
    <w:lvl w:ilvl="1">
      <w:start w:val="0"/>
      <w:numFmt w:val="bullet"/>
      <w:lvlText w:val="•"/>
      <w:lvlJc w:val="left"/>
      <w:pPr>
        <w:ind w:left="1458" w:hanging="231"/>
      </w:pPr>
      <w:rPr>
        <w:rFonts w:hint="default"/>
      </w:rPr>
    </w:lvl>
    <w:lvl w:ilvl="2">
      <w:start w:val="0"/>
      <w:numFmt w:val="bullet"/>
      <w:lvlText w:val="•"/>
      <w:lvlJc w:val="left"/>
      <w:pPr>
        <w:ind w:left="2417" w:hanging="231"/>
      </w:pPr>
      <w:rPr>
        <w:rFonts w:hint="default"/>
      </w:rPr>
    </w:lvl>
    <w:lvl w:ilvl="3">
      <w:start w:val="0"/>
      <w:numFmt w:val="bullet"/>
      <w:lvlText w:val="•"/>
      <w:lvlJc w:val="left"/>
      <w:pPr>
        <w:ind w:left="3375" w:hanging="231"/>
      </w:pPr>
      <w:rPr>
        <w:rFonts w:hint="default"/>
      </w:rPr>
    </w:lvl>
    <w:lvl w:ilvl="4">
      <w:start w:val="0"/>
      <w:numFmt w:val="bullet"/>
      <w:lvlText w:val="•"/>
      <w:lvlJc w:val="left"/>
      <w:pPr>
        <w:ind w:left="4334" w:hanging="231"/>
      </w:pPr>
      <w:rPr>
        <w:rFonts w:hint="default"/>
      </w:rPr>
    </w:lvl>
    <w:lvl w:ilvl="5">
      <w:start w:val="0"/>
      <w:numFmt w:val="bullet"/>
      <w:lvlText w:val="•"/>
      <w:lvlJc w:val="left"/>
      <w:pPr>
        <w:ind w:left="5293" w:hanging="231"/>
      </w:pPr>
      <w:rPr>
        <w:rFonts w:hint="default"/>
      </w:rPr>
    </w:lvl>
    <w:lvl w:ilvl="6">
      <w:start w:val="0"/>
      <w:numFmt w:val="bullet"/>
      <w:lvlText w:val="•"/>
      <w:lvlJc w:val="left"/>
      <w:pPr>
        <w:ind w:left="6251" w:hanging="231"/>
      </w:pPr>
      <w:rPr>
        <w:rFonts w:hint="default"/>
      </w:rPr>
    </w:lvl>
    <w:lvl w:ilvl="7">
      <w:start w:val="0"/>
      <w:numFmt w:val="bullet"/>
      <w:lvlText w:val="•"/>
      <w:lvlJc w:val="left"/>
      <w:pPr>
        <w:ind w:left="7210" w:hanging="231"/>
      </w:pPr>
      <w:rPr>
        <w:rFonts w:hint="default"/>
      </w:rPr>
    </w:lvl>
    <w:lvl w:ilvl="8">
      <w:start w:val="0"/>
      <w:numFmt w:val="bullet"/>
      <w:lvlText w:val="•"/>
      <w:lvlJc w:val="left"/>
      <w:pPr>
        <w:ind w:left="8169" w:hanging="231"/>
      </w:pPr>
      <w:rPr>
        <w:rFonts w:hint="default"/>
      </w:rPr>
    </w:lvl>
  </w:abstractNum>
  <w:abstractNum w:abstractNumId="68">
    <w:multiLevelType w:val="hybridMultilevel"/>
    <w:lvl w:ilvl="0">
      <w:start w:val="1"/>
      <w:numFmt w:val="decimal"/>
      <w:lvlText w:val="(%1)"/>
      <w:lvlJc w:val="left"/>
      <w:pPr>
        <w:ind w:left="100" w:hanging="260"/>
        <w:jc w:val="left"/>
      </w:pPr>
      <w:rPr>
        <w:rFonts w:hint="default" w:ascii="Calibri" w:hAnsi="Calibri" w:eastAsia="Calibri" w:cs="Calibri"/>
        <w:spacing w:val="-1"/>
        <w:w w:val="99"/>
        <w:sz w:val="20"/>
        <w:szCs w:val="20"/>
      </w:rPr>
    </w:lvl>
    <w:lvl w:ilvl="1">
      <w:start w:val="1"/>
      <w:numFmt w:val="decimal"/>
      <w:lvlText w:val="%2."/>
      <w:lvlJc w:val="left"/>
      <w:pPr>
        <w:ind w:left="438" w:hanging="219"/>
        <w:jc w:val="left"/>
      </w:pPr>
      <w:rPr>
        <w:rFonts w:hint="default" w:ascii="Calibri" w:hAnsi="Calibri" w:eastAsia="Calibri" w:cs="Calibri"/>
        <w:w w:val="100"/>
        <w:sz w:val="22"/>
        <w:szCs w:val="22"/>
      </w:rPr>
    </w:lvl>
    <w:lvl w:ilvl="2">
      <w:start w:val="0"/>
      <w:numFmt w:val="bullet"/>
      <w:lvlText w:val="•"/>
      <w:lvlJc w:val="left"/>
      <w:pPr>
        <w:ind w:left="1498" w:hanging="219"/>
      </w:pPr>
      <w:rPr>
        <w:rFonts w:hint="default"/>
      </w:rPr>
    </w:lvl>
    <w:lvl w:ilvl="3">
      <w:start w:val="0"/>
      <w:numFmt w:val="bullet"/>
      <w:lvlText w:val="•"/>
      <w:lvlJc w:val="left"/>
      <w:pPr>
        <w:ind w:left="2556" w:hanging="219"/>
      </w:pPr>
      <w:rPr>
        <w:rFonts w:hint="default"/>
      </w:rPr>
    </w:lvl>
    <w:lvl w:ilvl="4">
      <w:start w:val="0"/>
      <w:numFmt w:val="bullet"/>
      <w:lvlText w:val="•"/>
      <w:lvlJc w:val="left"/>
      <w:pPr>
        <w:ind w:left="3615" w:hanging="219"/>
      </w:pPr>
      <w:rPr>
        <w:rFonts w:hint="default"/>
      </w:rPr>
    </w:lvl>
    <w:lvl w:ilvl="5">
      <w:start w:val="0"/>
      <w:numFmt w:val="bullet"/>
      <w:lvlText w:val="•"/>
      <w:lvlJc w:val="left"/>
      <w:pPr>
        <w:ind w:left="4673" w:hanging="219"/>
      </w:pPr>
      <w:rPr>
        <w:rFonts w:hint="default"/>
      </w:rPr>
    </w:lvl>
    <w:lvl w:ilvl="6">
      <w:start w:val="0"/>
      <w:numFmt w:val="bullet"/>
      <w:lvlText w:val="•"/>
      <w:lvlJc w:val="left"/>
      <w:pPr>
        <w:ind w:left="5732" w:hanging="219"/>
      </w:pPr>
      <w:rPr>
        <w:rFonts w:hint="default"/>
      </w:rPr>
    </w:lvl>
    <w:lvl w:ilvl="7">
      <w:start w:val="0"/>
      <w:numFmt w:val="bullet"/>
      <w:lvlText w:val="•"/>
      <w:lvlJc w:val="left"/>
      <w:pPr>
        <w:ind w:left="6790" w:hanging="219"/>
      </w:pPr>
      <w:rPr>
        <w:rFonts w:hint="default"/>
      </w:rPr>
    </w:lvl>
    <w:lvl w:ilvl="8">
      <w:start w:val="0"/>
      <w:numFmt w:val="bullet"/>
      <w:lvlText w:val="•"/>
      <w:lvlJc w:val="left"/>
      <w:pPr>
        <w:ind w:left="7849" w:hanging="219"/>
      </w:pPr>
      <w:rPr>
        <w:rFonts w:hint="default"/>
      </w:rPr>
    </w:lvl>
  </w:abstractNum>
  <w:abstractNum w:abstractNumId="67">
    <w:multiLevelType w:val="hybridMultilevel"/>
    <w:lvl w:ilvl="0">
      <w:start w:val="1"/>
      <w:numFmt w:val="decimal"/>
      <w:lvlText w:val="(%1)"/>
      <w:lvlJc w:val="left"/>
      <w:pPr>
        <w:ind w:left="383" w:hanging="231"/>
        <w:jc w:val="right"/>
      </w:pPr>
      <w:rPr>
        <w:rFonts w:hint="default" w:ascii="Calibri" w:hAnsi="Calibri" w:eastAsia="Calibri" w:cs="Calibri"/>
        <w:spacing w:val="-1"/>
        <w:w w:val="99"/>
        <w:sz w:val="20"/>
        <w:szCs w:val="20"/>
      </w:rPr>
    </w:lvl>
    <w:lvl w:ilvl="1">
      <w:start w:val="0"/>
      <w:numFmt w:val="bullet"/>
      <w:lvlText w:val="•"/>
      <w:lvlJc w:val="left"/>
      <w:pPr>
        <w:ind w:left="1352" w:hanging="231"/>
      </w:pPr>
      <w:rPr>
        <w:rFonts w:hint="default"/>
      </w:rPr>
    </w:lvl>
    <w:lvl w:ilvl="2">
      <w:start w:val="0"/>
      <w:numFmt w:val="bullet"/>
      <w:lvlText w:val="•"/>
      <w:lvlJc w:val="left"/>
      <w:pPr>
        <w:ind w:left="2325" w:hanging="231"/>
      </w:pPr>
      <w:rPr>
        <w:rFonts w:hint="default"/>
      </w:rPr>
    </w:lvl>
    <w:lvl w:ilvl="3">
      <w:start w:val="0"/>
      <w:numFmt w:val="bullet"/>
      <w:lvlText w:val="•"/>
      <w:lvlJc w:val="left"/>
      <w:pPr>
        <w:ind w:left="3297" w:hanging="231"/>
      </w:pPr>
      <w:rPr>
        <w:rFonts w:hint="default"/>
      </w:rPr>
    </w:lvl>
    <w:lvl w:ilvl="4">
      <w:start w:val="0"/>
      <w:numFmt w:val="bullet"/>
      <w:lvlText w:val="•"/>
      <w:lvlJc w:val="left"/>
      <w:pPr>
        <w:ind w:left="4270" w:hanging="231"/>
      </w:pPr>
      <w:rPr>
        <w:rFonts w:hint="default"/>
      </w:rPr>
    </w:lvl>
    <w:lvl w:ilvl="5">
      <w:start w:val="0"/>
      <w:numFmt w:val="bullet"/>
      <w:lvlText w:val="•"/>
      <w:lvlJc w:val="left"/>
      <w:pPr>
        <w:ind w:left="5243" w:hanging="231"/>
      </w:pPr>
      <w:rPr>
        <w:rFonts w:hint="default"/>
      </w:rPr>
    </w:lvl>
    <w:lvl w:ilvl="6">
      <w:start w:val="0"/>
      <w:numFmt w:val="bullet"/>
      <w:lvlText w:val="•"/>
      <w:lvlJc w:val="left"/>
      <w:pPr>
        <w:ind w:left="6215" w:hanging="231"/>
      </w:pPr>
      <w:rPr>
        <w:rFonts w:hint="default"/>
      </w:rPr>
    </w:lvl>
    <w:lvl w:ilvl="7">
      <w:start w:val="0"/>
      <w:numFmt w:val="bullet"/>
      <w:lvlText w:val="•"/>
      <w:lvlJc w:val="left"/>
      <w:pPr>
        <w:ind w:left="7188" w:hanging="231"/>
      </w:pPr>
      <w:rPr>
        <w:rFonts w:hint="default"/>
      </w:rPr>
    </w:lvl>
    <w:lvl w:ilvl="8">
      <w:start w:val="0"/>
      <w:numFmt w:val="bullet"/>
      <w:lvlText w:val="•"/>
      <w:lvlJc w:val="left"/>
      <w:pPr>
        <w:ind w:left="8161" w:hanging="231"/>
      </w:pPr>
      <w:rPr>
        <w:rFonts w:hint="default"/>
      </w:rPr>
    </w:lvl>
  </w:abstractNum>
  <w:abstractNum w:abstractNumId="66">
    <w:multiLevelType w:val="hybridMultilevel"/>
    <w:lvl w:ilvl="0">
      <w:start w:val="0"/>
      <w:numFmt w:val="bullet"/>
      <w:lvlText w:val=""/>
      <w:lvlJc w:val="left"/>
      <w:pPr>
        <w:ind w:left="600" w:hanging="361"/>
      </w:pPr>
      <w:rPr>
        <w:rFonts w:hint="default" w:ascii="Symbol" w:hAnsi="Symbol" w:eastAsia="Symbol" w:cs="Symbol"/>
        <w:w w:val="100"/>
        <w:sz w:val="22"/>
        <w:szCs w:val="22"/>
      </w:rPr>
    </w:lvl>
    <w:lvl w:ilvl="1">
      <w:start w:val="0"/>
      <w:numFmt w:val="bullet"/>
      <w:lvlText w:val="•"/>
      <w:lvlJc w:val="left"/>
      <w:pPr>
        <w:ind w:left="1550" w:hanging="361"/>
      </w:pPr>
      <w:rPr>
        <w:rFonts w:hint="default"/>
      </w:rPr>
    </w:lvl>
    <w:lvl w:ilvl="2">
      <w:start w:val="0"/>
      <w:numFmt w:val="bullet"/>
      <w:lvlText w:val="•"/>
      <w:lvlJc w:val="left"/>
      <w:pPr>
        <w:ind w:left="2501" w:hanging="361"/>
      </w:pPr>
      <w:rPr>
        <w:rFonts w:hint="default"/>
      </w:rPr>
    </w:lvl>
    <w:lvl w:ilvl="3">
      <w:start w:val="0"/>
      <w:numFmt w:val="bullet"/>
      <w:lvlText w:val="•"/>
      <w:lvlJc w:val="left"/>
      <w:pPr>
        <w:ind w:left="3451" w:hanging="361"/>
      </w:pPr>
      <w:rPr>
        <w:rFonts w:hint="default"/>
      </w:rPr>
    </w:lvl>
    <w:lvl w:ilvl="4">
      <w:start w:val="0"/>
      <w:numFmt w:val="bullet"/>
      <w:lvlText w:val="•"/>
      <w:lvlJc w:val="left"/>
      <w:pPr>
        <w:ind w:left="4402" w:hanging="361"/>
      </w:pPr>
      <w:rPr>
        <w:rFonts w:hint="default"/>
      </w:rPr>
    </w:lvl>
    <w:lvl w:ilvl="5">
      <w:start w:val="0"/>
      <w:numFmt w:val="bullet"/>
      <w:lvlText w:val="•"/>
      <w:lvlJc w:val="left"/>
      <w:pPr>
        <w:ind w:left="5353" w:hanging="361"/>
      </w:pPr>
      <w:rPr>
        <w:rFonts w:hint="default"/>
      </w:rPr>
    </w:lvl>
    <w:lvl w:ilvl="6">
      <w:start w:val="0"/>
      <w:numFmt w:val="bullet"/>
      <w:lvlText w:val="•"/>
      <w:lvlJc w:val="left"/>
      <w:pPr>
        <w:ind w:left="6303" w:hanging="361"/>
      </w:pPr>
      <w:rPr>
        <w:rFonts w:hint="default"/>
      </w:rPr>
    </w:lvl>
    <w:lvl w:ilvl="7">
      <w:start w:val="0"/>
      <w:numFmt w:val="bullet"/>
      <w:lvlText w:val="•"/>
      <w:lvlJc w:val="left"/>
      <w:pPr>
        <w:ind w:left="7254" w:hanging="361"/>
      </w:pPr>
      <w:rPr>
        <w:rFonts w:hint="default"/>
      </w:rPr>
    </w:lvl>
    <w:lvl w:ilvl="8">
      <w:start w:val="0"/>
      <w:numFmt w:val="bullet"/>
      <w:lvlText w:val="•"/>
      <w:lvlJc w:val="left"/>
      <w:pPr>
        <w:ind w:left="8205" w:hanging="361"/>
      </w:pPr>
      <w:rPr>
        <w:rFonts w:hint="default"/>
      </w:rPr>
    </w:lvl>
  </w:abstractNum>
  <w:abstractNum w:abstractNumId="65">
    <w:multiLevelType w:val="hybridMultilevel"/>
    <w:lvl w:ilvl="0">
      <w:start w:val="1"/>
      <w:numFmt w:val="decimal"/>
      <w:lvlText w:val="%1."/>
      <w:lvlJc w:val="left"/>
      <w:pPr>
        <w:ind w:left="460" w:hanging="361"/>
        <w:jc w:val="left"/>
      </w:pPr>
      <w:rPr>
        <w:rFonts w:hint="default" w:ascii="Calibri" w:hAnsi="Calibri" w:eastAsia="Calibri" w:cs="Calibri"/>
        <w:w w:val="100"/>
        <w:sz w:val="22"/>
        <w:szCs w:val="22"/>
      </w:rPr>
    </w:lvl>
    <w:lvl w:ilvl="1">
      <w:start w:val="1"/>
      <w:numFmt w:val="decimal"/>
      <w:lvlText w:val="(%2)"/>
      <w:lvlJc w:val="left"/>
      <w:pPr>
        <w:ind w:left="450" w:hanging="211"/>
        <w:jc w:val="left"/>
      </w:pPr>
      <w:rPr>
        <w:rFonts w:hint="default" w:ascii="Calibri" w:hAnsi="Calibri" w:eastAsia="Calibri" w:cs="Calibri"/>
        <w:spacing w:val="-1"/>
        <w:w w:val="99"/>
        <w:sz w:val="18"/>
        <w:szCs w:val="18"/>
      </w:rPr>
    </w:lvl>
    <w:lvl w:ilvl="2">
      <w:start w:val="0"/>
      <w:numFmt w:val="bullet"/>
      <w:lvlText w:val=""/>
      <w:lvlJc w:val="left"/>
      <w:pPr>
        <w:ind w:left="960" w:hanging="360"/>
      </w:pPr>
      <w:rPr>
        <w:rFonts w:hint="default" w:ascii="Symbol" w:hAnsi="Symbol" w:eastAsia="Symbol" w:cs="Symbol"/>
        <w:w w:val="100"/>
        <w:sz w:val="22"/>
        <w:szCs w:val="22"/>
      </w:rPr>
    </w:lvl>
    <w:lvl w:ilvl="3">
      <w:start w:val="0"/>
      <w:numFmt w:val="bullet"/>
      <w:lvlText w:val="•"/>
      <w:lvlJc w:val="left"/>
      <w:pPr>
        <w:ind w:left="2961" w:hanging="360"/>
      </w:pPr>
      <w:rPr>
        <w:rFonts w:hint="default"/>
      </w:rPr>
    </w:lvl>
    <w:lvl w:ilvl="4">
      <w:start w:val="0"/>
      <w:numFmt w:val="bullet"/>
      <w:lvlText w:val="•"/>
      <w:lvlJc w:val="left"/>
      <w:pPr>
        <w:ind w:left="3962" w:hanging="360"/>
      </w:pPr>
      <w:rPr>
        <w:rFonts w:hint="default"/>
      </w:rPr>
    </w:lvl>
    <w:lvl w:ilvl="5">
      <w:start w:val="0"/>
      <w:numFmt w:val="bullet"/>
      <w:lvlText w:val="•"/>
      <w:lvlJc w:val="left"/>
      <w:pPr>
        <w:ind w:left="4962" w:hanging="360"/>
      </w:pPr>
      <w:rPr>
        <w:rFonts w:hint="default"/>
      </w:rPr>
    </w:lvl>
    <w:lvl w:ilvl="6">
      <w:start w:val="0"/>
      <w:numFmt w:val="bullet"/>
      <w:lvlText w:val="•"/>
      <w:lvlJc w:val="left"/>
      <w:pPr>
        <w:ind w:left="5963" w:hanging="360"/>
      </w:pPr>
      <w:rPr>
        <w:rFonts w:hint="default"/>
      </w:rPr>
    </w:lvl>
    <w:lvl w:ilvl="7">
      <w:start w:val="0"/>
      <w:numFmt w:val="bullet"/>
      <w:lvlText w:val="•"/>
      <w:lvlJc w:val="left"/>
      <w:pPr>
        <w:ind w:left="6964" w:hanging="360"/>
      </w:pPr>
      <w:rPr>
        <w:rFonts w:hint="default"/>
      </w:rPr>
    </w:lvl>
    <w:lvl w:ilvl="8">
      <w:start w:val="0"/>
      <w:numFmt w:val="bullet"/>
      <w:lvlText w:val="•"/>
      <w:lvlJc w:val="left"/>
      <w:pPr>
        <w:ind w:left="7964" w:hanging="360"/>
      </w:pPr>
      <w:rPr>
        <w:rFonts w:hint="default"/>
      </w:rPr>
    </w:lvl>
  </w:abstractNum>
  <w:abstractNum w:abstractNumId="64">
    <w:multiLevelType w:val="hybridMultilevel"/>
    <w:lvl w:ilvl="0">
      <w:start w:val="1"/>
      <w:numFmt w:val="decimal"/>
      <w:lvlText w:val="%1."/>
      <w:lvlJc w:val="left"/>
      <w:pPr>
        <w:ind w:left="458" w:hanging="359"/>
        <w:jc w:val="left"/>
      </w:pPr>
      <w:rPr>
        <w:rFonts w:hint="default" w:ascii="Calibri" w:hAnsi="Calibri" w:eastAsia="Calibri" w:cs="Calibri"/>
        <w:w w:val="100"/>
        <w:sz w:val="22"/>
        <w:szCs w:val="22"/>
      </w:rPr>
    </w:lvl>
    <w:lvl w:ilvl="1">
      <w:start w:val="0"/>
      <w:numFmt w:val="bullet"/>
      <w:lvlText w:val="•"/>
      <w:lvlJc w:val="left"/>
      <w:pPr>
        <w:ind w:left="1410" w:hanging="359"/>
      </w:pPr>
      <w:rPr>
        <w:rFonts w:hint="default"/>
      </w:rPr>
    </w:lvl>
    <w:lvl w:ilvl="2">
      <w:start w:val="0"/>
      <w:numFmt w:val="bullet"/>
      <w:lvlText w:val="•"/>
      <w:lvlJc w:val="left"/>
      <w:pPr>
        <w:ind w:left="2361" w:hanging="359"/>
      </w:pPr>
      <w:rPr>
        <w:rFonts w:hint="default"/>
      </w:rPr>
    </w:lvl>
    <w:lvl w:ilvl="3">
      <w:start w:val="0"/>
      <w:numFmt w:val="bullet"/>
      <w:lvlText w:val="•"/>
      <w:lvlJc w:val="left"/>
      <w:pPr>
        <w:ind w:left="3311" w:hanging="359"/>
      </w:pPr>
      <w:rPr>
        <w:rFonts w:hint="default"/>
      </w:rPr>
    </w:lvl>
    <w:lvl w:ilvl="4">
      <w:start w:val="0"/>
      <w:numFmt w:val="bullet"/>
      <w:lvlText w:val="•"/>
      <w:lvlJc w:val="left"/>
      <w:pPr>
        <w:ind w:left="4262" w:hanging="359"/>
      </w:pPr>
      <w:rPr>
        <w:rFonts w:hint="default"/>
      </w:rPr>
    </w:lvl>
    <w:lvl w:ilvl="5">
      <w:start w:val="0"/>
      <w:numFmt w:val="bullet"/>
      <w:lvlText w:val="•"/>
      <w:lvlJc w:val="left"/>
      <w:pPr>
        <w:ind w:left="5213" w:hanging="359"/>
      </w:pPr>
      <w:rPr>
        <w:rFonts w:hint="default"/>
      </w:rPr>
    </w:lvl>
    <w:lvl w:ilvl="6">
      <w:start w:val="0"/>
      <w:numFmt w:val="bullet"/>
      <w:lvlText w:val="•"/>
      <w:lvlJc w:val="left"/>
      <w:pPr>
        <w:ind w:left="6163" w:hanging="359"/>
      </w:pPr>
      <w:rPr>
        <w:rFonts w:hint="default"/>
      </w:rPr>
    </w:lvl>
    <w:lvl w:ilvl="7">
      <w:start w:val="0"/>
      <w:numFmt w:val="bullet"/>
      <w:lvlText w:val="•"/>
      <w:lvlJc w:val="left"/>
      <w:pPr>
        <w:ind w:left="7114" w:hanging="359"/>
      </w:pPr>
      <w:rPr>
        <w:rFonts w:hint="default"/>
      </w:rPr>
    </w:lvl>
    <w:lvl w:ilvl="8">
      <w:start w:val="0"/>
      <w:numFmt w:val="bullet"/>
      <w:lvlText w:val="•"/>
      <w:lvlJc w:val="left"/>
      <w:pPr>
        <w:ind w:left="8065" w:hanging="359"/>
      </w:pPr>
      <w:rPr>
        <w:rFonts w:hint="default"/>
      </w:rPr>
    </w:lvl>
  </w:abstractNum>
  <w:abstractNum w:abstractNumId="63">
    <w:multiLevelType w:val="hybridMultilevel"/>
    <w:lvl w:ilvl="0">
      <w:start w:val="1"/>
      <w:numFmt w:val="decimal"/>
      <w:lvlText w:val="%1."/>
      <w:lvlJc w:val="left"/>
      <w:pPr>
        <w:ind w:left="460" w:hanging="361"/>
        <w:jc w:val="left"/>
      </w:pPr>
      <w:rPr>
        <w:rFonts w:hint="default" w:ascii="Calibri" w:hAnsi="Calibri" w:eastAsia="Calibri" w:cs="Calibri"/>
        <w:w w:val="100"/>
        <w:sz w:val="22"/>
        <w:szCs w:val="22"/>
      </w:rPr>
    </w:lvl>
    <w:lvl w:ilvl="1">
      <w:start w:val="0"/>
      <w:numFmt w:val="bullet"/>
      <w:lvlText w:val="•"/>
      <w:lvlJc w:val="left"/>
      <w:pPr>
        <w:ind w:left="1410" w:hanging="361"/>
      </w:pPr>
      <w:rPr>
        <w:rFonts w:hint="default"/>
      </w:rPr>
    </w:lvl>
    <w:lvl w:ilvl="2">
      <w:start w:val="0"/>
      <w:numFmt w:val="bullet"/>
      <w:lvlText w:val="•"/>
      <w:lvlJc w:val="left"/>
      <w:pPr>
        <w:ind w:left="2361" w:hanging="361"/>
      </w:pPr>
      <w:rPr>
        <w:rFonts w:hint="default"/>
      </w:rPr>
    </w:lvl>
    <w:lvl w:ilvl="3">
      <w:start w:val="0"/>
      <w:numFmt w:val="bullet"/>
      <w:lvlText w:val="•"/>
      <w:lvlJc w:val="left"/>
      <w:pPr>
        <w:ind w:left="3311" w:hanging="361"/>
      </w:pPr>
      <w:rPr>
        <w:rFonts w:hint="default"/>
      </w:rPr>
    </w:lvl>
    <w:lvl w:ilvl="4">
      <w:start w:val="0"/>
      <w:numFmt w:val="bullet"/>
      <w:lvlText w:val="•"/>
      <w:lvlJc w:val="left"/>
      <w:pPr>
        <w:ind w:left="4262" w:hanging="361"/>
      </w:pPr>
      <w:rPr>
        <w:rFonts w:hint="default"/>
      </w:rPr>
    </w:lvl>
    <w:lvl w:ilvl="5">
      <w:start w:val="0"/>
      <w:numFmt w:val="bullet"/>
      <w:lvlText w:val="•"/>
      <w:lvlJc w:val="left"/>
      <w:pPr>
        <w:ind w:left="5213" w:hanging="361"/>
      </w:pPr>
      <w:rPr>
        <w:rFonts w:hint="default"/>
      </w:rPr>
    </w:lvl>
    <w:lvl w:ilvl="6">
      <w:start w:val="0"/>
      <w:numFmt w:val="bullet"/>
      <w:lvlText w:val="•"/>
      <w:lvlJc w:val="left"/>
      <w:pPr>
        <w:ind w:left="6163" w:hanging="361"/>
      </w:pPr>
      <w:rPr>
        <w:rFonts w:hint="default"/>
      </w:rPr>
    </w:lvl>
    <w:lvl w:ilvl="7">
      <w:start w:val="0"/>
      <w:numFmt w:val="bullet"/>
      <w:lvlText w:val="•"/>
      <w:lvlJc w:val="left"/>
      <w:pPr>
        <w:ind w:left="7114" w:hanging="361"/>
      </w:pPr>
      <w:rPr>
        <w:rFonts w:hint="default"/>
      </w:rPr>
    </w:lvl>
    <w:lvl w:ilvl="8">
      <w:start w:val="0"/>
      <w:numFmt w:val="bullet"/>
      <w:lvlText w:val="•"/>
      <w:lvlJc w:val="left"/>
      <w:pPr>
        <w:ind w:left="8065" w:hanging="361"/>
      </w:pPr>
      <w:rPr>
        <w:rFonts w:hint="default"/>
      </w:rPr>
    </w:lvl>
  </w:abstractNum>
  <w:abstractNum w:abstractNumId="62">
    <w:multiLevelType w:val="hybridMultilevel"/>
    <w:lvl w:ilvl="0">
      <w:start w:val="1"/>
      <w:numFmt w:val="decimal"/>
      <w:lvlText w:val="%1."/>
      <w:lvlJc w:val="left"/>
      <w:pPr>
        <w:ind w:left="458" w:hanging="359"/>
        <w:jc w:val="left"/>
      </w:pPr>
      <w:rPr>
        <w:rFonts w:hint="default" w:ascii="Calibri" w:hAnsi="Calibri" w:eastAsia="Calibri" w:cs="Calibri"/>
        <w:w w:val="100"/>
        <w:sz w:val="22"/>
        <w:szCs w:val="22"/>
      </w:rPr>
    </w:lvl>
    <w:lvl w:ilvl="1">
      <w:start w:val="0"/>
      <w:numFmt w:val="bullet"/>
      <w:lvlText w:val="•"/>
      <w:lvlJc w:val="left"/>
      <w:pPr>
        <w:ind w:left="1410" w:hanging="359"/>
      </w:pPr>
      <w:rPr>
        <w:rFonts w:hint="default"/>
      </w:rPr>
    </w:lvl>
    <w:lvl w:ilvl="2">
      <w:start w:val="0"/>
      <w:numFmt w:val="bullet"/>
      <w:lvlText w:val="•"/>
      <w:lvlJc w:val="left"/>
      <w:pPr>
        <w:ind w:left="2361" w:hanging="359"/>
      </w:pPr>
      <w:rPr>
        <w:rFonts w:hint="default"/>
      </w:rPr>
    </w:lvl>
    <w:lvl w:ilvl="3">
      <w:start w:val="0"/>
      <w:numFmt w:val="bullet"/>
      <w:lvlText w:val="•"/>
      <w:lvlJc w:val="left"/>
      <w:pPr>
        <w:ind w:left="3311" w:hanging="359"/>
      </w:pPr>
      <w:rPr>
        <w:rFonts w:hint="default"/>
      </w:rPr>
    </w:lvl>
    <w:lvl w:ilvl="4">
      <w:start w:val="0"/>
      <w:numFmt w:val="bullet"/>
      <w:lvlText w:val="•"/>
      <w:lvlJc w:val="left"/>
      <w:pPr>
        <w:ind w:left="4262" w:hanging="359"/>
      </w:pPr>
      <w:rPr>
        <w:rFonts w:hint="default"/>
      </w:rPr>
    </w:lvl>
    <w:lvl w:ilvl="5">
      <w:start w:val="0"/>
      <w:numFmt w:val="bullet"/>
      <w:lvlText w:val="•"/>
      <w:lvlJc w:val="left"/>
      <w:pPr>
        <w:ind w:left="5213" w:hanging="359"/>
      </w:pPr>
      <w:rPr>
        <w:rFonts w:hint="default"/>
      </w:rPr>
    </w:lvl>
    <w:lvl w:ilvl="6">
      <w:start w:val="0"/>
      <w:numFmt w:val="bullet"/>
      <w:lvlText w:val="•"/>
      <w:lvlJc w:val="left"/>
      <w:pPr>
        <w:ind w:left="6163" w:hanging="359"/>
      </w:pPr>
      <w:rPr>
        <w:rFonts w:hint="default"/>
      </w:rPr>
    </w:lvl>
    <w:lvl w:ilvl="7">
      <w:start w:val="0"/>
      <w:numFmt w:val="bullet"/>
      <w:lvlText w:val="•"/>
      <w:lvlJc w:val="left"/>
      <w:pPr>
        <w:ind w:left="7114" w:hanging="359"/>
      </w:pPr>
      <w:rPr>
        <w:rFonts w:hint="default"/>
      </w:rPr>
    </w:lvl>
    <w:lvl w:ilvl="8">
      <w:start w:val="0"/>
      <w:numFmt w:val="bullet"/>
      <w:lvlText w:val="•"/>
      <w:lvlJc w:val="left"/>
      <w:pPr>
        <w:ind w:left="8065" w:hanging="359"/>
      </w:pPr>
      <w:rPr>
        <w:rFonts w:hint="default"/>
      </w:rPr>
    </w:lvl>
  </w:abstractNum>
  <w:abstractNum w:abstractNumId="61">
    <w:multiLevelType w:val="hybridMultilevel"/>
    <w:lvl w:ilvl="0">
      <w:start w:val="0"/>
      <w:numFmt w:val="bullet"/>
      <w:lvlText w:val=""/>
      <w:lvlJc w:val="left"/>
      <w:pPr>
        <w:ind w:left="820" w:hanging="360"/>
      </w:pPr>
      <w:rPr>
        <w:rFonts w:hint="default"/>
        <w:w w:val="100"/>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60">
    <w:multiLevelType w:val="hybridMultilevel"/>
    <w:lvl w:ilvl="0">
      <w:start w:val="0"/>
      <w:numFmt w:val="bullet"/>
      <w:lvlText w:val=""/>
      <w:lvlJc w:val="left"/>
      <w:pPr>
        <w:ind w:left="1180" w:hanging="360"/>
      </w:pPr>
      <w:rPr>
        <w:rFonts w:hint="default" w:ascii="Symbol" w:hAnsi="Symbol" w:eastAsia="Symbol" w:cs="Symbol"/>
        <w:w w:val="100"/>
        <w:sz w:val="22"/>
        <w:szCs w:val="22"/>
      </w:rPr>
    </w:lvl>
    <w:lvl w:ilvl="1">
      <w:start w:val="0"/>
      <w:numFmt w:val="bullet"/>
      <w:lvlText w:val="•"/>
      <w:lvlJc w:val="left"/>
      <w:pPr>
        <w:ind w:left="2058" w:hanging="360"/>
      </w:pPr>
      <w:rPr>
        <w:rFonts w:hint="default"/>
      </w:rPr>
    </w:lvl>
    <w:lvl w:ilvl="2">
      <w:start w:val="0"/>
      <w:numFmt w:val="bullet"/>
      <w:lvlText w:val="•"/>
      <w:lvlJc w:val="left"/>
      <w:pPr>
        <w:ind w:left="2937" w:hanging="360"/>
      </w:pPr>
      <w:rPr>
        <w:rFonts w:hint="default"/>
      </w:rPr>
    </w:lvl>
    <w:lvl w:ilvl="3">
      <w:start w:val="0"/>
      <w:numFmt w:val="bullet"/>
      <w:lvlText w:val="•"/>
      <w:lvlJc w:val="left"/>
      <w:pPr>
        <w:ind w:left="3815" w:hanging="360"/>
      </w:pPr>
      <w:rPr>
        <w:rFonts w:hint="default"/>
      </w:rPr>
    </w:lvl>
    <w:lvl w:ilvl="4">
      <w:start w:val="0"/>
      <w:numFmt w:val="bullet"/>
      <w:lvlText w:val="•"/>
      <w:lvlJc w:val="left"/>
      <w:pPr>
        <w:ind w:left="4694" w:hanging="360"/>
      </w:pPr>
      <w:rPr>
        <w:rFonts w:hint="default"/>
      </w:rPr>
    </w:lvl>
    <w:lvl w:ilvl="5">
      <w:start w:val="0"/>
      <w:numFmt w:val="bullet"/>
      <w:lvlText w:val="•"/>
      <w:lvlJc w:val="left"/>
      <w:pPr>
        <w:ind w:left="5573" w:hanging="360"/>
      </w:pPr>
      <w:rPr>
        <w:rFonts w:hint="default"/>
      </w:rPr>
    </w:lvl>
    <w:lvl w:ilvl="6">
      <w:start w:val="0"/>
      <w:numFmt w:val="bullet"/>
      <w:lvlText w:val="•"/>
      <w:lvlJc w:val="left"/>
      <w:pPr>
        <w:ind w:left="6451" w:hanging="360"/>
      </w:pPr>
      <w:rPr>
        <w:rFonts w:hint="default"/>
      </w:rPr>
    </w:lvl>
    <w:lvl w:ilvl="7">
      <w:start w:val="0"/>
      <w:numFmt w:val="bullet"/>
      <w:lvlText w:val="•"/>
      <w:lvlJc w:val="left"/>
      <w:pPr>
        <w:ind w:left="7330" w:hanging="360"/>
      </w:pPr>
      <w:rPr>
        <w:rFonts w:hint="default"/>
      </w:rPr>
    </w:lvl>
    <w:lvl w:ilvl="8">
      <w:start w:val="0"/>
      <w:numFmt w:val="bullet"/>
      <w:lvlText w:val="•"/>
      <w:lvlJc w:val="left"/>
      <w:pPr>
        <w:ind w:left="8209" w:hanging="360"/>
      </w:pPr>
      <w:rPr>
        <w:rFonts w:hint="default"/>
      </w:rPr>
    </w:lvl>
  </w:abstractNum>
  <w:abstractNum w:abstractNumId="59">
    <w:multiLevelType w:val="hybridMultilevel"/>
    <w:lvl w:ilvl="0">
      <w:start w:val="4"/>
      <w:numFmt w:val="decimal"/>
      <w:lvlText w:val="%1"/>
      <w:lvlJc w:val="left"/>
      <w:pPr>
        <w:ind w:left="830" w:hanging="370"/>
        <w:jc w:val="left"/>
      </w:pPr>
      <w:rPr>
        <w:rFonts w:hint="default"/>
      </w:rPr>
    </w:lvl>
    <w:lvl w:ilvl="1">
      <w:start w:val="3"/>
      <w:numFmt w:val="lowerRoman"/>
      <w:lvlText w:val="%1.%2"/>
      <w:lvlJc w:val="left"/>
      <w:pPr>
        <w:ind w:left="830" w:hanging="370"/>
        <w:jc w:val="left"/>
      </w:pPr>
      <w:rPr>
        <w:rFonts w:hint="default" w:ascii="Calibri" w:hAnsi="Calibri" w:eastAsia="Calibri" w:cs="Calibri"/>
        <w:spacing w:val="-1"/>
        <w:w w:val="100"/>
        <w:sz w:val="22"/>
        <w:szCs w:val="22"/>
      </w:rPr>
    </w:lvl>
    <w:lvl w:ilvl="2">
      <w:start w:val="0"/>
      <w:numFmt w:val="bullet"/>
      <w:lvlText w:val=""/>
      <w:lvlJc w:val="left"/>
      <w:pPr>
        <w:ind w:left="1180" w:hanging="360"/>
      </w:pPr>
      <w:rPr>
        <w:rFonts w:hint="default" w:ascii="Symbol" w:hAnsi="Symbol" w:eastAsia="Symbol" w:cs="Symbol"/>
        <w:w w:val="100"/>
        <w:sz w:val="22"/>
        <w:szCs w:val="22"/>
      </w:rPr>
    </w:lvl>
    <w:lvl w:ilvl="3">
      <w:start w:val="0"/>
      <w:numFmt w:val="bullet"/>
      <w:lvlText w:val="•"/>
      <w:lvlJc w:val="left"/>
      <w:pPr>
        <w:ind w:left="3132" w:hanging="360"/>
      </w:pPr>
      <w:rPr>
        <w:rFonts w:hint="default"/>
      </w:rPr>
    </w:lvl>
    <w:lvl w:ilvl="4">
      <w:start w:val="0"/>
      <w:numFmt w:val="bullet"/>
      <w:lvlText w:val="•"/>
      <w:lvlJc w:val="left"/>
      <w:pPr>
        <w:ind w:left="4108" w:hanging="360"/>
      </w:pPr>
      <w:rPr>
        <w:rFonts w:hint="default"/>
      </w:rPr>
    </w:lvl>
    <w:lvl w:ilvl="5">
      <w:start w:val="0"/>
      <w:numFmt w:val="bullet"/>
      <w:lvlText w:val="•"/>
      <w:lvlJc w:val="left"/>
      <w:pPr>
        <w:ind w:left="5085" w:hanging="360"/>
      </w:pPr>
      <w:rPr>
        <w:rFonts w:hint="default"/>
      </w:rPr>
    </w:lvl>
    <w:lvl w:ilvl="6">
      <w:start w:val="0"/>
      <w:numFmt w:val="bullet"/>
      <w:lvlText w:val="•"/>
      <w:lvlJc w:val="left"/>
      <w:pPr>
        <w:ind w:left="6061" w:hanging="360"/>
      </w:pPr>
      <w:rPr>
        <w:rFonts w:hint="default"/>
      </w:rPr>
    </w:lvl>
    <w:lvl w:ilvl="7">
      <w:start w:val="0"/>
      <w:numFmt w:val="bullet"/>
      <w:lvlText w:val="•"/>
      <w:lvlJc w:val="left"/>
      <w:pPr>
        <w:ind w:left="7037" w:hanging="360"/>
      </w:pPr>
      <w:rPr>
        <w:rFonts w:hint="default"/>
      </w:rPr>
    </w:lvl>
    <w:lvl w:ilvl="8">
      <w:start w:val="0"/>
      <w:numFmt w:val="bullet"/>
      <w:lvlText w:val="•"/>
      <w:lvlJc w:val="left"/>
      <w:pPr>
        <w:ind w:left="8013" w:hanging="360"/>
      </w:pPr>
      <w:rPr>
        <w:rFonts w:hint="default"/>
      </w:rPr>
    </w:lvl>
  </w:abstractNum>
  <w:abstractNum w:abstractNumId="58">
    <w:multiLevelType w:val="hybridMultilevel"/>
    <w:lvl w:ilvl="0">
      <w:start w:val="0"/>
      <w:numFmt w:val="bullet"/>
      <w:lvlText w:val="-"/>
      <w:lvlJc w:val="left"/>
      <w:pPr>
        <w:ind w:left="820" w:hanging="360"/>
      </w:pPr>
      <w:rPr>
        <w:rFonts w:hint="default" w:ascii="Calibri" w:hAnsi="Calibri" w:eastAsia="Calibri" w:cs="Calibri"/>
        <w:w w:val="100"/>
        <w:sz w:val="22"/>
        <w:szCs w:val="22"/>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57">
    <w:multiLevelType w:val="hybridMultilevel"/>
    <w:lvl w:ilvl="0">
      <w:start w:val="0"/>
      <w:numFmt w:val="bullet"/>
      <w:lvlText w:val=""/>
      <w:lvlJc w:val="left"/>
      <w:pPr>
        <w:ind w:left="820" w:hanging="360"/>
      </w:pPr>
      <w:rPr>
        <w:rFonts w:hint="default" w:ascii="Symbol" w:hAnsi="Symbol" w:eastAsia="Symbol" w:cs="Symbol"/>
        <w:w w:val="100"/>
        <w:sz w:val="22"/>
        <w:szCs w:val="22"/>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56">
    <w:multiLevelType w:val="hybridMultilevel"/>
    <w:lvl w:ilvl="0">
      <w:start w:val="0"/>
      <w:numFmt w:val="bullet"/>
      <w:lvlText w:val=""/>
      <w:lvlJc w:val="left"/>
      <w:pPr>
        <w:ind w:left="820" w:hanging="360"/>
      </w:pPr>
      <w:rPr>
        <w:rFonts w:hint="default" w:ascii="Symbol" w:hAnsi="Symbol" w:eastAsia="Symbol" w:cs="Symbol"/>
        <w:w w:val="100"/>
        <w:sz w:val="22"/>
        <w:szCs w:val="22"/>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55">
    <w:multiLevelType w:val="hybridMultilevel"/>
    <w:lvl w:ilvl="0">
      <w:start w:val="0"/>
      <w:numFmt w:val="bullet"/>
      <w:lvlText w:val=""/>
      <w:lvlJc w:val="left"/>
      <w:pPr>
        <w:ind w:left="820" w:hanging="360"/>
      </w:pPr>
      <w:rPr>
        <w:rFonts w:hint="default"/>
        <w:w w:val="100"/>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54">
    <w:multiLevelType w:val="hybridMultilevel"/>
    <w:lvl w:ilvl="0">
      <w:start w:val="0"/>
      <w:numFmt w:val="bullet"/>
      <w:lvlText w:val=""/>
      <w:lvlJc w:val="left"/>
      <w:pPr>
        <w:ind w:left="820" w:hanging="360"/>
      </w:pPr>
      <w:rPr>
        <w:rFonts w:hint="default"/>
        <w:w w:val="100"/>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53">
    <w:multiLevelType w:val="hybridMultilevel"/>
    <w:lvl w:ilvl="0">
      <w:start w:val="1"/>
      <w:numFmt w:val="decimal"/>
      <w:lvlText w:val="%1."/>
      <w:lvlJc w:val="left"/>
      <w:pPr>
        <w:ind w:left="460" w:hanging="361"/>
        <w:jc w:val="left"/>
      </w:pPr>
      <w:rPr>
        <w:rFonts w:hint="default" w:ascii="Calibri" w:hAnsi="Calibri" w:eastAsia="Calibri" w:cs="Calibri"/>
        <w:b/>
        <w:bCs/>
        <w:w w:val="100"/>
        <w:sz w:val="22"/>
        <w:szCs w:val="22"/>
      </w:rPr>
    </w:lvl>
    <w:lvl w:ilvl="1">
      <w:start w:val="1"/>
      <w:numFmt w:val="lowerRoman"/>
      <w:lvlText w:val="%2."/>
      <w:lvlJc w:val="left"/>
      <w:pPr>
        <w:ind w:left="820" w:hanging="360"/>
        <w:jc w:val="right"/>
      </w:pPr>
      <w:rPr>
        <w:rFonts w:hint="default" w:ascii="Calibri" w:hAnsi="Calibri" w:eastAsia="Calibri" w:cs="Calibri"/>
        <w:b/>
        <w:bCs/>
        <w:w w:val="100"/>
        <w:sz w:val="22"/>
        <w:szCs w:val="22"/>
      </w:rPr>
    </w:lvl>
    <w:lvl w:ilvl="2">
      <w:start w:val="0"/>
      <w:numFmt w:val="bullet"/>
      <w:lvlText w:val="-"/>
      <w:lvlJc w:val="left"/>
      <w:pPr>
        <w:ind w:left="1180" w:hanging="360"/>
      </w:pPr>
      <w:rPr>
        <w:rFonts w:hint="default" w:ascii="Calibri" w:hAnsi="Calibri" w:eastAsia="Calibri" w:cs="Calibri"/>
        <w:w w:val="100"/>
        <w:sz w:val="22"/>
        <w:szCs w:val="22"/>
      </w:rPr>
    </w:lvl>
    <w:lvl w:ilvl="3">
      <w:start w:val="0"/>
      <w:numFmt w:val="bullet"/>
      <w:lvlText w:val="•"/>
      <w:lvlJc w:val="left"/>
      <w:pPr>
        <w:ind w:left="2278" w:hanging="360"/>
      </w:pPr>
      <w:rPr>
        <w:rFonts w:hint="default"/>
      </w:rPr>
    </w:lvl>
    <w:lvl w:ilvl="4">
      <w:start w:val="0"/>
      <w:numFmt w:val="bullet"/>
      <w:lvlText w:val="•"/>
      <w:lvlJc w:val="left"/>
      <w:pPr>
        <w:ind w:left="3376" w:hanging="360"/>
      </w:pPr>
      <w:rPr>
        <w:rFonts w:hint="default"/>
      </w:rPr>
    </w:lvl>
    <w:lvl w:ilvl="5">
      <w:start w:val="0"/>
      <w:numFmt w:val="bullet"/>
      <w:lvlText w:val="•"/>
      <w:lvlJc w:val="left"/>
      <w:pPr>
        <w:ind w:left="4474" w:hanging="360"/>
      </w:pPr>
      <w:rPr>
        <w:rFonts w:hint="default"/>
      </w:rPr>
    </w:lvl>
    <w:lvl w:ilvl="6">
      <w:start w:val="0"/>
      <w:numFmt w:val="bullet"/>
      <w:lvlText w:val="•"/>
      <w:lvlJc w:val="left"/>
      <w:pPr>
        <w:ind w:left="5573" w:hanging="360"/>
      </w:pPr>
      <w:rPr>
        <w:rFonts w:hint="default"/>
      </w:rPr>
    </w:lvl>
    <w:lvl w:ilvl="7">
      <w:start w:val="0"/>
      <w:numFmt w:val="bullet"/>
      <w:lvlText w:val="•"/>
      <w:lvlJc w:val="left"/>
      <w:pPr>
        <w:ind w:left="6671" w:hanging="360"/>
      </w:pPr>
      <w:rPr>
        <w:rFonts w:hint="default"/>
      </w:rPr>
    </w:lvl>
    <w:lvl w:ilvl="8">
      <w:start w:val="0"/>
      <w:numFmt w:val="bullet"/>
      <w:lvlText w:val="•"/>
      <w:lvlJc w:val="left"/>
      <w:pPr>
        <w:ind w:left="7769" w:hanging="360"/>
      </w:pPr>
      <w:rPr>
        <w:rFonts w:hint="default"/>
      </w:rPr>
    </w:lvl>
  </w:abstractNum>
  <w:abstractNum w:abstractNumId="52">
    <w:multiLevelType w:val="hybridMultilevel"/>
    <w:lvl w:ilvl="0">
      <w:start w:val="0"/>
      <w:numFmt w:val="bullet"/>
      <w:lvlText w:val=""/>
      <w:lvlJc w:val="left"/>
      <w:pPr>
        <w:ind w:left="280" w:hanging="178"/>
      </w:pPr>
      <w:rPr>
        <w:rFonts w:hint="default" w:ascii="Wingdings" w:hAnsi="Wingdings" w:eastAsia="Wingdings" w:cs="Wingdings"/>
        <w:w w:val="100"/>
        <w:sz w:val="18"/>
        <w:szCs w:val="18"/>
      </w:rPr>
    </w:lvl>
    <w:lvl w:ilvl="1">
      <w:start w:val="0"/>
      <w:numFmt w:val="bullet"/>
      <w:lvlText w:val="•"/>
      <w:lvlJc w:val="left"/>
      <w:pPr>
        <w:ind w:left="506" w:hanging="178"/>
      </w:pPr>
      <w:rPr>
        <w:rFonts w:hint="default"/>
      </w:rPr>
    </w:lvl>
    <w:lvl w:ilvl="2">
      <w:start w:val="0"/>
      <w:numFmt w:val="bullet"/>
      <w:lvlText w:val="•"/>
      <w:lvlJc w:val="left"/>
      <w:pPr>
        <w:ind w:left="732" w:hanging="178"/>
      </w:pPr>
      <w:rPr>
        <w:rFonts w:hint="default"/>
      </w:rPr>
    </w:lvl>
    <w:lvl w:ilvl="3">
      <w:start w:val="0"/>
      <w:numFmt w:val="bullet"/>
      <w:lvlText w:val="•"/>
      <w:lvlJc w:val="left"/>
      <w:pPr>
        <w:ind w:left="958" w:hanging="178"/>
      </w:pPr>
      <w:rPr>
        <w:rFonts w:hint="default"/>
      </w:rPr>
    </w:lvl>
    <w:lvl w:ilvl="4">
      <w:start w:val="0"/>
      <w:numFmt w:val="bullet"/>
      <w:lvlText w:val="•"/>
      <w:lvlJc w:val="left"/>
      <w:pPr>
        <w:ind w:left="1184" w:hanging="178"/>
      </w:pPr>
      <w:rPr>
        <w:rFonts w:hint="default"/>
      </w:rPr>
    </w:lvl>
    <w:lvl w:ilvl="5">
      <w:start w:val="0"/>
      <w:numFmt w:val="bullet"/>
      <w:lvlText w:val="•"/>
      <w:lvlJc w:val="left"/>
      <w:pPr>
        <w:ind w:left="1411" w:hanging="178"/>
      </w:pPr>
      <w:rPr>
        <w:rFonts w:hint="default"/>
      </w:rPr>
    </w:lvl>
    <w:lvl w:ilvl="6">
      <w:start w:val="0"/>
      <w:numFmt w:val="bullet"/>
      <w:lvlText w:val="•"/>
      <w:lvlJc w:val="left"/>
      <w:pPr>
        <w:ind w:left="1637" w:hanging="178"/>
      </w:pPr>
      <w:rPr>
        <w:rFonts w:hint="default"/>
      </w:rPr>
    </w:lvl>
    <w:lvl w:ilvl="7">
      <w:start w:val="0"/>
      <w:numFmt w:val="bullet"/>
      <w:lvlText w:val="•"/>
      <w:lvlJc w:val="left"/>
      <w:pPr>
        <w:ind w:left="1863" w:hanging="178"/>
      </w:pPr>
      <w:rPr>
        <w:rFonts w:hint="default"/>
      </w:rPr>
    </w:lvl>
    <w:lvl w:ilvl="8">
      <w:start w:val="0"/>
      <w:numFmt w:val="bullet"/>
      <w:lvlText w:val="•"/>
      <w:lvlJc w:val="left"/>
      <w:pPr>
        <w:ind w:left="2089" w:hanging="178"/>
      </w:pPr>
      <w:rPr>
        <w:rFonts w:hint="default"/>
      </w:rPr>
    </w:lvl>
  </w:abstractNum>
  <w:abstractNum w:abstractNumId="51">
    <w:multiLevelType w:val="hybridMultilevel"/>
    <w:lvl w:ilvl="0">
      <w:start w:val="17"/>
      <w:numFmt w:val="decimal"/>
      <w:lvlText w:val="%1."/>
      <w:lvlJc w:val="left"/>
      <w:pPr>
        <w:ind w:left="786" w:hanging="567"/>
        <w:jc w:val="right"/>
      </w:pPr>
      <w:rPr>
        <w:rFonts w:hint="default" w:ascii="Calibri" w:hAnsi="Calibri" w:eastAsia="Calibri" w:cs="Calibri"/>
        <w:b/>
        <w:bCs/>
        <w:spacing w:val="-14"/>
        <w:w w:val="99"/>
        <w:sz w:val="24"/>
        <w:szCs w:val="24"/>
      </w:rPr>
    </w:lvl>
    <w:lvl w:ilvl="1">
      <w:start w:val="0"/>
      <w:numFmt w:val="bullet"/>
      <w:lvlText w:val=""/>
      <w:lvlJc w:val="left"/>
      <w:pPr>
        <w:ind w:left="1580" w:hanging="360"/>
      </w:pPr>
      <w:rPr>
        <w:rFonts w:hint="default" w:ascii="Symbol" w:hAnsi="Symbol" w:eastAsia="Symbol" w:cs="Symbol"/>
        <w:w w:val="99"/>
        <w:sz w:val="20"/>
        <w:szCs w:val="20"/>
      </w:rPr>
    </w:lvl>
    <w:lvl w:ilvl="2">
      <w:start w:val="0"/>
      <w:numFmt w:val="bullet"/>
      <w:lvlText w:val="•"/>
      <w:lvlJc w:val="left"/>
      <w:pPr>
        <w:ind w:left="2458" w:hanging="360"/>
      </w:pPr>
      <w:rPr>
        <w:rFonts w:hint="default"/>
      </w:rPr>
    </w:lvl>
    <w:lvl w:ilvl="3">
      <w:start w:val="0"/>
      <w:numFmt w:val="bullet"/>
      <w:lvlText w:val="•"/>
      <w:lvlJc w:val="left"/>
      <w:pPr>
        <w:ind w:left="3336" w:hanging="360"/>
      </w:pPr>
      <w:rPr>
        <w:rFonts w:hint="default"/>
      </w:rPr>
    </w:lvl>
    <w:lvl w:ilvl="4">
      <w:start w:val="0"/>
      <w:numFmt w:val="bullet"/>
      <w:lvlText w:val="•"/>
      <w:lvlJc w:val="left"/>
      <w:pPr>
        <w:ind w:left="4215" w:hanging="360"/>
      </w:pPr>
      <w:rPr>
        <w:rFonts w:hint="default"/>
      </w:rPr>
    </w:lvl>
    <w:lvl w:ilvl="5">
      <w:start w:val="0"/>
      <w:numFmt w:val="bullet"/>
      <w:lvlText w:val="•"/>
      <w:lvlJc w:val="left"/>
      <w:pPr>
        <w:ind w:left="5093" w:hanging="360"/>
      </w:pPr>
      <w:rPr>
        <w:rFonts w:hint="default"/>
      </w:rPr>
    </w:lvl>
    <w:lvl w:ilvl="6">
      <w:start w:val="0"/>
      <w:numFmt w:val="bullet"/>
      <w:lvlText w:val="•"/>
      <w:lvlJc w:val="left"/>
      <w:pPr>
        <w:ind w:left="5972" w:hanging="360"/>
      </w:pPr>
      <w:rPr>
        <w:rFonts w:hint="default"/>
      </w:rPr>
    </w:lvl>
    <w:lvl w:ilvl="7">
      <w:start w:val="0"/>
      <w:numFmt w:val="bullet"/>
      <w:lvlText w:val="•"/>
      <w:lvlJc w:val="left"/>
      <w:pPr>
        <w:ind w:left="6850" w:hanging="360"/>
      </w:pPr>
      <w:rPr>
        <w:rFonts w:hint="default"/>
      </w:rPr>
    </w:lvl>
    <w:lvl w:ilvl="8">
      <w:start w:val="0"/>
      <w:numFmt w:val="bullet"/>
      <w:lvlText w:val="•"/>
      <w:lvlJc w:val="left"/>
      <w:pPr>
        <w:ind w:left="7729" w:hanging="360"/>
      </w:pPr>
      <w:rPr>
        <w:rFonts w:hint="default"/>
      </w:rPr>
    </w:lvl>
  </w:abstractNum>
  <w:abstractNum w:abstractNumId="50">
    <w:multiLevelType w:val="hybridMultilevel"/>
    <w:lvl w:ilvl="0">
      <w:start w:val="1"/>
      <w:numFmt w:val="decimal"/>
      <w:lvlText w:val="%1."/>
      <w:lvlJc w:val="left"/>
      <w:pPr>
        <w:ind w:left="100" w:hanging="365"/>
        <w:jc w:val="right"/>
      </w:pPr>
      <w:rPr>
        <w:rFonts w:hint="default" w:ascii="Calibri" w:hAnsi="Calibri" w:eastAsia="Calibri" w:cs="Calibri"/>
        <w:w w:val="100"/>
        <w:sz w:val="22"/>
        <w:szCs w:val="22"/>
      </w:rPr>
    </w:lvl>
    <w:lvl w:ilvl="1">
      <w:start w:val="0"/>
      <w:numFmt w:val="bullet"/>
      <w:lvlText w:val="•"/>
      <w:lvlJc w:val="left"/>
      <w:pPr>
        <w:ind w:left="1086" w:hanging="365"/>
      </w:pPr>
      <w:rPr>
        <w:rFonts w:hint="default"/>
      </w:rPr>
    </w:lvl>
    <w:lvl w:ilvl="2">
      <w:start w:val="0"/>
      <w:numFmt w:val="bullet"/>
      <w:lvlText w:val="•"/>
      <w:lvlJc w:val="left"/>
      <w:pPr>
        <w:ind w:left="2073" w:hanging="365"/>
      </w:pPr>
      <w:rPr>
        <w:rFonts w:hint="default"/>
      </w:rPr>
    </w:lvl>
    <w:lvl w:ilvl="3">
      <w:start w:val="0"/>
      <w:numFmt w:val="bullet"/>
      <w:lvlText w:val="•"/>
      <w:lvlJc w:val="left"/>
      <w:pPr>
        <w:ind w:left="3059" w:hanging="365"/>
      </w:pPr>
      <w:rPr>
        <w:rFonts w:hint="default"/>
      </w:rPr>
    </w:lvl>
    <w:lvl w:ilvl="4">
      <w:start w:val="0"/>
      <w:numFmt w:val="bullet"/>
      <w:lvlText w:val="•"/>
      <w:lvlJc w:val="left"/>
      <w:pPr>
        <w:ind w:left="4046" w:hanging="365"/>
      </w:pPr>
      <w:rPr>
        <w:rFonts w:hint="default"/>
      </w:rPr>
    </w:lvl>
    <w:lvl w:ilvl="5">
      <w:start w:val="0"/>
      <w:numFmt w:val="bullet"/>
      <w:lvlText w:val="•"/>
      <w:lvlJc w:val="left"/>
      <w:pPr>
        <w:ind w:left="5033" w:hanging="365"/>
      </w:pPr>
      <w:rPr>
        <w:rFonts w:hint="default"/>
      </w:rPr>
    </w:lvl>
    <w:lvl w:ilvl="6">
      <w:start w:val="0"/>
      <w:numFmt w:val="bullet"/>
      <w:lvlText w:val="•"/>
      <w:lvlJc w:val="left"/>
      <w:pPr>
        <w:ind w:left="6019" w:hanging="365"/>
      </w:pPr>
      <w:rPr>
        <w:rFonts w:hint="default"/>
      </w:rPr>
    </w:lvl>
    <w:lvl w:ilvl="7">
      <w:start w:val="0"/>
      <w:numFmt w:val="bullet"/>
      <w:lvlText w:val="•"/>
      <w:lvlJc w:val="left"/>
      <w:pPr>
        <w:ind w:left="7006" w:hanging="365"/>
      </w:pPr>
      <w:rPr>
        <w:rFonts w:hint="default"/>
      </w:rPr>
    </w:lvl>
    <w:lvl w:ilvl="8">
      <w:start w:val="0"/>
      <w:numFmt w:val="bullet"/>
      <w:lvlText w:val="•"/>
      <w:lvlJc w:val="left"/>
      <w:pPr>
        <w:ind w:left="7993" w:hanging="365"/>
      </w:pPr>
      <w:rPr>
        <w:rFonts w:hint="default"/>
      </w:rPr>
    </w:lvl>
  </w:abstractNum>
  <w:abstractNum w:abstractNumId="49">
    <w:multiLevelType w:val="hybridMultilevel"/>
    <w:lvl w:ilvl="0">
      <w:start w:val="1"/>
      <w:numFmt w:val="lowerRoman"/>
      <w:lvlText w:val="%1."/>
      <w:lvlJc w:val="left"/>
      <w:pPr>
        <w:ind w:left="527" w:hanging="428"/>
        <w:jc w:val="left"/>
      </w:pPr>
      <w:rPr>
        <w:rFonts w:hint="default" w:ascii="Calibri" w:hAnsi="Calibri" w:eastAsia="Calibri" w:cs="Calibri"/>
        <w:spacing w:val="-1"/>
        <w:w w:val="100"/>
        <w:sz w:val="22"/>
        <w:szCs w:val="22"/>
      </w:rPr>
    </w:lvl>
    <w:lvl w:ilvl="1">
      <w:start w:val="0"/>
      <w:numFmt w:val="bullet"/>
      <w:lvlText w:val="•"/>
      <w:lvlJc w:val="left"/>
      <w:pPr>
        <w:ind w:left="1464" w:hanging="428"/>
      </w:pPr>
      <w:rPr>
        <w:rFonts w:hint="default"/>
      </w:rPr>
    </w:lvl>
    <w:lvl w:ilvl="2">
      <w:start w:val="0"/>
      <w:numFmt w:val="bullet"/>
      <w:lvlText w:val="•"/>
      <w:lvlJc w:val="left"/>
      <w:pPr>
        <w:ind w:left="2409" w:hanging="428"/>
      </w:pPr>
      <w:rPr>
        <w:rFonts w:hint="default"/>
      </w:rPr>
    </w:lvl>
    <w:lvl w:ilvl="3">
      <w:start w:val="0"/>
      <w:numFmt w:val="bullet"/>
      <w:lvlText w:val="•"/>
      <w:lvlJc w:val="left"/>
      <w:pPr>
        <w:ind w:left="3353" w:hanging="428"/>
      </w:pPr>
      <w:rPr>
        <w:rFonts w:hint="default"/>
      </w:rPr>
    </w:lvl>
    <w:lvl w:ilvl="4">
      <w:start w:val="0"/>
      <w:numFmt w:val="bullet"/>
      <w:lvlText w:val="•"/>
      <w:lvlJc w:val="left"/>
      <w:pPr>
        <w:ind w:left="4298" w:hanging="428"/>
      </w:pPr>
      <w:rPr>
        <w:rFonts w:hint="default"/>
      </w:rPr>
    </w:lvl>
    <w:lvl w:ilvl="5">
      <w:start w:val="0"/>
      <w:numFmt w:val="bullet"/>
      <w:lvlText w:val="•"/>
      <w:lvlJc w:val="left"/>
      <w:pPr>
        <w:ind w:left="5243" w:hanging="428"/>
      </w:pPr>
      <w:rPr>
        <w:rFonts w:hint="default"/>
      </w:rPr>
    </w:lvl>
    <w:lvl w:ilvl="6">
      <w:start w:val="0"/>
      <w:numFmt w:val="bullet"/>
      <w:lvlText w:val="•"/>
      <w:lvlJc w:val="left"/>
      <w:pPr>
        <w:ind w:left="6187" w:hanging="428"/>
      </w:pPr>
      <w:rPr>
        <w:rFonts w:hint="default"/>
      </w:rPr>
    </w:lvl>
    <w:lvl w:ilvl="7">
      <w:start w:val="0"/>
      <w:numFmt w:val="bullet"/>
      <w:lvlText w:val="•"/>
      <w:lvlJc w:val="left"/>
      <w:pPr>
        <w:ind w:left="7132" w:hanging="428"/>
      </w:pPr>
      <w:rPr>
        <w:rFonts w:hint="default"/>
      </w:rPr>
    </w:lvl>
    <w:lvl w:ilvl="8">
      <w:start w:val="0"/>
      <w:numFmt w:val="bullet"/>
      <w:lvlText w:val="•"/>
      <w:lvlJc w:val="left"/>
      <w:pPr>
        <w:ind w:left="8077" w:hanging="428"/>
      </w:pPr>
      <w:rPr>
        <w:rFonts w:hint="default"/>
      </w:rPr>
    </w:lvl>
  </w:abstractNum>
  <w:abstractNum w:abstractNumId="48">
    <w:multiLevelType w:val="hybridMultilevel"/>
    <w:lvl w:ilvl="0">
      <w:start w:val="14"/>
      <w:numFmt w:val="decimal"/>
      <w:lvlText w:val="%1."/>
      <w:lvlJc w:val="left"/>
      <w:pPr>
        <w:ind w:left="666" w:hanging="567"/>
        <w:jc w:val="left"/>
      </w:pPr>
      <w:rPr>
        <w:rFonts w:hint="default" w:ascii="Calibri" w:hAnsi="Calibri" w:eastAsia="Calibri" w:cs="Calibri"/>
        <w:b/>
        <w:bCs/>
        <w:spacing w:val="-14"/>
        <w:w w:val="99"/>
        <w:sz w:val="24"/>
        <w:szCs w:val="24"/>
      </w:rPr>
    </w:lvl>
    <w:lvl w:ilvl="1">
      <w:start w:val="1"/>
      <w:numFmt w:val="decimal"/>
      <w:lvlText w:val="%1.%2."/>
      <w:lvlJc w:val="left"/>
      <w:pPr>
        <w:ind w:left="820" w:hanging="721"/>
        <w:jc w:val="left"/>
      </w:pPr>
      <w:rPr>
        <w:rFonts w:hint="default" w:ascii="Calibri" w:hAnsi="Calibri" w:eastAsia="Calibri" w:cs="Calibri"/>
        <w:b/>
        <w:bCs/>
        <w:spacing w:val="-2"/>
        <w:w w:val="100"/>
        <w:sz w:val="22"/>
        <w:szCs w:val="22"/>
      </w:rPr>
    </w:lvl>
    <w:lvl w:ilvl="2">
      <w:start w:val="0"/>
      <w:numFmt w:val="bullet"/>
      <w:lvlText w:val="•"/>
      <w:lvlJc w:val="left"/>
      <w:pPr>
        <w:ind w:left="1836" w:hanging="721"/>
      </w:pPr>
      <w:rPr>
        <w:rFonts w:hint="default"/>
      </w:rPr>
    </w:lvl>
    <w:lvl w:ilvl="3">
      <w:start w:val="0"/>
      <w:numFmt w:val="bullet"/>
      <w:lvlText w:val="•"/>
      <w:lvlJc w:val="left"/>
      <w:pPr>
        <w:ind w:left="2852" w:hanging="721"/>
      </w:pPr>
      <w:rPr>
        <w:rFonts w:hint="default"/>
      </w:rPr>
    </w:lvl>
    <w:lvl w:ilvl="4">
      <w:start w:val="0"/>
      <w:numFmt w:val="bullet"/>
      <w:lvlText w:val="•"/>
      <w:lvlJc w:val="left"/>
      <w:pPr>
        <w:ind w:left="3868" w:hanging="721"/>
      </w:pPr>
      <w:rPr>
        <w:rFonts w:hint="default"/>
      </w:rPr>
    </w:lvl>
    <w:lvl w:ilvl="5">
      <w:start w:val="0"/>
      <w:numFmt w:val="bullet"/>
      <w:lvlText w:val="•"/>
      <w:lvlJc w:val="left"/>
      <w:pPr>
        <w:ind w:left="4885" w:hanging="721"/>
      </w:pPr>
      <w:rPr>
        <w:rFonts w:hint="default"/>
      </w:rPr>
    </w:lvl>
    <w:lvl w:ilvl="6">
      <w:start w:val="0"/>
      <w:numFmt w:val="bullet"/>
      <w:lvlText w:val="•"/>
      <w:lvlJc w:val="left"/>
      <w:pPr>
        <w:ind w:left="5901" w:hanging="721"/>
      </w:pPr>
      <w:rPr>
        <w:rFonts w:hint="default"/>
      </w:rPr>
    </w:lvl>
    <w:lvl w:ilvl="7">
      <w:start w:val="0"/>
      <w:numFmt w:val="bullet"/>
      <w:lvlText w:val="•"/>
      <w:lvlJc w:val="left"/>
      <w:pPr>
        <w:ind w:left="6917" w:hanging="721"/>
      </w:pPr>
      <w:rPr>
        <w:rFonts w:hint="default"/>
      </w:rPr>
    </w:lvl>
    <w:lvl w:ilvl="8">
      <w:start w:val="0"/>
      <w:numFmt w:val="bullet"/>
      <w:lvlText w:val="•"/>
      <w:lvlJc w:val="left"/>
      <w:pPr>
        <w:ind w:left="7933" w:hanging="721"/>
      </w:pPr>
      <w:rPr>
        <w:rFonts w:hint="default"/>
      </w:rPr>
    </w:lvl>
  </w:abstractNum>
  <w:abstractNum w:abstractNumId="47">
    <w:multiLevelType w:val="hybridMultilevel"/>
    <w:lvl w:ilvl="0">
      <w:start w:val="0"/>
      <w:numFmt w:val="bullet"/>
      <w:lvlText w:val="-"/>
      <w:lvlJc w:val="left"/>
      <w:pPr>
        <w:ind w:left="460" w:hanging="361"/>
      </w:pPr>
      <w:rPr>
        <w:rFonts w:hint="default" w:ascii="Arial" w:hAnsi="Arial" w:eastAsia="Arial" w:cs="Arial"/>
        <w:w w:val="100"/>
        <w:sz w:val="22"/>
        <w:szCs w:val="22"/>
      </w:rPr>
    </w:lvl>
    <w:lvl w:ilvl="1">
      <w:start w:val="0"/>
      <w:numFmt w:val="bullet"/>
      <w:lvlText w:val="•"/>
      <w:lvlJc w:val="left"/>
      <w:pPr>
        <w:ind w:left="1410" w:hanging="361"/>
      </w:pPr>
      <w:rPr>
        <w:rFonts w:hint="default"/>
      </w:rPr>
    </w:lvl>
    <w:lvl w:ilvl="2">
      <w:start w:val="0"/>
      <w:numFmt w:val="bullet"/>
      <w:lvlText w:val="•"/>
      <w:lvlJc w:val="left"/>
      <w:pPr>
        <w:ind w:left="2361" w:hanging="361"/>
      </w:pPr>
      <w:rPr>
        <w:rFonts w:hint="default"/>
      </w:rPr>
    </w:lvl>
    <w:lvl w:ilvl="3">
      <w:start w:val="0"/>
      <w:numFmt w:val="bullet"/>
      <w:lvlText w:val="•"/>
      <w:lvlJc w:val="left"/>
      <w:pPr>
        <w:ind w:left="3311" w:hanging="361"/>
      </w:pPr>
      <w:rPr>
        <w:rFonts w:hint="default"/>
      </w:rPr>
    </w:lvl>
    <w:lvl w:ilvl="4">
      <w:start w:val="0"/>
      <w:numFmt w:val="bullet"/>
      <w:lvlText w:val="•"/>
      <w:lvlJc w:val="left"/>
      <w:pPr>
        <w:ind w:left="4262" w:hanging="361"/>
      </w:pPr>
      <w:rPr>
        <w:rFonts w:hint="default"/>
      </w:rPr>
    </w:lvl>
    <w:lvl w:ilvl="5">
      <w:start w:val="0"/>
      <w:numFmt w:val="bullet"/>
      <w:lvlText w:val="•"/>
      <w:lvlJc w:val="left"/>
      <w:pPr>
        <w:ind w:left="5213" w:hanging="361"/>
      </w:pPr>
      <w:rPr>
        <w:rFonts w:hint="default"/>
      </w:rPr>
    </w:lvl>
    <w:lvl w:ilvl="6">
      <w:start w:val="0"/>
      <w:numFmt w:val="bullet"/>
      <w:lvlText w:val="•"/>
      <w:lvlJc w:val="left"/>
      <w:pPr>
        <w:ind w:left="6163" w:hanging="361"/>
      </w:pPr>
      <w:rPr>
        <w:rFonts w:hint="default"/>
      </w:rPr>
    </w:lvl>
    <w:lvl w:ilvl="7">
      <w:start w:val="0"/>
      <w:numFmt w:val="bullet"/>
      <w:lvlText w:val="•"/>
      <w:lvlJc w:val="left"/>
      <w:pPr>
        <w:ind w:left="7114" w:hanging="361"/>
      </w:pPr>
      <w:rPr>
        <w:rFonts w:hint="default"/>
      </w:rPr>
    </w:lvl>
    <w:lvl w:ilvl="8">
      <w:start w:val="0"/>
      <w:numFmt w:val="bullet"/>
      <w:lvlText w:val="•"/>
      <w:lvlJc w:val="left"/>
      <w:pPr>
        <w:ind w:left="8065" w:hanging="361"/>
      </w:pPr>
      <w:rPr>
        <w:rFonts w:hint="default"/>
      </w:rPr>
    </w:lvl>
  </w:abstractNum>
  <w:abstractNum w:abstractNumId="46">
    <w:multiLevelType w:val="hybridMultilevel"/>
    <w:lvl w:ilvl="0">
      <w:start w:val="1"/>
      <w:numFmt w:val="decimal"/>
      <w:lvlText w:val="%1."/>
      <w:lvlJc w:val="left"/>
      <w:pPr>
        <w:ind w:left="100" w:hanging="247"/>
        <w:jc w:val="left"/>
      </w:pPr>
      <w:rPr>
        <w:rFonts w:hint="default" w:ascii="Calibri" w:hAnsi="Calibri" w:eastAsia="Calibri" w:cs="Calibri"/>
        <w:w w:val="100"/>
        <w:sz w:val="22"/>
        <w:szCs w:val="22"/>
      </w:rPr>
    </w:lvl>
    <w:lvl w:ilvl="1">
      <w:start w:val="0"/>
      <w:numFmt w:val="bullet"/>
      <w:lvlText w:val="•"/>
      <w:lvlJc w:val="left"/>
      <w:pPr>
        <w:ind w:left="1086" w:hanging="247"/>
      </w:pPr>
      <w:rPr>
        <w:rFonts w:hint="default"/>
      </w:rPr>
    </w:lvl>
    <w:lvl w:ilvl="2">
      <w:start w:val="0"/>
      <w:numFmt w:val="bullet"/>
      <w:lvlText w:val="•"/>
      <w:lvlJc w:val="left"/>
      <w:pPr>
        <w:ind w:left="2073" w:hanging="247"/>
      </w:pPr>
      <w:rPr>
        <w:rFonts w:hint="default"/>
      </w:rPr>
    </w:lvl>
    <w:lvl w:ilvl="3">
      <w:start w:val="0"/>
      <w:numFmt w:val="bullet"/>
      <w:lvlText w:val="•"/>
      <w:lvlJc w:val="left"/>
      <w:pPr>
        <w:ind w:left="3059" w:hanging="247"/>
      </w:pPr>
      <w:rPr>
        <w:rFonts w:hint="default"/>
      </w:rPr>
    </w:lvl>
    <w:lvl w:ilvl="4">
      <w:start w:val="0"/>
      <w:numFmt w:val="bullet"/>
      <w:lvlText w:val="•"/>
      <w:lvlJc w:val="left"/>
      <w:pPr>
        <w:ind w:left="4046" w:hanging="247"/>
      </w:pPr>
      <w:rPr>
        <w:rFonts w:hint="default"/>
      </w:rPr>
    </w:lvl>
    <w:lvl w:ilvl="5">
      <w:start w:val="0"/>
      <w:numFmt w:val="bullet"/>
      <w:lvlText w:val="•"/>
      <w:lvlJc w:val="left"/>
      <w:pPr>
        <w:ind w:left="5033" w:hanging="247"/>
      </w:pPr>
      <w:rPr>
        <w:rFonts w:hint="default"/>
      </w:rPr>
    </w:lvl>
    <w:lvl w:ilvl="6">
      <w:start w:val="0"/>
      <w:numFmt w:val="bullet"/>
      <w:lvlText w:val="•"/>
      <w:lvlJc w:val="left"/>
      <w:pPr>
        <w:ind w:left="6019" w:hanging="247"/>
      </w:pPr>
      <w:rPr>
        <w:rFonts w:hint="default"/>
      </w:rPr>
    </w:lvl>
    <w:lvl w:ilvl="7">
      <w:start w:val="0"/>
      <w:numFmt w:val="bullet"/>
      <w:lvlText w:val="•"/>
      <w:lvlJc w:val="left"/>
      <w:pPr>
        <w:ind w:left="7006" w:hanging="247"/>
      </w:pPr>
      <w:rPr>
        <w:rFonts w:hint="default"/>
      </w:rPr>
    </w:lvl>
    <w:lvl w:ilvl="8">
      <w:start w:val="0"/>
      <w:numFmt w:val="bullet"/>
      <w:lvlText w:val="•"/>
      <w:lvlJc w:val="left"/>
      <w:pPr>
        <w:ind w:left="7993" w:hanging="247"/>
      </w:pPr>
      <w:rPr>
        <w:rFonts w:hint="default"/>
      </w:rPr>
    </w:lvl>
  </w:abstractNum>
  <w:abstractNum w:abstractNumId="45">
    <w:multiLevelType w:val="hybridMultilevel"/>
    <w:lvl w:ilvl="0">
      <w:start w:val="0"/>
      <w:numFmt w:val="bullet"/>
      <w:lvlText w:val=""/>
      <w:lvlJc w:val="left"/>
      <w:pPr>
        <w:ind w:left="460" w:hanging="361"/>
      </w:pPr>
      <w:rPr>
        <w:rFonts w:hint="default" w:ascii="Wingdings" w:hAnsi="Wingdings" w:eastAsia="Wingdings" w:cs="Wingdings"/>
        <w:w w:val="100"/>
        <w:sz w:val="22"/>
        <w:szCs w:val="22"/>
      </w:rPr>
    </w:lvl>
    <w:lvl w:ilvl="1">
      <w:start w:val="0"/>
      <w:numFmt w:val="bullet"/>
      <w:lvlText w:val="•"/>
      <w:lvlJc w:val="left"/>
      <w:pPr>
        <w:ind w:left="1410" w:hanging="361"/>
      </w:pPr>
      <w:rPr>
        <w:rFonts w:hint="default"/>
      </w:rPr>
    </w:lvl>
    <w:lvl w:ilvl="2">
      <w:start w:val="0"/>
      <w:numFmt w:val="bullet"/>
      <w:lvlText w:val="•"/>
      <w:lvlJc w:val="left"/>
      <w:pPr>
        <w:ind w:left="2361" w:hanging="361"/>
      </w:pPr>
      <w:rPr>
        <w:rFonts w:hint="default"/>
      </w:rPr>
    </w:lvl>
    <w:lvl w:ilvl="3">
      <w:start w:val="0"/>
      <w:numFmt w:val="bullet"/>
      <w:lvlText w:val="•"/>
      <w:lvlJc w:val="left"/>
      <w:pPr>
        <w:ind w:left="3311" w:hanging="361"/>
      </w:pPr>
      <w:rPr>
        <w:rFonts w:hint="default"/>
      </w:rPr>
    </w:lvl>
    <w:lvl w:ilvl="4">
      <w:start w:val="0"/>
      <w:numFmt w:val="bullet"/>
      <w:lvlText w:val="•"/>
      <w:lvlJc w:val="left"/>
      <w:pPr>
        <w:ind w:left="4262" w:hanging="361"/>
      </w:pPr>
      <w:rPr>
        <w:rFonts w:hint="default"/>
      </w:rPr>
    </w:lvl>
    <w:lvl w:ilvl="5">
      <w:start w:val="0"/>
      <w:numFmt w:val="bullet"/>
      <w:lvlText w:val="•"/>
      <w:lvlJc w:val="left"/>
      <w:pPr>
        <w:ind w:left="5213" w:hanging="361"/>
      </w:pPr>
      <w:rPr>
        <w:rFonts w:hint="default"/>
      </w:rPr>
    </w:lvl>
    <w:lvl w:ilvl="6">
      <w:start w:val="0"/>
      <w:numFmt w:val="bullet"/>
      <w:lvlText w:val="•"/>
      <w:lvlJc w:val="left"/>
      <w:pPr>
        <w:ind w:left="6163" w:hanging="361"/>
      </w:pPr>
      <w:rPr>
        <w:rFonts w:hint="default"/>
      </w:rPr>
    </w:lvl>
    <w:lvl w:ilvl="7">
      <w:start w:val="0"/>
      <w:numFmt w:val="bullet"/>
      <w:lvlText w:val="•"/>
      <w:lvlJc w:val="left"/>
      <w:pPr>
        <w:ind w:left="7114" w:hanging="361"/>
      </w:pPr>
      <w:rPr>
        <w:rFonts w:hint="default"/>
      </w:rPr>
    </w:lvl>
    <w:lvl w:ilvl="8">
      <w:start w:val="0"/>
      <w:numFmt w:val="bullet"/>
      <w:lvlText w:val="•"/>
      <w:lvlJc w:val="left"/>
      <w:pPr>
        <w:ind w:left="8065" w:hanging="361"/>
      </w:pPr>
      <w:rPr>
        <w:rFonts w:hint="default"/>
      </w:rPr>
    </w:lvl>
  </w:abstractNum>
  <w:abstractNum w:abstractNumId="44">
    <w:multiLevelType w:val="hybridMultilevel"/>
    <w:lvl w:ilvl="0">
      <w:start w:val="0"/>
      <w:numFmt w:val="bullet"/>
      <w:lvlText w:val=""/>
      <w:lvlJc w:val="left"/>
      <w:pPr>
        <w:ind w:left="820" w:hanging="360"/>
      </w:pPr>
      <w:rPr>
        <w:rFonts w:hint="default" w:ascii="Symbol" w:hAnsi="Symbol" w:eastAsia="Symbol" w:cs="Symbol"/>
        <w:w w:val="100"/>
        <w:sz w:val="22"/>
        <w:szCs w:val="22"/>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43">
    <w:multiLevelType w:val="hybridMultilevel"/>
    <w:lvl w:ilvl="0">
      <w:start w:val="0"/>
      <w:numFmt w:val="bullet"/>
      <w:lvlText w:val=""/>
      <w:lvlJc w:val="left"/>
      <w:pPr>
        <w:ind w:left="820" w:hanging="360"/>
      </w:pPr>
      <w:rPr>
        <w:rFonts w:hint="default" w:ascii="Symbol" w:hAnsi="Symbol" w:eastAsia="Symbol" w:cs="Symbol"/>
        <w:w w:val="100"/>
        <w:sz w:val="22"/>
        <w:szCs w:val="22"/>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42">
    <w:multiLevelType w:val="hybridMultilevel"/>
    <w:lvl w:ilvl="0">
      <w:start w:val="12"/>
      <w:numFmt w:val="decimal"/>
      <w:lvlText w:val="%1."/>
      <w:lvlJc w:val="left"/>
      <w:pPr>
        <w:ind w:left="666" w:hanging="567"/>
        <w:jc w:val="left"/>
      </w:pPr>
      <w:rPr>
        <w:rFonts w:hint="default" w:ascii="Calibri" w:hAnsi="Calibri" w:eastAsia="Calibri" w:cs="Calibri"/>
        <w:b/>
        <w:bCs/>
        <w:spacing w:val="-14"/>
        <w:w w:val="99"/>
        <w:sz w:val="24"/>
        <w:szCs w:val="24"/>
      </w:rPr>
    </w:lvl>
    <w:lvl w:ilvl="1">
      <w:start w:val="1"/>
      <w:numFmt w:val="decimal"/>
      <w:lvlText w:val="%1.%2."/>
      <w:lvlJc w:val="left"/>
      <w:pPr>
        <w:ind w:left="820" w:hanging="721"/>
        <w:jc w:val="left"/>
      </w:pPr>
      <w:rPr>
        <w:rFonts w:hint="default" w:ascii="Calibri" w:hAnsi="Calibri" w:eastAsia="Calibri" w:cs="Calibri"/>
        <w:b/>
        <w:bCs/>
        <w:spacing w:val="-2"/>
        <w:w w:val="100"/>
        <w:sz w:val="22"/>
        <w:szCs w:val="22"/>
      </w:rPr>
    </w:lvl>
    <w:lvl w:ilvl="2">
      <w:start w:val="0"/>
      <w:numFmt w:val="bullet"/>
      <w:lvlText w:val="•"/>
      <w:lvlJc w:val="left"/>
      <w:pPr>
        <w:ind w:left="1836" w:hanging="721"/>
      </w:pPr>
      <w:rPr>
        <w:rFonts w:hint="default"/>
      </w:rPr>
    </w:lvl>
    <w:lvl w:ilvl="3">
      <w:start w:val="0"/>
      <w:numFmt w:val="bullet"/>
      <w:lvlText w:val="•"/>
      <w:lvlJc w:val="left"/>
      <w:pPr>
        <w:ind w:left="2852" w:hanging="721"/>
      </w:pPr>
      <w:rPr>
        <w:rFonts w:hint="default"/>
      </w:rPr>
    </w:lvl>
    <w:lvl w:ilvl="4">
      <w:start w:val="0"/>
      <w:numFmt w:val="bullet"/>
      <w:lvlText w:val="•"/>
      <w:lvlJc w:val="left"/>
      <w:pPr>
        <w:ind w:left="3868" w:hanging="721"/>
      </w:pPr>
      <w:rPr>
        <w:rFonts w:hint="default"/>
      </w:rPr>
    </w:lvl>
    <w:lvl w:ilvl="5">
      <w:start w:val="0"/>
      <w:numFmt w:val="bullet"/>
      <w:lvlText w:val="•"/>
      <w:lvlJc w:val="left"/>
      <w:pPr>
        <w:ind w:left="4885" w:hanging="721"/>
      </w:pPr>
      <w:rPr>
        <w:rFonts w:hint="default"/>
      </w:rPr>
    </w:lvl>
    <w:lvl w:ilvl="6">
      <w:start w:val="0"/>
      <w:numFmt w:val="bullet"/>
      <w:lvlText w:val="•"/>
      <w:lvlJc w:val="left"/>
      <w:pPr>
        <w:ind w:left="5901" w:hanging="721"/>
      </w:pPr>
      <w:rPr>
        <w:rFonts w:hint="default"/>
      </w:rPr>
    </w:lvl>
    <w:lvl w:ilvl="7">
      <w:start w:val="0"/>
      <w:numFmt w:val="bullet"/>
      <w:lvlText w:val="•"/>
      <w:lvlJc w:val="left"/>
      <w:pPr>
        <w:ind w:left="6917" w:hanging="721"/>
      </w:pPr>
      <w:rPr>
        <w:rFonts w:hint="default"/>
      </w:rPr>
    </w:lvl>
    <w:lvl w:ilvl="8">
      <w:start w:val="0"/>
      <w:numFmt w:val="bullet"/>
      <w:lvlText w:val="•"/>
      <w:lvlJc w:val="left"/>
      <w:pPr>
        <w:ind w:left="7933" w:hanging="721"/>
      </w:pPr>
      <w:rPr>
        <w:rFonts w:hint="default"/>
      </w:rPr>
    </w:lvl>
  </w:abstractNum>
  <w:abstractNum w:abstractNumId="41">
    <w:multiLevelType w:val="hybridMultilevel"/>
    <w:lvl w:ilvl="0">
      <w:start w:val="1"/>
      <w:numFmt w:val="decimal"/>
      <w:lvlText w:val="%1."/>
      <w:lvlJc w:val="left"/>
      <w:pPr>
        <w:ind w:left="100" w:hanging="326"/>
        <w:jc w:val="left"/>
      </w:pPr>
      <w:rPr>
        <w:rFonts w:hint="default" w:ascii="Calibri" w:hAnsi="Calibri" w:eastAsia="Calibri" w:cs="Calibri"/>
        <w:w w:val="100"/>
        <w:sz w:val="22"/>
        <w:szCs w:val="22"/>
      </w:rPr>
    </w:lvl>
    <w:lvl w:ilvl="1">
      <w:start w:val="0"/>
      <w:numFmt w:val="bullet"/>
      <w:lvlText w:val="•"/>
      <w:lvlJc w:val="left"/>
      <w:pPr>
        <w:ind w:left="1086" w:hanging="326"/>
      </w:pPr>
      <w:rPr>
        <w:rFonts w:hint="default"/>
      </w:rPr>
    </w:lvl>
    <w:lvl w:ilvl="2">
      <w:start w:val="0"/>
      <w:numFmt w:val="bullet"/>
      <w:lvlText w:val="•"/>
      <w:lvlJc w:val="left"/>
      <w:pPr>
        <w:ind w:left="2073" w:hanging="326"/>
      </w:pPr>
      <w:rPr>
        <w:rFonts w:hint="default"/>
      </w:rPr>
    </w:lvl>
    <w:lvl w:ilvl="3">
      <w:start w:val="0"/>
      <w:numFmt w:val="bullet"/>
      <w:lvlText w:val="•"/>
      <w:lvlJc w:val="left"/>
      <w:pPr>
        <w:ind w:left="3059" w:hanging="326"/>
      </w:pPr>
      <w:rPr>
        <w:rFonts w:hint="default"/>
      </w:rPr>
    </w:lvl>
    <w:lvl w:ilvl="4">
      <w:start w:val="0"/>
      <w:numFmt w:val="bullet"/>
      <w:lvlText w:val="•"/>
      <w:lvlJc w:val="left"/>
      <w:pPr>
        <w:ind w:left="4046" w:hanging="326"/>
      </w:pPr>
      <w:rPr>
        <w:rFonts w:hint="default"/>
      </w:rPr>
    </w:lvl>
    <w:lvl w:ilvl="5">
      <w:start w:val="0"/>
      <w:numFmt w:val="bullet"/>
      <w:lvlText w:val="•"/>
      <w:lvlJc w:val="left"/>
      <w:pPr>
        <w:ind w:left="5033" w:hanging="326"/>
      </w:pPr>
      <w:rPr>
        <w:rFonts w:hint="default"/>
      </w:rPr>
    </w:lvl>
    <w:lvl w:ilvl="6">
      <w:start w:val="0"/>
      <w:numFmt w:val="bullet"/>
      <w:lvlText w:val="•"/>
      <w:lvlJc w:val="left"/>
      <w:pPr>
        <w:ind w:left="6019" w:hanging="326"/>
      </w:pPr>
      <w:rPr>
        <w:rFonts w:hint="default"/>
      </w:rPr>
    </w:lvl>
    <w:lvl w:ilvl="7">
      <w:start w:val="0"/>
      <w:numFmt w:val="bullet"/>
      <w:lvlText w:val="•"/>
      <w:lvlJc w:val="left"/>
      <w:pPr>
        <w:ind w:left="7006" w:hanging="326"/>
      </w:pPr>
      <w:rPr>
        <w:rFonts w:hint="default"/>
      </w:rPr>
    </w:lvl>
    <w:lvl w:ilvl="8">
      <w:start w:val="0"/>
      <w:numFmt w:val="bullet"/>
      <w:lvlText w:val="•"/>
      <w:lvlJc w:val="left"/>
      <w:pPr>
        <w:ind w:left="7993" w:hanging="326"/>
      </w:pPr>
      <w:rPr>
        <w:rFonts w:hint="default"/>
      </w:rPr>
    </w:lvl>
  </w:abstractNum>
  <w:abstractNum w:abstractNumId="40">
    <w:multiLevelType w:val="hybridMultilevel"/>
    <w:lvl w:ilvl="0">
      <w:start w:val="1"/>
      <w:numFmt w:val="lowerRoman"/>
      <w:lvlText w:val="%1."/>
      <w:lvlJc w:val="left"/>
      <w:pPr>
        <w:ind w:left="460" w:hanging="361"/>
        <w:jc w:val="left"/>
      </w:pPr>
      <w:rPr>
        <w:rFonts w:hint="default" w:ascii="Calibri" w:hAnsi="Calibri" w:eastAsia="Calibri" w:cs="Calibri"/>
        <w:spacing w:val="-1"/>
        <w:w w:val="100"/>
        <w:sz w:val="22"/>
        <w:szCs w:val="22"/>
      </w:rPr>
    </w:lvl>
    <w:lvl w:ilvl="1">
      <w:start w:val="0"/>
      <w:numFmt w:val="bullet"/>
      <w:lvlText w:val="•"/>
      <w:lvlJc w:val="left"/>
      <w:pPr>
        <w:ind w:left="1410" w:hanging="361"/>
      </w:pPr>
      <w:rPr>
        <w:rFonts w:hint="default"/>
      </w:rPr>
    </w:lvl>
    <w:lvl w:ilvl="2">
      <w:start w:val="0"/>
      <w:numFmt w:val="bullet"/>
      <w:lvlText w:val="•"/>
      <w:lvlJc w:val="left"/>
      <w:pPr>
        <w:ind w:left="2361" w:hanging="361"/>
      </w:pPr>
      <w:rPr>
        <w:rFonts w:hint="default"/>
      </w:rPr>
    </w:lvl>
    <w:lvl w:ilvl="3">
      <w:start w:val="0"/>
      <w:numFmt w:val="bullet"/>
      <w:lvlText w:val="•"/>
      <w:lvlJc w:val="left"/>
      <w:pPr>
        <w:ind w:left="3311" w:hanging="361"/>
      </w:pPr>
      <w:rPr>
        <w:rFonts w:hint="default"/>
      </w:rPr>
    </w:lvl>
    <w:lvl w:ilvl="4">
      <w:start w:val="0"/>
      <w:numFmt w:val="bullet"/>
      <w:lvlText w:val="•"/>
      <w:lvlJc w:val="left"/>
      <w:pPr>
        <w:ind w:left="4262" w:hanging="361"/>
      </w:pPr>
      <w:rPr>
        <w:rFonts w:hint="default"/>
      </w:rPr>
    </w:lvl>
    <w:lvl w:ilvl="5">
      <w:start w:val="0"/>
      <w:numFmt w:val="bullet"/>
      <w:lvlText w:val="•"/>
      <w:lvlJc w:val="left"/>
      <w:pPr>
        <w:ind w:left="5213" w:hanging="361"/>
      </w:pPr>
      <w:rPr>
        <w:rFonts w:hint="default"/>
      </w:rPr>
    </w:lvl>
    <w:lvl w:ilvl="6">
      <w:start w:val="0"/>
      <w:numFmt w:val="bullet"/>
      <w:lvlText w:val="•"/>
      <w:lvlJc w:val="left"/>
      <w:pPr>
        <w:ind w:left="6163" w:hanging="361"/>
      </w:pPr>
      <w:rPr>
        <w:rFonts w:hint="default"/>
      </w:rPr>
    </w:lvl>
    <w:lvl w:ilvl="7">
      <w:start w:val="0"/>
      <w:numFmt w:val="bullet"/>
      <w:lvlText w:val="•"/>
      <w:lvlJc w:val="left"/>
      <w:pPr>
        <w:ind w:left="7114" w:hanging="361"/>
      </w:pPr>
      <w:rPr>
        <w:rFonts w:hint="default"/>
      </w:rPr>
    </w:lvl>
    <w:lvl w:ilvl="8">
      <w:start w:val="0"/>
      <w:numFmt w:val="bullet"/>
      <w:lvlText w:val="•"/>
      <w:lvlJc w:val="left"/>
      <w:pPr>
        <w:ind w:left="8065" w:hanging="361"/>
      </w:pPr>
      <w:rPr>
        <w:rFonts w:hint="default"/>
      </w:rPr>
    </w:lvl>
  </w:abstractNum>
  <w:abstractNum w:abstractNumId="39">
    <w:multiLevelType w:val="hybridMultilevel"/>
    <w:lvl w:ilvl="0">
      <w:start w:val="0"/>
      <w:numFmt w:val="bullet"/>
      <w:lvlText w:val=""/>
      <w:lvlJc w:val="left"/>
      <w:pPr>
        <w:ind w:left="480" w:hanging="361"/>
      </w:pPr>
      <w:rPr>
        <w:rFonts w:hint="default" w:ascii="Symbol" w:hAnsi="Symbol" w:eastAsia="Symbol" w:cs="Symbol"/>
        <w:b/>
        <w:bCs/>
        <w:w w:val="100"/>
        <w:sz w:val="22"/>
        <w:szCs w:val="22"/>
      </w:rPr>
    </w:lvl>
    <w:lvl w:ilvl="1">
      <w:start w:val="0"/>
      <w:numFmt w:val="bullet"/>
      <w:lvlText w:val="•"/>
      <w:lvlJc w:val="left"/>
      <w:pPr>
        <w:ind w:left="1430" w:hanging="361"/>
      </w:pPr>
      <w:rPr>
        <w:rFonts w:hint="default"/>
      </w:rPr>
    </w:lvl>
    <w:lvl w:ilvl="2">
      <w:start w:val="0"/>
      <w:numFmt w:val="bullet"/>
      <w:lvlText w:val="•"/>
      <w:lvlJc w:val="left"/>
      <w:pPr>
        <w:ind w:left="2381" w:hanging="361"/>
      </w:pPr>
      <w:rPr>
        <w:rFonts w:hint="default"/>
      </w:rPr>
    </w:lvl>
    <w:lvl w:ilvl="3">
      <w:start w:val="0"/>
      <w:numFmt w:val="bullet"/>
      <w:lvlText w:val="•"/>
      <w:lvlJc w:val="left"/>
      <w:pPr>
        <w:ind w:left="3331" w:hanging="361"/>
      </w:pPr>
      <w:rPr>
        <w:rFonts w:hint="default"/>
      </w:rPr>
    </w:lvl>
    <w:lvl w:ilvl="4">
      <w:start w:val="0"/>
      <w:numFmt w:val="bullet"/>
      <w:lvlText w:val="•"/>
      <w:lvlJc w:val="left"/>
      <w:pPr>
        <w:ind w:left="4282" w:hanging="361"/>
      </w:pPr>
      <w:rPr>
        <w:rFonts w:hint="default"/>
      </w:rPr>
    </w:lvl>
    <w:lvl w:ilvl="5">
      <w:start w:val="0"/>
      <w:numFmt w:val="bullet"/>
      <w:lvlText w:val="•"/>
      <w:lvlJc w:val="left"/>
      <w:pPr>
        <w:ind w:left="5233" w:hanging="361"/>
      </w:pPr>
      <w:rPr>
        <w:rFonts w:hint="default"/>
      </w:rPr>
    </w:lvl>
    <w:lvl w:ilvl="6">
      <w:start w:val="0"/>
      <w:numFmt w:val="bullet"/>
      <w:lvlText w:val="•"/>
      <w:lvlJc w:val="left"/>
      <w:pPr>
        <w:ind w:left="6183" w:hanging="361"/>
      </w:pPr>
      <w:rPr>
        <w:rFonts w:hint="default"/>
      </w:rPr>
    </w:lvl>
    <w:lvl w:ilvl="7">
      <w:start w:val="0"/>
      <w:numFmt w:val="bullet"/>
      <w:lvlText w:val="•"/>
      <w:lvlJc w:val="left"/>
      <w:pPr>
        <w:ind w:left="7134" w:hanging="361"/>
      </w:pPr>
      <w:rPr>
        <w:rFonts w:hint="default"/>
      </w:rPr>
    </w:lvl>
    <w:lvl w:ilvl="8">
      <w:start w:val="0"/>
      <w:numFmt w:val="bullet"/>
      <w:lvlText w:val="•"/>
      <w:lvlJc w:val="left"/>
      <w:pPr>
        <w:ind w:left="8085" w:hanging="361"/>
      </w:pPr>
      <w:rPr>
        <w:rFonts w:hint="default"/>
      </w:rPr>
    </w:lvl>
  </w:abstractNum>
  <w:abstractNum w:abstractNumId="38">
    <w:multiLevelType w:val="hybridMultilevel"/>
    <w:lvl w:ilvl="0">
      <w:start w:val="0"/>
      <w:numFmt w:val="bullet"/>
      <w:lvlText w:val=""/>
      <w:lvlJc w:val="left"/>
      <w:pPr>
        <w:ind w:left="527" w:hanging="428"/>
      </w:pPr>
      <w:rPr>
        <w:rFonts w:hint="default" w:ascii="Wingdings" w:hAnsi="Wingdings" w:eastAsia="Wingdings" w:cs="Wingdings"/>
        <w:w w:val="100"/>
        <w:sz w:val="22"/>
        <w:szCs w:val="22"/>
      </w:rPr>
    </w:lvl>
    <w:lvl w:ilvl="1">
      <w:start w:val="0"/>
      <w:numFmt w:val="bullet"/>
      <w:lvlText w:val="•"/>
      <w:lvlJc w:val="left"/>
      <w:pPr>
        <w:ind w:left="1464" w:hanging="428"/>
      </w:pPr>
      <w:rPr>
        <w:rFonts w:hint="default"/>
      </w:rPr>
    </w:lvl>
    <w:lvl w:ilvl="2">
      <w:start w:val="0"/>
      <w:numFmt w:val="bullet"/>
      <w:lvlText w:val="•"/>
      <w:lvlJc w:val="left"/>
      <w:pPr>
        <w:ind w:left="2409" w:hanging="428"/>
      </w:pPr>
      <w:rPr>
        <w:rFonts w:hint="default"/>
      </w:rPr>
    </w:lvl>
    <w:lvl w:ilvl="3">
      <w:start w:val="0"/>
      <w:numFmt w:val="bullet"/>
      <w:lvlText w:val="•"/>
      <w:lvlJc w:val="left"/>
      <w:pPr>
        <w:ind w:left="3353" w:hanging="428"/>
      </w:pPr>
      <w:rPr>
        <w:rFonts w:hint="default"/>
      </w:rPr>
    </w:lvl>
    <w:lvl w:ilvl="4">
      <w:start w:val="0"/>
      <w:numFmt w:val="bullet"/>
      <w:lvlText w:val="•"/>
      <w:lvlJc w:val="left"/>
      <w:pPr>
        <w:ind w:left="4298" w:hanging="428"/>
      </w:pPr>
      <w:rPr>
        <w:rFonts w:hint="default"/>
      </w:rPr>
    </w:lvl>
    <w:lvl w:ilvl="5">
      <w:start w:val="0"/>
      <w:numFmt w:val="bullet"/>
      <w:lvlText w:val="•"/>
      <w:lvlJc w:val="left"/>
      <w:pPr>
        <w:ind w:left="5243" w:hanging="428"/>
      </w:pPr>
      <w:rPr>
        <w:rFonts w:hint="default"/>
      </w:rPr>
    </w:lvl>
    <w:lvl w:ilvl="6">
      <w:start w:val="0"/>
      <w:numFmt w:val="bullet"/>
      <w:lvlText w:val="•"/>
      <w:lvlJc w:val="left"/>
      <w:pPr>
        <w:ind w:left="6187" w:hanging="428"/>
      </w:pPr>
      <w:rPr>
        <w:rFonts w:hint="default"/>
      </w:rPr>
    </w:lvl>
    <w:lvl w:ilvl="7">
      <w:start w:val="0"/>
      <w:numFmt w:val="bullet"/>
      <w:lvlText w:val="•"/>
      <w:lvlJc w:val="left"/>
      <w:pPr>
        <w:ind w:left="7132" w:hanging="428"/>
      </w:pPr>
      <w:rPr>
        <w:rFonts w:hint="default"/>
      </w:rPr>
    </w:lvl>
    <w:lvl w:ilvl="8">
      <w:start w:val="0"/>
      <w:numFmt w:val="bullet"/>
      <w:lvlText w:val="•"/>
      <w:lvlJc w:val="left"/>
      <w:pPr>
        <w:ind w:left="8077" w:hanging="428"/>
      </w:pPr>
      <w:rPr>
        <w:rFonts w:hint="default"/>
      </w:rPr>
    </w:lvl>
  </w:abstractNum>
  <w:abstractNum w:abstractNumId="37">
    <w:multiLevelType w:val="hybridMultilevel"/>
    <w:lvl w:ilvl="0">
      <w:start w:val="3"/>
      <w:numFmt w:val="decimal"/>
      <w:lvlText w:val="%1"/>
      <w:lvlJc w:val="left"/>
      <w:pPr>
        <w:ind w:left="460" w:hanging="361"/>
        <w:jc w:val="left"/>
      </w:pPr>
      <w:rPr>
        <w:rFonts w:hint="default"/>
      </w:rPr>
    </w:lvl>
    <w:lvl w:ilvl="1">
      <w:start w:val="1"/>
      <w:numFmt w:val="decimal"/>
      <w:lvlText w:val="%1.%2"/>
      <w:lvlJc w:val="left"/>
      <w:pPr>
        <w:ind w:left="460" w:hanging="361"/>
        <w:jc w:val="left"/>
      </w:pPr>
      <w:rPr>
        <w:rFonts w:hint="default" w:ascii="Calibri" w:hAnsi="Calibri" w:eastAsia="Calibri" w:cs="Calibri"/>
        <w:spacing w:val="-1"/>
        <w:w w:val="100"/>
        <w:sz w:val="22"/>
        <w:szCs w:val="22"/>
      </w:rPr>
    </w:lvl>
    <w:lvl w:ilvl="2">
      <w:start w:val="0"/>
      <w:numFmt w:val="bullet"/>
      <w:lvlText w:val="•"/>
      <w:lvlJc w:val="left"/>
      <w:pPr>
        <w:ind w:left="2361" w:hanging="361"/>
      </w:pPr>
      <w:rPr>
        <w:rFonts w:hint="default"/>
      </w:rPr>
    </w:lvl>
    <w:lvl w:ilvl="3">
      <w:start w:val="0"/>
      <w:numFmt w:val="bullet"/>
      <w:lvlText w:val="•"/>
      <w:lvlJc w:val="left"/>
      <w:pPr>
        <w:ind w:left="3311" w:hanging="361"/>
      </w:pPr>
      <w:rPr>
        <w:rFonts w:hint="default"/>
      </w:rPr>
    </w:lvl>
    <w:lvl w:ilvl="4">
      <w:start w:val="0"/>
      <w:numFmt w:val="bullet"/>
      <w:lvlText w:val="•"/>
      <w:lvlJc w:val="left"/>
      <w:pPr>
        <w:ind w:left="4262" w:hanging="361"/>
      </w:pPr>
      <w:rPr>
        <w:rFonts w:hint="default"/>
      </w:rPr>
    </w:lvl>
    <w:lvl w:ilvl="5">
      <w:start w:val="0"/>
      <w:numFmt w:val="bullet"/>
      <w:lvlText w:val="•"/>
      <w:lvlJc w:val="left"/>
      <w:pPr>
        <w:ind w:left="5213" w:hanging="361"/>
      </w:pPr>
      <w:rPr>
        <w:rFonts w:hint="default"/>
      </w:rPr>
    </w:lvl>
    <w:lvl w:ilvl="6">
      <w:start w:val="0"/>
      <w:numFmt w:val="bullet"/>
      <w:lvlText w:val="•"/>
      <w:lvlJc w:val="left"/>
      <w:pPr>
        <w:ind w:left="6163" w:hanging="361"/>
      </w:pPr>
      <w:rPr>
        <w:rFonts w:hint="default"/>
      </w:rPr>
    </w:lvl>
    <w:lvl w:ilvl="7">
      <w:start w:val="0"/>
      <w:numFmt w:val="bullet"/>
      <w:lvlText w:val="•"/>
      <w:lvlJc w:val="left"/>
      <w:pPr>
        <w:ind w:left="7114" w:hanging="361"/>
      </w:pPr>
      <w:rPr>
        <w:rFonts w:hint="default"/>
      </w:rPr>
    </w:lvl>
    <w:lvl w:ilvl="8">
      <w:start w:val="0"/>
      <w:numFmt w:val="bullet"/>
      <w:lvlText w:val="•"/>
      <w:lvlJc w:val="left"/>
      <w:pPr>
        <w:ind w:left="8065" w:hanging="361"/>
      </w:pPr>
      <w:rPr>
        <w:rFonts w:hint="default"/>
      </w:rPr>
    </w:lvl>
  </w:abstractNum>
  <w:abstractNum w:abstractNumId="36">
    <w:multiLevelType w:val="hybridMultilevel"/>
    <w:lvl w:ilvl="0">
      <w:start w:val="2"/>
      <w:numFmt w:val="decimal"/>
      <w:lvlText w:val="%1"/>
      <w:lvlJc w:val="left"/>
      <w:pPr>
        <w:ind w:left="666" w:hanging="567"/>
        <w:jc w:val="left"/>
      </w:pPr>
      <w:rPr>
        <w:rFonts w:hint="default"/>
      </w:rPr>
    </w:lvl>
    <w:lvl w:ilvl="1">
      <w:start w:val="1"/>
      <w:numFmt w:val="decimal"/>
      <w:lvlText w:val="%1.%2"/>
      <w:lvlJc w:val="left"/>
      <w:pPr>
        <w:ind w:left="666" w:hanging="567"/>
        <w:jc w:val="left"/>
      </w:pPr>
      <w:rPr>
        <w:rFonts w:hint="default" w:ascii="Calibri" w:hAnsi="Calibri" w:eastAsia="Calibri" w:cs="Calibri"/>
        <w:spacing w:val="-1"/>
        <w:w w:val="100"/>
        <w:sz w:val="22"/>
        <w:szCs w:val="22"/>
      </w:rPr>
    </w:lvl>
    <w:lvl w:ilvl="2">
      <w:start w:val="0"/>
      <w:numFmt w:val="bullet"/>
      <w:lvlText w:val="•"/>
      <w:lvlJc w:val="left"/>
      <w:pPr>
        <w:ind w:left="2521" w:hanging="567"/>
      </w:pPr>
      <w:rPr>
        <w:rFonts w:hint="default"/>
      </w:rPr>
    </w:lvl>
    <w:lvl w:ilvl="3">
      <w:start w:val="0"/>
      <w:numFmt w:val="bullet"/>
      <w:lvlText w:val="•"/>
      <w:lvlJc w:val="left"/>
      <w:pPr>
        <w:ind w:left="3451" w:hanging="567"/>
      </w:pPr>
      <w:rPr>
        <w:rFonts w:hint="default"/>
      </w:rPr>
    </w:lvl>
    <w:lvl w:ilvl="4">
      <w:start w:val="0"/>
      <w:numFmt w:val="bullet"/>
      <w:lvlText w:val="•"/>
      <w:lvlJc w:val="left"/>
      <w:pPr>
        <w:ind w:left="4382" w:hanging="567"/>
      </w:pPr>
      <w:rPr>
        <w:rFonts w:hint="default"/>
      </w:rPr>
    </w:lvl>
    <w:lvl w:ilvl="5">
      <w:start w:val="0"/>
      <w:numFmt w:val="bullet"/>
      <w:lvlText w:val="•"/>
      <w:lvlJc w:val="left"/>
      <w:pPr>
        <w:ind w:left="5313" w:hanging="567"/>
      </w:pPr>
      <w:rPr>
        <w:rFonts w:hint="default"/>
      </w:rPr>
    </w:lvl>
    <w:lvl w:ilvl="6">
      <w:start w:val="0"/>
      <w:numFmt w:val="bullet"/>
      <w:lvlText w:val="•"/>
      <w:lvlJc w:val="left"/>
      <w:pPr>
        <w:ind w:left="6243" w:hanging="567"/>
      </w:pPr>
      <w:rPr>
        <w:rFonts w:hint="default"/>
      </w:rPr>
    </w:lvl>
    <w:lvl w:ilvl="7">
      <w:start w:val="0"/>
      <w:numFmt w:val="bullet"/>
      <w:lvlText w:val="•"/>
      <w:lvlJc w:val="left"/>
      <w:pPr>
        <w:ind w:left="7174" w:hanging="567"/>
      </w:pPr>
      <w:rPr>
        <w:rFonts w:hint="default"/>
      </w:rPr>
    </w:lvl>
    <w:lvl w:ilvl="8">
      <w:start w:val="0"/>
      <w:numFmt w:val="bullet"/>
      <w:lvlText w:val="•"/>
      <w:lvlJc w:val="left"/>
      <w:pPr>
        <w:ind w:left="8105" w:hanging="567"/>
      </w:pPr>
      <w:rPr>
        <w:rFonts w:hint="default"/>
      </w:rPr>
    </w:lvl>
  </w:abstractNum>
  <w:abstractNum w:abstractNumId="35">
    <w:multiLevelType w:val="hybridMultilevel"/>
    <w:lvl w:ilvl="0">
      <w:start w:val="1"/>
      <w:numFmt w:val="decimal"/>
      <w:lvlText w:val="%1"/>
      <w:lvlJc w:val="left"/>
      <w:pPr>
        <w:ind w:left="666" w:hanging="567"/>
        <w:jc w:val="left"/>
      </w:pPr>
      <w:rPr>
        <w:rFonts w:hint="default"/>
      </w:rPr>
    </w:lvl>
    <w:lvl w:ilvl="1">
      <w:start w:val="1"/>
      <w:numFmt w:val="decimal"/>
      <w:lvlText w:val="%1.%2"/>
      <w:lvlJc w:val="left"/>
      <w:pPr>
        <w:ind w:left="666" w:hanging="567"/>
        <w:jc w:val="left"/>
      </w:pPr>
      <w:rPr>
        <w:rFonts w:hint="default" w:ascii="Calibri" w:hAnsi="Calibri" w:eastAsia="Calibri" w:cs="Calibri"/>
        <w:spacing w:val="-1"/>
        <w:w w:val="100"/>
        <w:sz w:val="22"/>
        <w:szCs w:val="22"/>
      </w:rPr>
    </w:lvl>
    <w:lvl w:ilvl="2">
      <w:start w:val="0"/>
      <w:numFmt w:val="bullet"/>
      <w:lvlText w:val="•"/>
      <w:lvlJc w:val="left"/>
      <w:pPr>
        <w:ind w:left="2521" w:hanging="567"/>
      </w:pPr>
      <w:rPr>
        <w:rFonts w:hint="default"/>
      </w:rPr>
    </w:lvl>
    <w:lvl w:ilvl="3">
      <w:start w:val="0"/>
      <w:numFmt w:val="bullet"/>
      <w:lvlText w:val="•"/>
      <w:lvlJc w:val="left"/>
      <w:pPr>
        <w:ind w:left="3451" w:hanging="567"/>
      </w:pPr>
      <w:rPr>
        <w:rFonts w:hint="default"/>
      </w:rPr>
    </w:lvl>
    <w:lvl w:ilvl="4">
      <w:start w:val="0"/>
      <w:numFmt w:val="bullet"/>
      <w:lvlText w:val="•"/>
      <w:lvlJc w:val="left"/>
      <w:pPr>
        <w:ind w:left="4382" w:hanging="567"/>
      </w:pPr>
      <w:rPr>
        <w:rFonts w:hint="default"/>
      </w:rPr>
    </w:lvl>
    <w:lvl w:ilvl="5">
      <w:start w:val="0"/>
      <w:numFmt w:val="bullet"/>
      <w:lvlText w:val="•"/>
      <w:lvlJc w:val="left"/>
      <w:pPr>
        <w:ind w:left="5313" w:hanging="567"/>
      </w:pPr>
      <w:rPr>
        <w:rFonts w:hint="default"/>
      </w:rPr>
    </w:lvl>
    <w:lvl w:ilvl="6">
      <w:start w:val="0"/>
      <w:numFmt w:val="bullet"/>
      <w:lvlText w:val="•"/>
      <w:lvlJc w:val="left"/>
      <w:pPr>
        <w:ind w:left="6243" w:hanging="567"/>
      </w:pPr>
      <w:rPr>
        <w:rFonts w:hint="default"/>
      </w:rPr>
    </w:lvl>
    <w:lvl w:ilvl="7">
      <w:start w:val="0"/>
      <w:numFmt w:val="bullet"/>
      <w:lvlText w:val="•"/>
      <w:lvlJc w:val="left"/>
      <w:pPr>
        <w:ind w:left="7174" w:hanging="567"/>
      </w:pPr>
      <w:rPr>
        <w:rFonts w:hint="default"/>
      </w:rPr>
    </w:lvl>
    <w:lvl w:ilvl="8">
      <w:start w:val="0"/>
      <w:numFmt w:val="bullet"/>
      <w:lvlText w:val="•"/>
      <w:lvlJc w:val="left"/>
      <w:pPr>
        <w:ind w:left="8105" w:hanging="567"/>
      </w:pPr>
      <w:rPr>
        <w:rFonts w:hint="default"/>
      </w:rPr>
    </w:lvl>
  </w:abstractNum>
  <w:abstractNum w:abstractNumId="34">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33">
    <w:multiLevelType w:val="hybridMultilevel"/>
    <w:lvl w:ilvl="0">
      <w:start w:val="1"/>
      <w:numFmt w:val="decimal"/>
      <w:lvlText w:val="%1)"/>
      <w:lvlJc w:val="left"/>
      <w:pPr>
        <w:ind w:left="820" w:hanging="360"/>
        <w:jc w:val="left"/>
      </w:pPr>
      <w:rPr>
        <w:rFonts w:hint="default" w:ascii="Calibri" w:hAnsi="Calibri" w:eastAsia="Calibri" w:cs="Calibri"/>
        <w:w w:val="100"/>
        <w:sz w:val="22"/>
        <w:szCs w:val="22"/>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32">
    <w:multiLevelType w:val="hybridMultilevel"/>
    <w:lvl w:ilvl="0">
      <w:start w:val="1"/>
      <w:numFmt w:val="lowerRoman"/>
      <w:lvlText w:val="%1."/>
      <w:lvlJc w:val="left"/>
      <w:pPr>
        <w:ind w:left="460" w:hanging="361"/>
        <w:jc w:val="left"/>
      </w:pPr>
      <w:rPr>
        <w:rFonts w:hint="default" w:ascii="Calibri" w:hAnsi="Calibri" w:eastAsia="Calibri" w:cs="Calibri"/>
        <w:spacing w:val="-1"/>
        <w:w w:val="100"/>
        <w:sz w:val="22"/>
        <w:szCs w:val="22"/>
      </w:rPr>
    </w:lvl>
    <w:lvl w:ilvl="1">
      <w:start w:val="0"/>
      <w:numFmt w:val="bullet"/>
      <w:lvlText w:val="•"/>
      <w:lvlJc w:val="left"/>
      <w:pPr>
        <w:ind w:left="1410" w:hanging="361"/>
      </w:pPr>
      <w:rPr>
        <w:rFonts w:hint="default"/>
      </w:rPr>
    </w:lvl>
    <w:lvl w:ilvl="2">
      <w:start w:val="0"/>
      <w:numFmt w:val="bullet"/>
      <w:lvlText w:val="•"/>
      <w:lvlJc w:val="left"/>
      <w:pPr>
        <w:ind w:left="2361" w:hanging="361"/>
      </w:pPr>
      <w:rPr>
        <w:rFonts w:hint="default"/>
      </w:rPr>
    </w:lvl>
    <w:lvl w:ilvl="3">
      <w:start w:val="0"/>
      <w:numFmt w:val="bullet"/>
      <w:lvlText w:val="•"/>
      <w:lvlJc w:val="left"/>
      <w:pPr>
        <w:ind w:left="3311" w:hanging="361"/>
      </w:pPr>
      <w:rPr>
        <w:rFonts w:hint="default"/>
      </w:rPr>
    </w:lvl>
    <w:lvl w:ilvl="4">
      <w:start w:val="0"/>
      <w:numFmt w:val="bullet"/>
      <w:lvlText w:val="•"/>
      <w:lvlJc w:val="left"/>
      <w:pPr>
        <w:ind w:left="4262" w:hanging="361"/>
      </w:pPr>
      <w:rPr>
        <w:rFonts w:hint="default"/>
      </w:rPr>
    </w:lvl>
    <w:lvl w:ilvl="5">
      <w:start w:val="0"/>
      <w:numFmt w:val="bullet"/>
      <w:lvlText w:val="•"/>
      <w:lvlJc w:val="left"/>
      <w:pPr>
        <w:ind w:left="5213" w:hanging="361"/>
      </w:pPr>
      <w:rPr>
        <w:rFonts w:hint="default"/>
      </w:rPr>
    </w:lvl>
    <w:lvl w:ilvl="6">
      <w:start w:val="0"/>
      <w:numFmt w:val="bullet"/>
      <w:lvlText w:val="•"/>
      <w:lvlJc w:val="left"/>
      <w:pPr>
        <w:ind w:left="6163" w:hanging="361"/>
      </w:pPr>
      <w:rPr>
        <w:rFonts w:hint="default"/>
      </w:rPr>
    </w:lvl>
    <w:lvl w:ilvl="7">
      <w:start w:val="0"/>
      <w:numFmt w:val="bullet"/>
      <w:lvlText w:val="•"/>
      <w:lvlJc w:val="left"/>
      <w:pPr>
        <w:ind w:left="7114" w:hanging="361"/>
      </w:pPr>
      <w:rPr>
        <w:rFonts w:hint="default"/>
      </w:rPr>
    </w:lvl>
    <w:lvl w:ilvl="8">
      <w:start w:val="0"/>
      <w:numFmt w:val="bullet"/>
      <w:lvlText w:val="•"/>
      <w:lvlJc w:val="left"/>
      <w:pPr>
        <w:ind w:left="8065" w:hanging="361"/>
      </w:pPr>
      <w:rPr>
        <w:rFonts w:hint="default"/>
      </w:rPr>
    </w:lvl>
  </w:abstractNum>
  <w:abstractNum w:abstractNumId="31">
    <w:multiLevelType w:val="hybridMultilevel"/>
    <w:lvl w:ilvl="0">
      <w:start w:val="8"/>
      <w:numFmt w:val="decimal"/>
      <w:lvlText w:val="%1."/>
      <w:lvlJc w:val="left"/>
      <w:pPr>
        <w:ind w:left="666" w:hanging="567"/>
        <w:jc w:val="left"/>
      </w:pPr>
      <w:rPr>
        <w:rFonts w:hint="default" w:ascii="Calibri" w:hAnsi="Calibri" w:eastAsia="Calibri" w:cs="Calibri"/>
        <w:b/>
        <w:bCs/>
        <w:spacing w:val="-3"/>
        <w:w w:val="99"/>
        <w:sz w:val="24"/>
        <w:szCs w:val="24"/>
      </w:rPr>
    </w:lvl>
    <w:lvl w:ilvl="1">
      <w:start w:val="1"/>
      <w:numFmt w:val="decimal"/>
      <w:lvlText w:val="%1.%2."/>
      <w:lvlJc w:val="left"/>
      <w:pPr>
        <w:ind w:left="100" w:hanging="721"/>
        <w:jc w:val="left"/>
      </w:pPr>
      <w:rPr>
        <w:rFonts w:hint="default" w:ascii="Calibri" w:hAnsi="Calibri" w:eastAsia="Calibri" w:cs="Calibri"/>
        <w:b/>
        <w:bCs/>
        <w:spacing w:val="-2"/>
        <w:w w:val="100"/>
        <w:sz w:val="22"/>
        <w:szCs w:val="22"/>
      </w:rPr>
    </w:lvl>
    <w:lvl w:ilvl="2">
      <w:start w:val="1"/>
      <w:numFmt w:val="decimal"/>
      <w:lvlText w:val="%1.%2.%3."/>
      <w:lvlJc w:val="left"/>
      <w:pPr>
        <w:ind w:left="1002" w:hanging="903"/>
        <w:jc w:val="left"/>
      </w:pPr>
      <w:rPr>
        <w:rFonts w:hint="default" w:ascii="Calibri" w:hAnsi="Calibri" w:eastAsia="Calibri" w:cs="Calibri"/>
        <w:b/>
        <w:bCs/>
        <w:spacing w:val="-2"/>
        <w:w w:val="100"/>
        <w:sz w:val="22"/>
        <w:szCs w:val="22"/>
      </w:rPr>
    </w:lvl>
    <w:lvl w:ilvl="3">
      <w:start w:val="1"/>
      <w:numFmt w:val="lowerRoman"/>
      <w:lvlText w:val="%4."/>
      <w:lvlJc w:val="left"/>
      <w:pPr>
        <w:ind w:left="820" w:hanging="466"/>
        <w:jc w:val="right"/>
      </w:pPr>
      <w:rPr>
        <w:rFonts w:hint="default" w:ascii="Calibri" w:hAnsi="Calibri" w:eastAsia="Calibri" w:cs="Calibri"/>
        <w:spacing w:val="-1"/>
        <w:w w:val="100"/>
        <w:sz w:val="22"/>
        <w:szCs w:val="22"/>
      </w:rPr>
    </w:lvl>
    <w:lvl w:ilvl="4">
      <w:start w:val="1"/>
      <w:numFmt w:val="upperLetter"/>
      <w:lvlText w:val="%5."/>
      <w:lvlJc w:val="left"/>
      <w:pPr>
        <w:ind w:left="1540" w:hanging="411"/>
        <w:jc w:val="left"/>
      </w:pPr>
      <w:rPr>
        <w:rFonts w:hint="default" w:ascii="Calibri" w:hAnsi="Calibri" w:eastAsia="Calibri" w:cs="Calibri"/>
        <w:spacing w:val="-1"/>
        <w:w w:val="100"/>
        <w:sz w:val="22"/>
        <w:szCs w:val="22"/>
      </w:rPr>
    </w:lvl>
    <w:lvl w:ilvl="5">
      <w:start w:val="0"/>
      <w:numFmt w:val="bullet"/>
      <w:lvlText w:val="•"/>
      <w:lvlJc w:val="left"/>
      <w:pPr>
        <w:ind w:left="1540" w:hanging="411"/>
      </w:pPr>
      <w:rPr>
        <w:rFonts w:hint="default"/>
      </w:rPr>
    </w:lvl>
    <w:lvl w:ilvl="6">
      <w:start w:val="0"/>
      <w:numFmt w:val="bullet"/>
      <w:lvlText w:val="•"/>
      <w:lvlJc w:val="left"/>
      <w:pPr>
        <w:ind w:left="3225" w:hanging="411"/>
      </w:pPr>
      <w:rPr>
        <w:rFonts w:hint="default"/>
      </w:rPr>
    </w:lvl>
    <w:lvl w:ilvl="7">
      <w:start w:val="0"/>
      <w:numFmt w:val="bullet"/>
      <w:lvlText w:val="•"/>
      <w:lvlJc w:val="left"/>
      <w:pPr>
        <w:ind w:left="4910" w:hanging="411"/>
      </w:pPr>
      <w:rPr>
        <w:rFonts w:hint="default"/>
      </w:rPr>
    </w:lvl>
    <w:lvl w:ilvl="8">
      <w:start w:val="0"/>
      <w:numFmt w:val="bullet"/>
      <w:lvlText w:val="•"/>
      <w:lvlJc w:val="left"/>
      <w:pPr>
        <w:ind w:left="6595" w:hanging="411"/>
      </w:pPr>
      <w:rPr>
        <w:rFonts w:hint="default"/>
      </w:rPr>
    </w:lvl>
  </w:abstractNum>
  <w:abstractNum w:abstractNumId="30">
    <w:multiLevelType w:val="hybridMultilevel"/>
    <w:lvl w:ilvl="0">
      <w:start w:val="1"/>
      <w:numFmt w:val="decimal"/>
      <w:lvlText w:val="%1."/>
      <w:lvlJc w:val="left"/>
      <w:pPr>
        <w:ind w:left="220" w:hanging="231"/>
        <w:jc w:val="right"/>
      </w:pPr>
      <w:rPr>
        <w:rFonts w:hint="default" w:ascii="Calibri" w:hAnsi="Calibri" w:eastAsia="Calibri" w:cs="Calibri"/>
        <w:w w:val="100"/>
        <w:sz w:val="22"/>
        <w:szCs w:val="22"/>
      </w:rPr>
    </w:lvl>
    <w:lvl w:ilvl="1">
      <w:start w:val="0"/>
      <w:numFmt w:val="bullet"/>
      <w:lvlText w:val="•"/>
      <w:lvlJc w:val="left"/>
      <w:pPr>
        <w:ind w:left="1216" w:hanging="231"/>
      </w:pPr>
      <w:rPr>
        <w:rFonts w:hint="default"/>
      </w:rPr>
    </w:lvl>
    <w:lvl w:ilvl="2">
      <w:start w:val="0"/>
      <w:numFmt w:val="bullet"/>
      <w:lvlText w:val="•"/>
      <w:lvlJc w:val="left"/>
      <w:pPr>
        <w:ind w:left="2213" w:hanging="231"/>
      </w:pPr>
      <w:rPr>
        <w:rFonts w:hint="default"/>
      </w:rPr>
    </w:lvl>
    <w:lvl w:ilvl="3">
      <w:start w:val="0"/>
      <w:numFmt w:val="bullet"/>
      <w:lvlText w:val="•"/>
      <w:lvlJc w:val="left"/>
      <w:pPr>
        <w:ind w:left="3209" w:hanging="231"/>
      </w:pPr>
      <w:rPr>
        <w:rFonts w:hint="default"/>
      </w:rPr>
    </w:lvl>
    <w:lvl w:ilvl="4">
      <w:start w:val="0"/>
      <w:numFmt w:val="bullet"/>
      <w:lvlText w:val="•"/>
      <w:lvlJc w:val="left"/>
      <w:pPr>
        <w:ind w:left="4206" w:hanging="231"/>
      </w:pPr>
      <w:rPr>
        <w:rFonts w:hint="default"/>
      </w:rPr>
    </w:lvl>
    <w:lvl w:ilvl="5">
      <w:start w:val="0"/>
      <w:numFmt w:val="bullet"/>
      <w:lvlText w:val="•"/>
      <w:lvlJc w:val="left"/>
      <w:pPr>
        <w:ind w:left="5203" w:hanging="231"/>
      </w:pPr>
      <w:rPr>
        <w:rFonts w:hint="default"/>
      </w:rPr>
    </w:lvl>
    <w:lvl w:ilvl="6">
      <w:start w:val="0"/>
      <w:numFmt w:val="bullet"/>
      <w:lvlText w:val="•"/>
      <w:lvlJc w:val="left"/>
      <w:pPr>
        <w:ind w:left="6199" w:hanging="231"/>
      </w:pPr>
      <w:rPr>
        <w:rFonts w:hint="default"/>
      </w:rPr>
    </w:lvl>
    <w:lvl w:ilvl="7">
      <w:start w:val="0"/>
      <w:numFmt w:val="bullet"/>
      <w:lvlText w:val="•"/>
      <w:lvlJc w:val="left"/>
      <w:pPr>
        <w:ind w:left="7196" w:hanging="231"/>
      </w:pPr>
      <w:rPr>
        <w:rFonts w:hint="default"/>
      </w:rPr>
    </w:lvl>
    <w:lvl w:ilvl="8">
      <w:start w:val="0"/>
      <w:numFmt w:val="bullet"/>
      <w:lvlText w:val="•"/>
      <w:lvlJc w:val="left"/>
      <w:pPr>
        <w:ind w:left="8193" w:hanging="231"/>
      </w:pPr>
      <w:rPr>
        <w:rFonts w:hint="default"/>
      </w:rPr>
    </w:lvl>
  </w:abstractNum>
  <w:abstractNum w:abstractNumId="29">
    <w:multiLevelType w:val="hybridMultilevel"/>
    <w:lvl w:ilvl="0">
      <w:start w:val="4"/>
      <w:numFmt w:val="decimal"/>
      <w:lvlText w:val="%1."/>
      <w:lvlJc w:val="left"/>
      <w:pPr>
        <w:ind w:left="463" w:hanging="361"/>
        <w:jc w:val="left"/>
      </w:pPr>
      <w:rPr>
        <w:rFonts w:hint="default" w:ascii="Calibri" w:hAnsi="Calibri" w:eastAsia="Calibri" w:cs="Calibri"/>
        <w:w w:val="100"/>
        <w:sz w:val="22"/>
        <w:szCs w:val="22"/>
      </w:rPr>
    </w:lvl>
    <w:lvl w:ilvl="1">
      <w:start w:val="1"/>
      <w:numFmt w:val="decimal"/>
      <w:lvlText w:val="%1.%2."/>
      <w:lvlJc w:val="left"/>
      <w:pPr>
        <w:ind w:left="895" w:hanging="432"/>
        <w:jc w:val="left"/>
      </w:pPr>
      <w:rPr>
        <w:rFonts w:hint="default" w:ascii="Calibri" w:hAnsi="Calibri" w:eastAsia="Calibri" w:cs="Calibri"/>
        <w:spacing w:val="-1"/>
        <w:w w:val="100"/>
        <w:sz w:val="22"/>
        <w:szCs w:val="22"/>
      </w:rPr>
    </w:lvl>
    <w:lvl w:ilvl="2">
      <w:start w:val="0"/>
      <w:numFmt w:val="bullet"/>
      <w:lvlText w:val="•"/>
      <w:lvlJc w:val="left"/>
      <w:pPr>
        <w:ind w:left="1539" w:hanging="432"/>
      </w:pPr>
      <w:rPr>
        <w:rFonts w:hint="default"/>
      </w:rPr>
    </w:lvl>
    <w:lvl w:ilvl="3">
      <w:start w:val="0"/>
      <w:numFmt w:val="bullet"/>
      <w:lvlText w:val="•"/>
      <w:lvlJc w:val="left"/>
      <w:pPr>
        <w:ind w:left="2179" w:hanging="432"/>
      </w:pPr>
      <w:rPr>
        <w:rFonts w:hint="default"/>
      </w:rPr>
    </w:lvl>
    <w:lvl w:ilvl="4">
      <w:start w:val="0"/>
      <w:numFmt w:val="bullet"/>
      <w:lvlText w:val="•"/>
      <w:lvlJc w:val="left"/>
      <w:pPr>
        <w:ind w:left="2819" w:hanging="432"/>
      </w:pPr>
      <w:rPr>
        <w:rFonts w:hint="default"/>
      </w:rPr>
    </w:lvl>
    <w:lvl w:ilvl="5">
      <w:start w:val="0"/>
      <w:numFmt w:val="bullet"/>
      <w:lvlText w:val="•"/>
      <w:lvlJc w:val="left"/>
      <w:pPr>
        <w:ind w:left="3459" w:hanging="432"/>
      </w:pPr>
      <w:rPr>
        <w:rFonts w:hint="default"/>
      </w:rPr>
    </w:lvl>
    <w:lvl w:ilvl="6">
      <w:start w:val="0"/>
      <w:numFmt w:val="bullet"/>
      <w:lvlText w:val="•"/>
      <w:lvlJc w:val="left"/>
      <w:pPr>
        <w:ind w:left="4099" w:hanging="432"/>
      </w:pPr>
      <w:rPr>
        <w:rFonts w:hint="default"/>
      </w:rPr>
    </w:lvl>
    <w:lvl w:ilvl="7">
      <w:start w:val="0"/>
      <w:numFmt w:val="bullet"/>
      <w:lvlText w:val="•"/>
      <w:lvlJc w:val="left"/>
      <w:pPr>
        <w:ind w:left="4739" w:hanging="432"/>
      </w:pPr>
      <w:rPr>
        <w:rFonts w:hint="default"/>
      </w:rPr>
    </w:lvl>
    <w:lvl w:ilvl="8">
      <w:start w:val="0"/>
      <w:numFmt w:val="bullet"/>
      <w:lvlText w:val="•"/>
      <w:lvlJc w:val="left"/>
      <w:pPr>
        <w:ind w:left="5379" w:hanging="432"/>
      </w:pPr>
      <w:rPr>
        <w:rFonts w:hint="default"/>
      </w:rPr>
    </w:lvl>
  </w:abstractNum>
  <w:abstractNum w:abstractNumId="28">
    <w:multiLevelType w:val="hybridMultilevel"/>
    <w:lvl w:ilvl="0">
      <w:start w:val="0"/>
      <w:numFmt w:val="bullet"/>
      <w:lvlText w:val="•"/>
      <w:lvlJc w:val="left"/>
      <w:pPr>
        <w:ind w:left="100" w:hanging="721"/>
      </w:pPr>
      <w:rPr>
        <w:rFonts w:hint="default" w:ascii="Calibri" w:hAnsi="Calibri" w:eastAsia="Calibri" w:cs="Calibri"/>
        <w:w w:val="100"/>
        <w:sz w:val="22"/>
        <w:szCs w:val="22"/>
      </w:rPr>
    </w:lvl>
    <w:lvl w:ilvl="1">
      <w:start w:val="0"/>
      <w:numFmt w:val="bullet"/>
      <w:lvlText w:val="•"/>
      <w:lvlJc w:val="left"/>
      <w:pPr>
        <w:ind w:left="1086" w:hanging="721"/>
      </w:pPr>
      <w:rPr>
        <w:rFonts w:hint="default"/>
      </w:rPr>
    </w:lvl>
    <w:lvl w:ilvl="2">
      <w:start w:val="0"/>
      <w:numFmt w:val="bullet"/>
      <w:lvlText w:val="•"/>
      <w:lvlJc w:val="left"/>
      <w:pPr>
        <w:ind w:left="2073" w:hanging="721"/>
      </w:pPr>
      <w:rPr>
        <w:rFonts w:hint="default"/>
      </w:rPr>
    </w:lvl>
    <w:lvl w:ilvl="3">
      <w:start w:val="0"/>
      <w:numFmt w:val="bullet"/>
      <w:lvlText w:val="•"/>
      <w:lvlJc w:val="left"/>
      <w:pPr>
        <w:ind w:left="3059" w:hanging="721"/>
      </w:pPr>
      <w:rPr>
        <w:rFonts w:hint="default"/>
      </w:rPr>
    </w:lvl>
    <w:lvl w:ilvl="4">
      <w:start w:val="0"/>
      <w:numFmt w:val="bullet"/>
      <w:lvlText w:val="•"/>
      <w:lvlJc w:val="left"/>
      <w:pPr>
        <w:ind w:left="4046" w:hanging="721"/>
      </w:pPr>
      <w:rPr>
        <w:rFonts w:hint="default"/>
      </w:rPr>
    </w:lvl>
    <w:lvl w:ilvl="5">
      <w:start w:val="0"/>
      <w:numFmt w:val="bullet"/>
      <w:lvlText w:val="•"/>
      <w:lvlJc w:val="left"/>
      <w:pPr>
        <w:ind w:left="5033" w:hanging="721"/>
      </w:pPr>
      <w:rPr>
        <w:rFonts w:hint="default"/>
      </w:rPr>
    </w:lvl>
    <w:lvl w:ilvl="6">
      <w:start w:val="0"/>
      <w:numFmt w:val="bullet"/>
      <w:lvlText w:val="•"/>
      <w:lvlJc w:val="left"/>
      <w:pPr>
        <w:ind w:left="6019" w:hanging="721"/>
      </w:pPr>
      <w:rPr>
        <w:rFonts w:hint="default"/>
      </w:rPr>
    </w:lvl>
    <w:lvl w:ilvl="7">
      <w:start w:val="0"/>
      <w:numFmt w:val="bullet"/>
      <w:lvlText w:val="•"/>
      <w:lvlJc w:val="left"/>
      <w:pPr>
        <w:ind w:left="7006" w:hanging="721"/>
      </w:pPr>
      <w:rPr>
        <w:rFonts w:hint="default"/>
      </w:rPr>
    </w:lvl>
    <w:lvl w:ilvl="8">
      <w:start w:val="0"/>
      <w:numFmt w:val="bullet"/>
      <w:lvlText w:val="•"/>
      <w:lvlJc w:val="left"/>
      <w:pPr>
        <w:ind w:left="7993" w:hanging="721"/>
      </w:pPr>
      <w:rPr>
        <w:rFonts w:hint="default"/>
      </w:rPr>
    </w:lvl>
  </w:abstractNum>
  <w:abstractNum w:abstractNumId="27">
    <w:multiLevelType w:val="hybridMultilevel"/>
    <w:lvl w:ilvl="0">
      <w:start w:val="7"/>
      <w:numFmt w:val="decimal"/>
      <w:lvlText w:val="%1."/>
      <w:lvlJc w:val="left"/>
      <w:pPr>
        <w:ind w:left="666" w:hanging="567"/>
        <w:jc w:val="left"/>
      </w:pPr>
      <w:rPr>
        <w:rFonts w:hint="default" w:ascii="Calibri" w:hAnsi="Calibri" w:eastAsia="Calibri" w:cs="Calibri"/>
        <w:b/>
        <w:bCs/>
        <w:spacing w:val="-3"/>
        <w:w w:val="99"/>
        <w:sz w:val="24"/>
        <w:szCs w:val="24"/>
      </w:rPr>
    </w:lvl>
    <w:lvl w:ilvl="1">
      <w:start w:val="1"/>
      <w:numFmt w:val="decimal"/>
      <w:lvlText w:val="%1.%2."/>
      <w:lvlJc w:val="left"/>
      <w:pPr>
        <w:ind w:left="820" w:hanging="721"/>
        <w:jc w:val="right"/>
      </w:pPr>
      <w:rPr>
        <w:rFonts w:hint="default" w:ascii="Calibri" w:hAnsi="Calibri" w:eastAsia="Calibri" w:cs="Calibri"/>
        <w:b/>
        <w:bCs/>
        <w:spacing w:val="-2"/>
        <w:w w:val="100"/>
        <w:sz w:val="22"/>
        <w:szCs w:val="22"/>
      </w:rPr>
    </w:lvl>
    <w:lvl w:ilvl="2">
      <w:start w:val="0"/>
      <w:numFmt w:val="bullet"/>
      <w:lvlText w:val="•"/>
      <w:lvlJc w:val="left"/>
      <w:pPr>
        <w:ind w:left="1836" w:hanging="721"/>
      </w:pPr>
      <w:rPr>
        <w:rFonts w:hint="default"/>
      </w:rPr>
    </w:lvl>
    <w:lvl w:ilvl="3">
      <w:start w:val="0"/>
      <w:numFmt w:val="bullet"/>
      <w:lvlText w:val="•"/>
      <w:lvlJc w:val="left"/>
      <w:pPr>
        <w:ind w:left="2852" w:hanging="721"/>
      </w:pPr>
      <w:rPr>
        <w:rFonts w:hint="default"/>
      </w:rPr>
    </w:lvl>
    <w:lvl w:ilvl="4">
      <w:start w:val="0"/>
      <w:numFmt w:val="bullet"/>
      <w:lvlText w:val="•"/>
      <w:lvlJc w:val="left"/>
      <w:pPr>
        <w:ind w:left="3868" w:hanging="721"/>
      </w:pPr>
      <w:rPr>
        <w:rFonts w:hint="default"/>
      </w:rPr>
    </w:lvl>
    <w:lvl w:ilvl="5">
      <w:start w:val="0"/>
      <w:numFmt w:val="bullet"/>
      <w:lvlText w:val="•"/>
      <w:lvlJc w:val="left"/>
      <w:pPr>
        <w:ind w:left="4885" w:hanging="721"/>
      </w:pPr>
      <w:rPr>
        <w:rFonts w:hint="default"/>
      </w:rPr>
    </w:lvl>
    <w:lvl w:ilvl="6">
      <w:start w:val="0"/>
      <w:numFmt w:val="bullet"/>
      <w:lvlText w:val="•"/>
      <w:lvlJc w:val="left"/>
      <w:pPr>
        <w:ind w:left="5901" w:hanging="721"/>
      </w:pPr>
      <w:rPr>
        <w:rFonts w:hint="default"/>
      </w:rPr>
    </w:lvl>
    <w:lvl w:ilvl="7">
      <w:start w:val="0"/>
      <w:numFmt w:val="bullet"/>
      <w:lvlText w:val="•"/>
      <w:lvlJc w:val="left"/>
      <w:pPr>
        <w:ind w:left="6917" w:hanging="721"/>
      </w:pPr>
      <w:rPr>
        <w:rFonts w:hint="default"/>
      </w:rPr>
    </w:lvl>
    <w:lvl w:ilvl="8">
      <w:start w:val="0"/>
      <w:numFmt w:val="bullet"/>
      <w:lvlText w:val="•"/>
      <w:lvlJc w:val="left"/>
      <w:pPr>
        <w:ind w:left="7933" w:hanging="721"/>
      </w:pPr>
      <w:rPr>
        <w:rFonts w:hint="default"/>
      </w:rPr>
    </w:lvl>
  </w:abstractNum>
  <w:abstractNum w:abstractNumId="26">
    <w:multiLevelType w:val="hybridMultilevel"/>
    <w:lvl w:ilvl="0">
      <w:start w:val="6"/>
      <w:numFmt w:val="decimal"/>
      <w:lvlText w:val="%1"/>
      <w:lvlJc w:val="left"/>
      <w:pPr>
        <w:ind w:left="2880" w:hanging="1080"/>
        <w:jc w:val="left"/>
      </w:pPr>
      <w:rPr>
        <w:rFonts w:hint="default"/>
      </w:rPr>
    </w:lvl>
    <w:lvl w:ilvl="1">
      <w:start w:val="5"/>
      <w:numFmt w:val="decimal"/>
      <w:lvlText w:val="%1.%2"/>
      <w:lvlJc w:val="left"/>
      <w:pPr>
        <w:ind w:left="2880" w:hanging="1080"/>
        <w:jc w:val="left"/>
      </w:pPr>
      <w:rPr>
        <w:rFonts w:hint="default"/>
      </w:rPr>
    </w:lvl>
    <w:lvl w:ilvl="2">
      <w:start w:val="1"/>
      <w:numFmt w:val="decimal"/>
      <w:lvlText w:val="%1.%2.%3."/>
      <w:lvlJc w:val="left"/>
      <w:pPr>
        <w:ind w:left="2880" w:hanging="1080"/>
        <w:jc w:val="right"/>
      </w:pPr>
      <w:rPr>
        <w:rFonts w:hint="default" w:ascii="Calibri" w:hAnsi="Calibri" w:eastAsia="Calibri" w:cs="Calibri"/>
        <w:b/>
        <w:bCs/>
        <w:spacing w:val="-2"/>
        <w:w w:val="100"/>
        <w:sz w:val="22"/>
        <w:szCs w:val="22"/>
      </w:rPr>
    </w:lvl>
    <w:lvl w:ilvl="3">
      <w:start w:val="0"/>
      <w:numFmt w:val="bullet"/>
      <w:lvlText w:val="•"/>
      <w:lvlJc w:val="left"/>
      <w:pPr>
        <w:ind w:left="5047" w:hanging="1080"/>
      </w:pPr>
      <w:rPr>
        <w:rFonts w:hint="default"/>
      </w:rPr>
    </w:lvl>
    <w:lvl w:ilvl="4">
      <w:start w:val="0"/>
      <w:numFmt w:val="bullet"/>
      <w:lvlText w:val="•"/>
      <w:lvlJc w:val="left"/>
      <w:pPr>
        <w:ind w:left="5770" w:hanging="1080"/>
      </w:pPr>
      <w:rPr>
        <w:rFonts w:hint="default"/>
      </w:rPr>
    </w:lvl>
    <w:lvl w:ilvl="5">
      <w:start w:val="0"/>
      <w:numFmt w:val="bullet"/>
      <w:lvlText w:val="•"/>
      <w:lvlJc w:val="left"/>
      <w:pPr>
        <w:ind w:left="6493" w:hanging="1080"/>
      </w:pPr>
      <w:rPr>
        <w:rFonts w:hint="default"/>
      </w:rPr>
    </w:lvl>
    <w:lvl w:ilvl="6">
      <w:start w:val="0"/>
      <w:numFmt w:val="bullet"/>
      <w:lvlText w:val="•"/>
      <w:lvlJc w:val="left"/>
      <w:pPr>
        <w:ind w:left="7215" w:hanging="1080"/>
      </w:pPr>
      <w:rPr>
        <w:rFonts w:hint="default"/>
      </w:rPr>
    </w:lvl>
    <w:lvl w:ilvl="7">
      <w:start w:val="0"/>
      <w:numFmt w:val="bullet"/>
      <w:lvlText w:val="•"/>
      <w:lvlJc w:val="left"/>
      <w:pPr>
        <w:ind w:left="7938" w:hanging="1080"/>
      </w:pPr>
      <w:rPr>
        <w:rFonts w:hint="default"/>
      </w:rPr>
    </w:lvl>
    <w:lvl w:ilvl="8">
      <w:start w:val="0"/>
      <w:numFmt w:val="bullet"/>
      <w:lvlText w:val="•"/>
      <w:lvlJc w:val="left"/>
      <w:pPr>
        <w:ind w:left="8661" w:hanging="1080"/>
      </w:pPr>
      <w:rPr>
        <w:rFonts w:hint="default"/>
      </w:rPr>
    </w:lvl>
  </w:abstractNum>
  <w:abstractNum w:abstractNumId="25">
    <w:multiLevelType w:val="hybridMultilevel"/>
    <w:lvl w:ilvl="0">
      <w:start w:val="1"/>
      <w:numFmt w:val="lowerRoman"/>
      <w:lvlText w:val="%1."/>
      <w:lvlJc w:val="left"/>
      <w:pPr>
        <w:ind w:left="670" w:hanging="467"/>
        <w:jc w:val="right"/>
      </w:pPr>
      <w:rPr>
        <w:rFonts w:hint="default" w:ascii="Calibri" w:hAnsi="Calibri" w:eastAsia="Calibri" w:cs="Calibri"/>
        <w:spacing w:val="-1"/>
        <w:w w:val="100"/>
        <w:sz w:val="22"/>
        <w:szCs w:val="22"/>
      </w:rPr>
    </w:lvl>
    <w:lvl w:ilvl="1">
      <w:start w:val="0"/>
      <w:numFmt w:val="bullet"/>
      <w:lvlText w:val="•"/>
      <w:lvlJc w:val="left"/>
      <w:pPr>
        <w:ind w:left="1612" w:hanging="467"/>
      </w:pPr>
      <w:rPr>
        <w:rFonts w:hint="default"/>
      </w:rPr>
    </w:lvl>
    <w:lvl w:ilvl="2">
      <w:start w:val="0"/>
      <w:numFmt w:val="bullet"/>
      <w:lvlText w:val="•"/>
      <w:lvlJc w:val="left"/>
      <w:pPr>
        <w:ind w:left="2545" w:hanging="467"/>
      </w:pPr>
      <w:rPr>
        <w:rFonts w:hint="default"/>
      </w:rPr>
    </w:lvl>
    <w:lvl w:ilvl="3">
      <w:start w:val="0"/>
      <w:numFmt w:val="bullet"/>
      <w:lvlText w:val="•"/>
      <w:lvlJc w:val="left"/>
      <w:pPr>
        <w:ind w:left="3477" w:hanging="467"/>
      </w:pPr>
      <w:rPr>
        <w:rFonts w:hint="default"/>
      </w:rPr>
    </w:lvl>
    <w:lvl w:ilvl="4">
      <w:start w:val="0"/>
      <w:numFmt w:val="bullet"/>
      <w:lvlText w:val="•"/>
      <w:lvlJc w:val="left"/>
      <w:pPr>
        <w:ind w:left="4410" w:hanging="467"/>
      </w:pPr>
      <w:rPr>
        <w:rFonts w:hint="default"/>
      </w:rPr>
    </w:lvl>
    <w:lvl w:ilvl="5">
      <w:start w:val="0"/>
      <w:numFmt w:val="bullet"/>
      <w:lvlText w:val="•"/>
      <w:lvlJc w:val="left"/>
      <w:pPr>
        <w:ind w:left="5343" w:hanging="467"/>
      </w:pPr>
      <w:rPr>
        <w:rFonts w:hint="default"/>
      </w:rPr>
    </w:lvl>
    <w:lvl w:ilvl="6">
      <w:start w:val="0"/>
      <w:numFmt w:val="bullet"/>
      <w:lvlText w:val="•"/>
      <w:lvlJc w:val="left"/>
      <w:pPr>
        <w:ind w:left="6275" w:hanging="467"/>
      </w:pPr>
      <w:rPr>
        <w:rFonts w:hint="default"/>
      </w:rPr>
    </w:lvl>
    <w:lvl w:ilvl="7">
      <w:start w:val="0"/>
      <w:numFmt w:val="bullet"/>
      <w:lvlText w:val="•"/>
      <w:lvlJc w:val="left"/>
      <w:pPr>
        <w:ind w:left="7208" w:hanging="467"/>
      </w:pPr>
      <w:rPr>
        <w:rFonts w:hint="default"/>
      </w:rPr>
    </w:lvl>
    <w:lvl w:ilvl="8">
      <w:start w:val="0"/>
      <w:numFmt w:val="bullet"/>
      <w:lvlText w:val="•"/>
      <w:lvlJc w:val="left"/>
      <w:pPr>
        <w:ind w:left="8141" w:hanging="467"/>
      </w:pPr>
      <w:rPr>
        <w:rFonts w:hint="default"/>
      </w:rPr>
    </w:lvl>
  </w:abstractNum>
  <w:abstractNum w:abstractNumId="24">
    <w:multiLevelType w:val="hybridMultilevel"/>
    <w:lvl w:ilvl="0">
      <w:start w:val="1"/>
      <w:numFmt w:val="lowerRoman"/>
      <w:lvlText w:val="%1."/>
      <w:lvlJc w:val="left"/>
      <w:pPr>
        <w:ind w:left="630" w:hanging="467"/>
        <w:jc w:val="right"/>
      </w:pPr>
      <w:rPr>
        <w:rFonts w:hint="default" w:ascii="Calibri" w:hAnsi="Calibri" w:eastAsia="Calibri" w:cs="Calibri"/>
        <w:spacing w:val="-1"/>
        <w:w w:val="100"/>
        <w:sz w:val="22"/>
        <w:szCs w:val="22"/>
      </w:rPr>
    </w:lvl>
    <w:lvl w:ilvl="1">
      <w:start w:val="0"/>
      <w:numFmt w:val="bullet"/>
      <w:lvlText w:val=""/>
      <w:lvlJc w:val="left"/>
      <w:pPr>
        <w:ind w:left="1220" w:hanging="360"/>
      </w:pPr>
      <w:rPr>
        <w:rFonts w:hint="default" w:ascii="Symbol" w:hAnsi="Symbol" w:eastAsia="Symbol" w:cs="Symbol"/>
        <w:w w:val="100"/>
        <w:sz w:val="22"/>
        <w:szCs w:val="22"/>
      </w:rPr>
    </w:lvl>
    <w:lvl w:ilvl="2">
      <w:start w:val="0"/>
      <w:numFmt w:val="bullet"/>
      <w:lvlText w:val="•"/>
      <w:lvlJc w:val="left"/>
      <w:pPr>
        <w:ind w:left="2191" w:hanging="360"/>
      </w:pPr>
      <w:rPr>
        <w:rFonts w:hint="default"/>
      </w:rPr>
    </w:lvl>
    <w:lvl w:ilvl="3">
      <w:start w:val="0"/>
      <w:numFmt w:val="bullet"/>
      <w:lvlText w:val="•"/>
      <w:lvlJc w:val="left"/>
      <w:pPr>
        <w:ind w:left="3163" w:hanging="360"/>
      </w:pPr>
      <w:rPr>
        <w:rFonts w:hint="default"/>
      </w:rPr>
    </w:lvl>
    <w:lvl w:ilvl="4">
      <w:start w:val="0"/>
      <w:numFmt w:val="bullet"/>
      <w:lvlText w:val="•"/>
      <w:lvlJc w:val="left"/>
      <w:pPr>
        <w:ind w:left="4135" w:hanging="360"/>
      </w:pPr>
      <w:rPr>
        <w:rFonts w:hint="default"/>
      </w:rPr>
    </w:lvl>
    <w:lvl w:ilvl="5">
      <w:start w:val="0"/>
      <w:numFmt w:val="bullet"/>
      <w:lvlText w:val="•"/>
      <w:lvlJc w:val="left"/>
      <w:pPr>
        <w:ind w:left="5107" w:hanging="360"/>
      </w:pPr>
      <w:rPr>
        <w:rFonts w:hint="default"/>
      </w:rPr>
    </w:lvl>
    <w:lvl w:ilvl="6">
      <w:start w:val="0"/>
      <w:numFmt w:val="bullet"/>
      <w:lvlText w:val="•"/>
      <w:lvlJc w:val="left"/>
      <w:pPr>
        <w:ind w:left="6079" w:hanging="360"/>
      </w:pPr>
      <w:rPr>
        <w:rFonts w:hint="default"/>
      </w:rPr>
    </w:lvl>
    <w:lvl w:ilvl="7">
      <w:start w:val="0"/>
      <w:numFmt w:val="bullet"/>
      <w:lvlText w:val="•"/>
      <w:lvlJc w:val="left"/>
      <w:pPr>
        <w:ind w:left="7050" w:hanging="360"/>
      </w:pPr>
      <w:rPr>
        <w:rFonts w:hint="default"/>
      </w:rPr>
    </w:lvl>
    <w:lvl w:ilvl="8">
      <w:start w:val="0"/>
      <w:numFmt w:val="bullet"/>
      <w:lvlText w:val="•"/>
      <w:lvlJc w:val="left"/>
      <w:pPr>
        <w:ind w:left="8022" w:hanging="360"/>
      </w:pPr>
      <w:rPr>
        <w:rFonts w:hint="default"/>
      </w:rPr>
    </w:lvl>
  </w:abstractNum>
  <w:abstractNum w:abstractNumId="23">
    <w:multiLevelType w:val="hybridMultilevel"/>
    <w:lvl w:ilvl="0">
      <w:start w:val="0"/>
      <w:numFmt w:val="bullet"/>
      <w:lvlText w:val="o"/>
      <w:lvlJc w:val="left"/>
      <w:pPr>
        <w:ind w:left="1540" w:hanging="360"/>
      </w:pPr>
      <w:rPr>
        <w:rFonts w:hint="default" w:ascii="Courier New" w:hAnsi="Courier New" w:eastAsia="Courier New" w:cs="Courier New"/>
        <w:w w:val="100"/>
        <w:sz w:val="22"/>
        <w:szCs w:val="22"/>
      </w:rPr>
    </w:lvl>
    <w:lvl w:ilvl="1">
      <w:start w:val="0"/>
      <w:numFmt w:val="bullet"/>
      <w:lvlText w:val="•"/>
      <w:lvlJc w:val="left"/>
      <w:pPr>
        <w:ind w:left="2382" w:hanging="360"/>
      </w:pPr>
      <w:rPr>
        <w:rFonts w:hint="default"/>
      </w:rPr>
    </w:lvl>
    <w:lvl w:ilvl="2">
      <w:start w:val="0"/>
      <w:numFmt w:val="bullet"/>
      <w:lvlText w:val="•"/>
      <w:lvlJc w:val="left"/>
      <w:pPr>
        <w:ind w:left="3225" w:hanging="360"/>
      </w:pPr>
      <w:rPr>
        <w:rFonts w:hint="default"/>
      </w:rPr>
    </w:lvl>
    <w:lvl w:ilvl="3">
      <w:start w:val="0"/>
      <w:numFmt w:val="bullet"/>
      <w:lvlText w:val="•"/>
      <w:lvlJc w:val="left"/>
      <w:pPr>
        <w:ind w:left="4067" w:hanging="360"/>
      </w:pPr>
      <w:rPr>
        <w:rFonts w:hint="default"/>
      </w:rPr>
    </w:lvl>
    <w:lvl w:ilvl="4">
      <w:start w:val="0"/>
      <w:numFmt w:val="bullet"/>
      <w:lvlText w:val="•"/>
      <w:lvlJc w:val="left"/>
      <w:pPr>
        <w:ind w:left="4910" w:hanging="360"/>
      </w:pPr>
      <w:rPr>
        <w:rFonts w:hint="default"/>
      </w:rPr>
    </w:lvl>
    <w:lvl w:ilvl="5">
      <w:start w:val="0"/>
      <w:numFmt w:val="bullet"/>
      <w:lvlText w:val="•"/>
      <w:lvlJc w:val="left"/>
      <w:pPr>
        <w:ind w:left="5753" w:hanging="360"/>
      </w:pPr>
      <w:rPr>
        <w:rFonts w:hint="default"/>
      </w:rPr>
    </w:lvl>
    <w:lvl w:ilvl="6">
      <w:start w:val="0"/>
      <w:numFmt w:val="bullet"/>
      <w:lvlText w:val="•"/>
      <w:lvlJc w:val="left"/>
      <w:pPr>
        <w:ind w:left="6595" w:hanging="360"/>
      </w:pPr>
      <w:rPr>
        <w:rFonts w:hint="default"/>
      </w:rPr>
    </w:lvl>
    <w:lvl w:ilvl="7">
      <w:start w:val="0"/>
      <w:numFmt w:val="bullet"/>
      <w:lvlText w:val="•"/>
      <w:lvlJc w:val="left"/>
      <w:pPr>
        <w:ind w:left="7438" w:hanging="360"/>
      </w:pPr>
      <w:rPr>
        <w:rFonts w:hint="default"/>
      </w:rPr>
    </w:lvl>
    <w:lvl w:ilvl="8">
      <w:start w:val="0"/>
      <w:numFmt w:val="bullet"/>
      <w:lvlText w:val="•"/>
      <w:lvlJc w:val="left"/>
      <w:pPr>
        <w:ind w:left="8281" w:hanging="360"/>
      </w:pPr>
      <w:rPr>
        <w:rFonts w:hint="default"/>
      </w:rPr>
    </w:lvl>
  </w:abstractNum>
  <w:abstractNum w:abstractNumId="22">
    <w:multiLevelType w:val="hybridMultilevel"/>
    <w:lvl w:ilvl="0">
      <w:start w:val="0"/>
      <w:numFmt w:val="bullet"/>
      <w:lvlText w:val="o"/>
      <w:lvlJc w:val="left"/>
      <w:pPr>
        <w:ind w:left="1540" w:hanging="360"/>
      </w:pPr>
      <w:rPr>
        <w:rFonts w:hint="default" w:ascii="Courier New" w:hAnsi="Courier New" w:eastAsia="Courier New" w:cs="Courier New"/>
        <w:w w:val="100"/>
        <w:sz w:val="22"/>
        <w:szCs w:val="22"/>
      </w:rPr>
    </w:lvl>
    <w:lvl w:ilvl="1">
      <w:start w:val="0"/>
      <w:numFmt w:val="bullet"/>
      <w:lvlText w:val="•"/>
      <w:lvlJc w:val="left"/>
      <w:pPr>
        <w:ind w:left="2382" w:hanging="360"/>
      </w:pPr>
      <w:rPr>
        <w:rFonts w:hint="default"/>
      </w:rPr>
    </w:lvl>
    <w:lvl w:ilvl="2">
      <w:start w:val="0"/>
      <w:numFmt w:val="bullet"/>
      <w:lvlText w:val="•"/>
      <w:lvlJc w:val="left"/>
      <w:pPr>
        <w:ind w:left="3225" w:hanging="360"/>
      </w:pPr>
      <w:rPr>
        <w:rFonts w:hint="default"/>
      </w:rPr>
    </w:lvl>
    <w:lvl w:ilvl="3">
      <w:start w:val="0"/>
      <w:numFmt w:val="bullet"/>
      <w:lvlText w:val="•"/>
      <w:lvlJc w:val="left"/>
      <w:pPr>
        <w:ind w:left="4067" w:hanging="360"/>
      </w:pPr>
      <w:rPr>
        <w:rFonts w:hint="default"/>
      </w:rPr>
    </w:lvl>
    <w:lvl w:ilvl="4">
      <w:start w:val="0"/>
      <w:numFmt w:val="bullet"/>
      <w:lvlText w:val="•"/>
      <w:lvlJc w:val="left"/>
      <w:pPr>
        <w:ind w:left="4910" w:hanging="360"/>
      </w:pPr>
      <w:rPr>
        <w:rFonts w:hint="default"/>
      </w:rPr>
    </w:lvl>
    <w:lvl w:ilvl="5">
      <w:start w:val="0"/>
      <w:numFmt w:val="bullet"/>
      <w:lvlText w:val="•"/>
      <w:lvlJc w:val="left"/>
      <w:pPr>
        <w:ind w:left="5753" w:hanging="360"/>
      </w:pPr>
      <w:rPr>
        <w:rFonts w:hint="default"/>
      </w:rPr>
    </w:lvl>
    <w:lvl w:ilvl="6">
      <w:start w:val="0"/>
      <w:numFmt w:val="bullet"/>
      <w:lvlText w:val="•"/>
      <w:lvlJc w:val="left"/>
      <w:pPr>
        <w:ind w:left="6595" w:hanging="360"/>
      </w:pPr>
      <w:rPr>
        <w:rFonts w:hint="default"/>
      </w:rPr>
    </w:lvl>
    <w:lvl w:ilvl="7">
      <w:start w:val="0"/>
      <w:numFmt w:val="bullet"/>
      <w:lvlText w:val="•"/>
      <w:lvlJc w:val="left"/>
      <w:pPr>
        <w:ind w:left="7438" w:hanging="360"/>
      </w:pPr>
      <w:rPr>
        <w:rFonts w:hint="default"/>
      </w:rPr>
    </w:lvl>
    <w:lvl w:ilvl="8">
      <w:start w:val="0"/>
      <w:numFmt w:val="bullet"/>
      <w:lvlText w:val="•"/>
      <w:lvlJc w:val="left"/>
      <w:pPr>
        <w:ind w:left="8281" w:hanging="360"/>
      </w:pPr>
      <w:rPr>
        <w:rFonts w:hint="default"/>
      </w:rPr>
    </w:lvl>
  </w:abstractNum>
  <w:abstractNum w:abstractNumId="21">
    <w:multiLevelType w:val="hybridMultilevel"/>
    <w:lvl w:ilvl="0">
      <w:start w:val="1"/>
      <w:numFmt w:val="lowerRoman"/>
      <w:lvlText w:val="%1."/>
      <w:lvlJc w:val="left"/>
      <w:pPr>
        <w:ind w:left="837" w:hanging="466"/>
        <w:jc w:val="right"/>
      </w:pPr>
      <w:rPr>
        <w:rFonts w:hint="default" w:ascii="Calibri" w:hAnsi="Calibri" w:eastAsia="Calibri" w:cs="Calibri"/>
        <w:spacing w:val="-1"/>
        <w:w w:val="100"/>
        <w:sz w:val="22"/>
        <w:szCs w:val="22"/>
      </w:rPr>
    </w:lvl>
    <w:lvl w:ilvl="1">
      <w:start w:val="0"/>
      <w:numFmt w:val="bullet"/>
      <w:lvlText w:val=""/>
      <w:lvlJc w:val="left"/>
      <w:pPr>
        <w:ind w:left="837" w:hanging="360"/>
      </w:pPr>
      <w:rPr>
        <w:rFonts w:hint="default" w:ascii="Symbol" w:hAnsi="Symbol" w:eastAsia="Symbol" w:cs="Symbol"/>
        <w:w w:val="100"/>
        <w:sz w:val="22"/>
        <w:szCs w:val="22"/>
      </w:rPr>
    </w:lvl>
    <w:lvl w:ilvl="2">
      <w:start w:val="0"/>
      <w:numFmt w:val="bullet"/>
      <w:lvlText w:val=""/>
      <w:lvlJc w:val="left"/>
      <w:pPr>
        <w:ind w:left="1197" w:hanging="360"/>
      </w:pPr>
      <w:rPr>
        <w:rFonts w:hint="default" w:ascii="Symbol" w:hAnsi="Symbol" w:eastAsia="Symbol" w:cs="Symbol"/>
        <w:w w:val="100"/>
        <w:sz w:val="22"/>
        <w:szCs w:val="22"/>
      </w:rPr>
    </w:lvl>
    <w:lvl w:ilvl="3">
      <w:start w:val="0"/>
      <w:numFmt w:val="bullet"/>
      <w:lvlText w:val="•"/>
      <w:lvlJc w:val="left"/>
      <w:pPr>
        <w:ind w:left="2295" w:hanging="360"/>
      </w:pPr>
      <w:rPr>
        <w:rFonts w:hint="default"/>
      </w:rPr>
    </w:lvl>
    <w:lvl w:ilvl="4">
      <w:start w:val="0"/>
      <w:numFmt w:val="bullet"/>
      <w:lvlText w:val="•"/>
      <w:lvlJc w:val="left"/>
      <w:pPr>
        <w:ind w:left="3391" w:hanging="360"/>
      </w:pPr>
      <w:rPr>
        <w:rFonts w:hint="default"/>
      </w:rPr>
    </w:lvl>
    <w:lvl w:ilvl="5">
      <w:start w:val="0"/>
      <w:numFmt w:val="bullet"/>
      <w:lvlText w:val="•"/>
      <w:lvlJc w:val="left"/>
      <w:pPr>
        <w:ind w:left="4487" w:hanging="360"/>
      </w:pPr>
      <w:rPr>
        <w:rFonts w:hint="default"/>
      </w:rPr>
    </w:lvl>
    <w:lvl w:ilvl="6">
      <w:start w:val="0"/>
      <w:numFmt w:val="bullet"/>
      <w:lvlText w:val="•"/>
      <w:lvlJc w:val="left"/>
      <w:pPr>
        <w:ind w:left="5583" w:hanging="360"/>
      </w:pPr>
      <w:rPr>
        <w:rFonts w:hint="default"/>
      </w:rPr>
    </w:lvl>
    <w:lvl w:ilvl="7">
      <w:start w:val="0"/>
      <w:numFmt w:val="bullet"/>
      <w:lvlText w:val="•"/>
      <w:lvlJc w:val="left"/>
      <w:pPr>
        <w:ind w:left="6679" w:hanging="360"/>
      </w:pPr>
      <w:rPr>
        <w:rFonts w:hint="default"/>
      </w:rPr>
    </w:lvl>
    <w:lvl w:ilvl="8">
      <w:start w:val="0"/>
      <w:numFmt w:val="bullet"/>
      <w:lvlText w:val="•"/>
      <w:lvlJc w:val="left"/>
      <w:pPr>
        <w:ind w:left="7774" w:hanging="360"/>
      </w:pPr>
      <w:rPr>
        <w:rFonts w:hint="default"/>
      </w:rPr>
    </w:lvl>
  </w:abstractNum>
  <w:abstractNum w:abstractNumId="20">
    <w:multiLevelType w:val="hybridMultilevel"/>
    <w:lvl w:ilvl="0">
      <w:start w:val="1"/>
      <w:numFmt w:val="lowerRoman"/>
      <w:lvlText w:val="%1."/>
      <w:lvlJc w:val="left"/>
      <w:pPr>
        <w:ind w:left="837" w:hanging="466"/>
        <w:jc w:val="right"/>
      </w:pPr>
      <w:rPr>
        <w:rFonts w:hint="default" w:ascii="Calibri" w:hAnsi="Calibri" w:eastAsia="Calibri" w:cs="Calibri"/>
        <w:spacing w:val="-1"/>
        <w:w w:val="100"/>
        <w:sz w:val="22"/>
        <w:szCs w:val="22"/>
      </w:rPr>
    </w:lvl>
    <w:lvl w:ilvl="1">
      <w:start w:val="0"/>
      <w:numFmt w:val="bullet"/>
      <w:lvlText w:val="•"/>
      <w:lvlJc w:val="left"/>
      <w:pPr>
        <w:ind w:left="1752" w:hanging="466"/>
      </w:pPr>
      <w:rPr>
        <w:rFonts w:hint="default"/>
      </w:rPr>
    </w:lvl>
    <w:lvl w:ilvl="2">
      <w:start w:val="0"/>
      <w:numFmt w:val="bullet"/>
      <w:lvlText w:val="•"/>
      <w:lvlJc w:val="left"/>
      <w:pPr>
        <w:ind w:left="2665" w:hanging="466"/>
      </w:pPr>
      <w:rPr>
        <w:rFonts w:hint="default"/>
      </w:rPr>
    </w:lvl>
    <w:lvl w:ilvl="3">
      <w:start w:val="0"/>
      <w:numFmt w:val="bullet"/>
      <w:lvlText w:val="•"/>
      <w:lvlJc w:val="left"/>
      <w:pPr>
        <w:ind w:left="3577" w:hanging="466"/>
      </w:pPr>
      <w:rPr>
        <w:rFonts w:hint="default"/>
      </w:rPr>
    </w:lvl>
    <w:lvl w:ilvl="4">
      <w:start w:val="0"/>
      <w:numFmt w:val="bullet"/>
      <w:lvlText w:val="•"/>
      <w:lvlJc w:val="left"/>
      <w:pPr>
        <w:ind w:left="4490" w:hanging="466"/>
      </w:pPr>
      <w:rPr>
        <w:rFonts w:hint="default"/>
      </w:rPr>
    </w:lvl>
    <w:lvl w:ilvl="5">
      <w:start w:val="0"/>
      <w:numFmt w:val="bullet"/>
      <w:lvlText w:val="•"/>
      <w:lvlJc w:val="left"/>
      <w:pPr>
        <w:ind w:left="5403" w:hanging="466"/>
      </w:pPr>
      <w:rPr>
        <w:rFonts w:hint="default"/>
      </w:rPr>
    </w:lvl>
    <w:lvl w:ilvl="6">
      <w:start w:val="0"/>
      <w:numFmt w:val="bullet"/>
      <w:lvlText w:val="•"/>
      <w:lvlJc w:val="left"/>
      <w:pPr>
        <w:ind w:left="6315" w:hanging="466"/>
      </w:pPr>
      <w:rPr>
        <w:rFonts w:hint="default"/>
      </w:rPr>
    </w:lvl>
    <w:lvl w:ilvl="7">
      <w:start w:val="0"/>
      <w:numFmt w:val="bullet"/>
      <w:lvlText w:val="•"/>
      <w:lvlJc w:val="left"/>
      <w:pPr>
        <w:ind w:left="7228" w:hanging="466"/>
      </w:pPr>
      <w:rPr>
        <w:rFonts w:hint="default"/>
      </w:rPr>
    </w:lvl>
    <w:lvl w:ilvl="8">
      <w:start w:val="0"/>
      <w:numFmt w:val="bullet"/>
      <w:lvlText w:val="•"/>
      <w:lvlJc w:val="left"/>
      <w:pPr>
        <w:ind w:left="8141" w:hanging="466"/>
      </w:pPr>
      <w:rPr>
        <w:rFonts w:hint="default"/>
      </w:rPr>
    </w:lvl>
  </w:abstractNum>
  <w:abstractNum w:abstractNumId="19">
    <w:multiLevelType w:val="hybridMultilevel"/>
    <w:lvl w:ilvl="0">
      <w:start w:val="0"/>
      <w:numFmt w:val="bullet"/>
      <w:lvlText w:val=""/>
      <w:lvlJc w:val="left"/>
      <w:pPr>
        <w:ind w:left="527" w:hanging="428"/>
      </w:pPr>
      <w:rPr>
        <w:rFonts w:hint="default" w:ascii="Symbol" w:hAnsi="Symbol" w:eastAsia="Symbol" w:cs="Symbol"/>
        <w:w w:val="100"/>
        <w:sz w:val="22"/>
        <w:szCs w:val="22"/>
      </w:rPr>
    </w:lvl>
    <w:lvl w:ilvl="1">
      <w:start w:val="0"/>
      <w:numFmt w:val="bullet"/>
      <w:lvlText w:val="•"/>
      <w:lvlJc w:val="left"/>
      <w:pPr>
        <w:ind w:left="1464" w:hanging="428"/>
      </w:pPr>
      <w:rPr>
        <w:rFonts w:hint="default"/>
      </w:rPr>
    </w:lvl>
    <w:lvl w:ilvl="2">
      <w:start w:val="0"/>
      <w:numFmt w:val="bullet"/>
      <w:lvlText w:val="•"/>
      <w:lvlJc w:val="left"/>
      <w:pPr>
        <w:ind w:left="2409" w:hanging="428"/>
      </w:pPr>
      <w:rPr>
        <w:rFonts w:hint="default"/>
      </w:rPr>
    </w:lvl>
    <w:lvl w:ilvl="3">
      <w:start w:val="0"/>
      <w:numFmt w:val="bullet"/>
      <w:lvlText w:val="•"/>
      <w:lvlJc w:val="left"/>
      <w:pPr>
        <w:ind w:left="3353" w:hanging="428"/>
      </w:pPr>
      <w:rPr>
        <w:rFonts w:hint="default"/>
      </w:rPr>
    </w:lvl>
    <w:lvl w:ilvl="4">
      <w:start w:val="0"/>
      <w:numFmt w:val="bullet"/>
      <w:lvlText w:val="•"/>
      <w:lvlJc w:val="left"/>
      <w:pPr>
        <w:ind w:left="4298" w:hanging="428"/>
      </w:pPr>
      <w:rPr>
        <w:rFonts w:hint="default"/>
      </w:rPr>
    </w:lvl>
    <w:lvl w:ilvl="5">
      <w:start w:val="0"/>
      <w:numFmt w:val="bullet"/>
      <w:lvlText w:val="•"/>
      <w:lvlJc w:val="left"/>
      <w:pPr>
        <w:ind w:left="5243" w:hanging="428"/>
      </w:pPr>
      <w:rPr>
        <w:rFonts w:hint="default"/>
      </w:rPr>
    </w:lvl>
    <w:lvl w:ilvl="6">
      <w:start w:val="0"/>
      <w:numFmt w:val="bullet"/>
      <w:lvlText w:val="•"/>
      <w:lvlJc w:val="left"/>
      <w:pPr>
        <w:ind w:left="6187" w:hanging="428"/>
      </w:pPr>
      <w:rPr>
        <w:rFonts w:hint="default"/>
      </w:rPr>
    </w:lvl>
    <w:lvl w:ilvl="7">
      <w:start w:val="0"/>
      <w:numFmt w:val="bullet"/>
      <w:lvlText w:val="•"/>
      <w:lvlJc w:val="left"/>
      <w:pPr>
        <w:ind w:left="7132" w:hanging="428"/>
      </w:pPr>
      <w:rPr>
        <w:rFonts w:hint="default"/>
      </w:rPr>
    </w:lvl>
    <w:lvl w:ilvl="8">
      <w:start w:val="0"/>
      <w:numFmt w:val="bullet"/>
      <w:lvlText w:val="•"/>
      <w:lvlJc w:val="left"/>
      <w:pPr>
        <w:ind w:left="8077" w:hanging="428"/>
      </w:pPr>
      <w:rPr>
        <w:rFonts w:hint="default"/>
      </w:rPr>
    </w:lvl>
  </w:abstractNum>
  <w:abstractNum w:abstractNumId="18">
    <w:multiLevelType w:val="hybridMultilevel"/>
    <w:lvl w:ilvl="0">
      <w:start w:val="0"/>
      <w:numFmt w:val="bullet"/>
      <w:lvlText w:val=""/>
      <w:lvlJc w:val="left"/>
      <w:pPr>
        <w:ind w:left="383" w:hanging="284"/>
      </w:pPr>
      <w:rPr>
        <w:rFonts w:hint="default"/>
        <w:w w:val="100"/>
      </w:rPr>
    </w:lvl>
    <w:lvl w:ilvl="1">
      <w:start w:val="0"/>
      <w:numFmt w:val="bullet"/>
      <w:lvlText w:val=""/>
      <w:lvlJc w:val="left"/>
      <w:pPr>
        <w:ind w:left="1020" w:hanging="541"/>
      </w:pPr>
      <w:rPr>
        <w:rFonts w:hint="default"/>
        <w:w w:val="100"/>
      </w:rPr>
    </w:lvl>
    <w:lvl w:ilvl="2">
      <w:start w:val="0"/>
      <w:numFmt w:val="bullet"/>
      <w:lvlText w:val="•"/>
      <w:lvlJc w:val="left"/>
      <w:pPr>
        <w:ind w:left="820" w:hanging="541"/>
      </w:pPr>
      <w:rPr>
        <w:rFonts w:hint="default"/>
      </w:rPr>
    </w:lvl>
    <w:lvl w:ilvl="3">
      <w:start w:val="0"/>
      <w:numFmt w:val="bullet"/>
      <w:lvlText w:val="•"/>
      <w:lvlJc w:val="left"/>
      <w:pPr>
        <w:ind w:left="1020" w:hanging="541"/>
      </w:pPr>
      <w:rPr>
        <w:rFonts w:hint="default"/>
      </w:rPr>
    </w:lvl>
    <w:lvl w:ilvl="4">
      <w:start w:val="0"/>
      <w:numFmt w:val="bullet"/>
      <w:lvlText w:val="•"/>
      <w:lvlJc w:val="left"/>
      <w:pPr>
        <w:ind w:left="2298" w:hanging="541"/>
      </w:pPr>
      <w:rPr>
        <w:rFonts w:hint="default"/>
      </w:rPr>
    </w:lvl>
    <w:lvl w:ilvl="5">
      <w:start w:val="0"/>
      <w:numFmt w:val="bullet"/>
      <w:lvlText w:val="•"/>
      <w:lvlJc w:val="left"/>
      <w:pPr>
        <w:ind w:left="3576" w:hanging="541"/>
      </w:pPr>
      <w:rPr>
        <w:rFonts w:hint="default"/>
      </w:rPr>
    </w:lvl>
    <w:lvl w:ilvl="6">
      <w:start w:val="0"/>
      <w:numFmt w:val="bullet"/>
      <w:lvlText w:val="•"/>
      <w:lvlJc w:val="left"/>
      <w:pPr>
        <w:ind w:left="4854" w:hanging="541"/>
      </w:pPr>
      <w:rPr>
        <w:rFonts w:hint="default"/>
      </w:rPr>
    </w:lvl>
    <w:lvl w:ilvl="7">
      <w:start w:val="0"/>
      <w:numFmt w:val="bullet"/>
      <w:lvlText w:val="•"/>
      <w:lvlJc w:val="left"/>
      <w:pPr>
        <w:ind w:left="6132" w:hanging="541"/>
      </w:pPr>
      <w:rPr>
        <w:rFonts w:hint="default"/>
      </w:rPr>
    </w:lvl>
    <w:lvl w:ilvl="8">
      <w:start w:val="0"/>
      <w:numFmt w:val="bullet"/>
      <w:lvlText w:val="•"/>
      <w:lvlJc w:val="left"/>
      <w:pPr>
        <w:ind w:left="7410" w:hanging="541"/>
      </w:pPr>
      <w:rPr>
        <w:rFonts w:hint="default"/>
      </w:rPr>
    </w:lvl>
  </w:abstractNum>
  <w:abstractNum w:abstractNumId="17">
    <w:multiLevelType w:val="hybridMultilevel"/>
    <w:lvl w:ilvl="0">
      <w:start w:val="1"/>
      <w:numFmt w:val="decimal"/>
      <w:lvlText w:val="%1."/>
      <w:lvlJc w:val="left"/>
      <w:pPr>
        <w:ind w:left="813" w:hanging="356"/>
        <w:jc w:val="left"/>
      </w:pPr>
      <w:rPr>
        <w:rFonts w:hint="default" w:ascii="Calibri" w:hAnsi="Calibri" w:eastAsia="Calibri" w:cs="Calibri"/>
        <w:w w:val="100"/>
        <w:sz w:val="22"/>
        <w:szCs w:val="22"/>
      </w:rPr>
    </w:lvl>
    <w:lvl w:ilvl="1">
      <w:start w:val="0"/>
      <w:numFmt w:val="bullet"/>
      <w:lvlText w:val="•"/>
      <w:lvlJc w:val="left"/>
      <w:pPr>
        <w:ind w:left="1734" w:hanging="356"/>
      </w:pPr>
      <w:rPr>
        <w:rFonts w:hint="default"/>
      </w:rPr>
    </w:lvl>
    <w:lvl w:ilvl="2">
      <w:start w:val="0"/>
      <w:numFmt w:val="bullet"/>
      <w:lvlText w:val="•"/>
      <w:lvlJc w:val="left"/>
      <w:pPr>
        <w:ind w:left="2649" w:hanging="356"/>
      </w:pPr>
      <w:rPr>
        <w:rFonts w:hint="default"/>
      </w:rPr>
    </w:lvl>
    <w:lvl w:ilvl="3">
      <w:start w:val="0"/>
      <w:numFmt w:val="bullet"/>
      <w:lvlText w:val="•"/>
      <w:lvlJc w:val="left"/>
      <w:pPr>
        <w:ind w:left="3563" w:hanging="356"/>
      </w:pPr>
      <w:rPr>
        <w:rFonts w:hint="default"/>
      </w:rPr>
    </w:lvl>
    <w:lvl w:ilvl="4">
      <w:start w:val="0"/>
      <w:numFmt w:val="bullet"/>
      <w:lvlText w:val="•"/>
      <w:lvlJc w:val="left"/>
      <w:pPr>
        <w:ind w:left="4478" w:hanging="356"/>
      </w:pPr>
      <w:rPr>
        <w:rFonts w:hint="default"/>
      </w:rPr>
    </w:lvl>
    <w:lvl w:ilvl="5">
      <w:start w:val="0"/>
      <w:numFmt w:val="bullet"/>
      <w:lvlText w:val="•"/>
      <w:lvlJc w:val="left"/>
      <w:pPr>
        <w:ind w:left="5393" w:hanging="356"/>
      </w:pPr>
      <w:rPr>
        <w:rFonts w:hint="default"/>
      </w:rPr>
    </w:lvl>
    <w:lvl w:ilvl="6">
      <w:start w:val="0"/>
      <w:numFmt w:val="bullet"/>
      <w:lvlText w:val="•"/>
      <w:lvlJc w:val="left"/>
      <w:pPr>
        <w:ind w:left="6307" w:hanging="356"/>
      </w:pPr>
      <w:rPr>
        <w:rFonts w:hint="default"/>
      </w:rPr>
    </w:lvl>
    <w:lvl w:ilvl="7">
      <w:start w:val="0"/>
      <w:numFmt w:val="bullet"/>
      <w:lvlText w:val="•"/>
      <w:lvlJc w:val="left"/>
      <w:pPr>
        <w:ind w:left="7222" w:hanging="356"/>
      </w:pPr>
      <w:rPr>
        <w:rFonts w:hint="default"/>
      </w:rPr>
    </w:lvl>
    <w:lvl w:ilvl="8">
      <w:start w:val="0"/>
      <w:numFmt w:val="bullet"/>
      <w:lvlText w:val="•"/>
      <w:lvlJc w:val="left"/>
      <w:pPr>
        <w:ind w:left="8137" w:hanging="356"/>
      </w:pPr>
      <w:rPr>
        <w:rFonts w:hint="default"/>
      </w:rPr>
    </w:lvl>
  </w:abstractNum>
  <w:abstractNum w:abstractNumId="16">
    <w:multiLevelType w:val="hybridMultilevel"/>
    <w:lvl w:ilvl="0">
      <w:start w:val="1"/>
      <w:numFmt w:val="lowerRoman"/>
      <w:lvlText w:val="%1."/>
      <w:lvlJc w:val="left"/>
      <w:pPr>
        <w:ind w:left="762" w:hanging="248"/>
        <w:jc w:val="right"/>
      </w:pPr>
      <w:rPr>
        <w:rFonts w:hint="default" w:ascii="Calibri" w:hAnsi="Calibri" w:eastAsia="Calibri" w:cs="Calibri"/>
        <w:spacing w:val="-1"/>
        <w:w w:val="100"/>
        <w:sz w:val="22"/>
        <w:szCs w:val="22"/>
      </w:rPr>
    </w:lvl>
    <w:lvl w:ilvl="1">
      <w:start w:val="0"/>
      <w:numFmt w:val="bullet"/>
      <w:lvlText w:val="•"/>
      <w:lvlJc w:val="left"/>
      <w:pPr>
        <w:ind w:left="1680" w:hanging="248"/>
      </w:pPr>
      <w:rPr>
        <w:rFonts w:hint="default"/>
      </w:rPr>
    </w:lvl>
    <w:lvl w:ilvl="2">
      <w:start w:val="0"/>
      <w:numFmt w:val="bullet"/>
      <w:lvlText w:val="•"/>
      <w:lvlJc w:val="left"/>
      <w:pPr>
        <w:ind w:left="2601" w:hanging="248"/>
      </w:pPr>
      <w:rPr>
        <w:rFonts w:hint="default"/>
      </w:rPr>
    </w:lvl>
    <w:lvl w:ilvl="3">
      <w:start w:val="0"/>
      <w:numFmt w:val="bullet"/>
      <w:lvlText w:val="•"/>
      <w:lvlJc w:val="left"/>
      <w:pPr>
        <w:ind w:left="3521" w:hanging="248"/>
      </w:pPr>
      <w:rPr>
        <w:rFonts w:hint="default"/>
      </w:rPr>
    </w:lvl>
    <w:lvl w:ilvl="4">
      <w:start w:val="0"/>
      <w:numFmt w:val="bullet"/>
      <w:lvlText w:val="•"/>
      <w:lvlJc w:val="left"/>
      <w:pPr>
        <w:ind w:left="4442" w:hanging="248"/>
      </w:pPr>
      <w:rPr>
        <w:rFonts w:hint="default"/>
      </w:rPr>
    </w:lvl>
    <w:lvl w:ilvl="5">
      <w:start w:val="0"/>
      <w:numFmt w:val="bullet"/>
      <w:lvlText w:val="•"/>
      <w:lvlJc w:val="left"/>
      <w:pPr>
        <w:ind w:left="5363" w:hanging="248"/>
      </w:pPr>
      <w:rPr>
        <w:rFonts w:hint="default"/>
      </w:rPr>
    </w:lvl>
    <w:lvl w:ilvl="6">
      <w:start w:val="0"/>
      <w:numFmt w:val="bullet"/>
      <w:lvlText w:val="•"/>
      <w:lvlJc w:val="left"/>
      <w:pPr>
        <w:ind w:left="6283" w:hanging="248"/>
      </w:pPr>
      <w:rPr>
        <w:rFonts w:hint="default"/>
      </w:rPr>
    </w:lvl>
    <w:lvl w:ilvl="7">
      <w:start w:val="0"/>
      <w:numFmt w:val="bullet"/>
      <w:lvlText w:val="•"/>
      <w:lvlJc w:val="left"/>
      <w:pPr>
        <w:ind w:left="7204" w:hanging="248"/>
      </w:pPr>
      <w:rPr>
        <w:rFonts w:hint="default"/>
      </w:rPr>
    </w:lvl>
    <w:lvl w:ilvl="8">
      <w:start w:val="0"/>
      <w:numFmt w:val="bullet"/>
      <w:lvlText w:val="•"/>
      <w:lvlJc w:val="left"/>
      <w:pPr>
        <w:ind w:left="8125" w:hanging="248"/>
      </w:pPr>
      <w:rPr>
        <w:rFonts w:hint="default"/>
      </w:rPr>
    </w:lvl>
  </w:abstractNum>
  <w:abstractNum w:abstractNumId="15">
    <w:multiLevelType w:val="hybridMultilevel"/>
    <w:lvl w:ilvl="0">
      <w:start w:val="6"/>
      <w:numFmt w:val="decimal"/>
      <w:lvlText w:val="%1"/>
      <w:lvlJc w:val="left"/>
      <w:pPr>
        <w:ind w:left="820" w:hanging="721"/>
        <w:jc w:val="left"/>
      </w:pPr>
      <w:rPr>
        <w:rFonts w:hint="default"/>
      </w:rPr>
    </w:lvl>
    <w:lvl w:ilvl="1">
      <w:start w:val="1"/>
      <w:numFmt w:val="decimal"/>
      <w:lvlText w:val="%1.%2."/>
      <w:lvlJc w:val="left"/>
      <w:pPr>
        <w:ind w:left="820" w:hanging="721"/>
        <w:jc w:val="right"/>
      </w:pPr>
      <w:rPr>
        <w:rFonts w:hint="default" w:ascii="Calibri" w:hAnsi="Calibri" w:eastAsia="Calibri" w:cs="Calibri"/>
        <w:b/>
        <w:bCs/>
        <w:spacing w:val="-2"/>
        <w:w w:val="100"/>
        <w:sz w:val="22"/>
        <w:szCs w:val="22"/>
      </w:rPr>
    </w:lvl>
    <w:lvl w:ilvl="2">
      <w:start w:val="0"/>
      <w:numFmt w:val="bullet"/>
      <w:lvlText w:val=""/>
      <w:lvlJc w:val="left"/>
      <w:pPr>
        <w:ind w:left="820" w:hanging="356"/>
      </w:pPr>
      <w:rPr>
        <w:rFonts w:hint="default" w:ascii="Symbol" w:hAnsi="Symbol" w:eastAsia="Symbol" w:cs="Symbol"/>
        <w:w w:val="100"/>
        <w:sz w:val="22"/>
        <w:szCs w:val="22"/>
      </w:rPr>
    </w:lvl>
    <w:lvl w:ilvl="3">
      <w:start w:val="0"/>
      <w:numFmt w:val="bullet"/>
      <w:lvlText w:val="•"/>
      <w:lvlJc w:val="left"/>
      <w:pPr>
        <w:ind w:left="3563" w:hanging="356"/>
      </w:pPr>
      <w:rPr>
        <w:rFonts w:hint="default"/>
      </w:rPr>
    </w:lvl>
    <w:lvl w:ilvl="4">
      <w:start w:val="0"/>
      <w:numFmt w:val="bullet"/>
      <w:lvlText w:val="•"/>
      <w:lvlJc w:val="left"/>
      <w:pPr>
        <w:ind w:left="4478" w:hanging="356"/>
      </w:pPr>
      <w:rPr>
        <w:rFonts w:hint="default"/>
      </w:rPr>
    </w:lvl>
    <w:lvl w:ilvl="5">
      <w:start w:val="0"/>
      <w:numFmt w:val="bullet"/>
      <w:lvlText w:val="•"/>
      <w:lvlJc w:val="left"/>
      <w:pPr>
        <w:ind w:left="5393" w:hanging="356"/>
      </w:pPr>
      <w:rPr>
        <w:rFonts w:hint="default"/>
      </w:rPr>
    </w:lvl>
    <w:lvl w:ilvl="6">
      <w:start w:val="0"/>
      <w:numFmt w:val="bullet"/>
      <w:lvlText w:val="•"/>
      <w:lvlJc w:val="left"/>
      <w:pPr>
        <w:ind w:left="6307" w:hanging="356"/>
      </w:pPr>
      <w:rPr>
        <w:rFonts w:hint="default"/>
      </w:rPr>
    </w:lvl>
    <w:lvl w:ilvl="7">
      <w:start w:val="0"/>
      <w:numFmt w:val="bullet"/>
      <w:lvlText w:val="•"/>
      <w:lvlJc w:val="left"/>
      <w:pPr>
        <w:ind w:left="7222" w:hanging="356"/>
      </w:pPr>
      <w:rPr>
        <w:rFonts w:hint="default"/>
      </w:rPr>
    </w:lvl>
    <w:lvl w:ilvl="8">
      <w:start w:val="0"/>
      <w:numFmt w:val="bullet"/>
      <w:lvlText w:val="•"/>
      <w:lvlJc w:val="left"/>
      <w:pPr>
        <w:ind w:left="8137" w:hanging="356"/>
      </w:pPr>
      <w:rPr>
        <w:rFonts w:hint="default"/>
      </w:rPr>
    </w:lvl>
  </w:abstractNum>
  <w:abstractNum w:abstractNumId="14">
    <w:multiLevelType w:val="hybridMultilevel"/>
    <w:lvl w:ilvl="0">
      <w:start w:val="1"/>
      <w:numFmt w:val="lowerRoman"/>
      <w:lvlText w:val="%1)"/>
      <w:lvlJc w:val="left"/>
      <w:pPr>
        <w:ind w:left="100" w:hanging="212"/>
        <w:jc w:val="left"/>
      </w:pPr>
      <w:rPr>
        <w:rFonts w:hint="default" w:ascii="Calibri" w:hAnsi="Calibri" w:eastAsia="Calibri" w:cs="Calibri"/>
        <w:w w:val="100"/>
        <w:sz w:val="22"/>
        <w:szCs w:val="22"/>
      </w:rPr>
    </w:lvl>
    <w:lvl w:ilvl="1">
      <w:start w:val="0"/>
      <w:numFmt w:val="bullet"/>
      <w:lvlText w:val="•"/>
      <w:lvlJc w:val="left"/>
      <w:pPr>
        <w:ind w:left="1086" w:hanging="212"/>
      </w:pPr>
      <w:rPr>
        <w:rFonts w:hint="default"/>
      </w:rPr>
    </w:lvl>
    <w:lvl w:ilvl="2">
      <w:start w:val="0"/>
      <w:numFmt w:val="bullet"/>
      <w:lvlText w:val="•"/>
      <w:lvlJc w:val="left"/>
      <w:pPr>
        <w:ind w:left="2073" w:hanging="212"/>
      </w:pPr>
      <w:rPr>
        <w:rFonts w:hint="default"/>
      </w:rPr>
    </w:lvl>
    <w:lvl w:ilvl="3">
      <w:start w:val="0"/>
      <w:numFmt w:val="bullet"/>
      <w:lvlText w:val="•"/>
      <w:lvlJc w:val="left"/>
      <w:pPr>
        <w:ind w:left="3059" w:hanging="212"/>
      </w:pPr>
      <w:rPr>
        <w:rFonts w:hint="default"/>
      </w:rPr>
    </w:lvl>
    <w:lvl w:ilvl="4">
      <w:start w:val="0"/>
      <w:numFmt w:val="bullet"/>
      <w:lvlText w:val="•"/>
      <w:lvlJc w:val="left"/>
      <w:pPr>
        <w:ind w:left="4046" w:hanging="212"/>
      </w:pPr>
      <w:rPr>
        <w:rFonts w:hint="default"/>
      </w:rPr>
    </w:lvl>
    <w:lvl w:ilvl="5">
      <w:start w:val="0"/>
      <w:numFmt w:val="bullet"/>
      <w:lvlText w:val="•"/>
      <w:lvlJc w:val="left"/>
      <w:pPr>
        <w:ind w:left="5033" w:hanging="212"/>
      </w:pPr>
      <w:rPr>
        <w:rFonts w:hint="default"/>
      </w:rPr>
    </w:lvl>
    <w:lvl w:ilvl="6">
      <w:start w:val="0"/>
      <w:numFmt w:val="bullet"/>
      <w:lvlText w:val="•"/>
      <w:lvlJc w:val="left"/>
      <w:pPr>
        <w:ind w:left="6019" w:hanging="212"/>
      </w:pPr>
      <w:rPr>
        <w:rFonts w:hint="default"/>
      </w:rPr>
    </w:lvl>
    <w:lvl w:ilvl="7">
      <w:start w:val="0"/>
      <w:numFmt w:val="bullet"/>
      <w:lvlText w:val="•"/>
      <w:lvlJc w:val="left"/>
      <w:pPr>
        <w:ind w:left="7006" w:hanging="212"/>
      </w:pPr>
      <w:rPr>
        <w:rFonts w:hint="default"/>
      </w:rPr>
    </w:lvl>
    <w:lvl w:ilvl="8">
      <w:start w:val="0"/>
      <w:numFmt w:val="bullet"/>
      <w:lvlText w:val="•"/>
      <w:lvlJc w:val="left"/>
      <w:pPr>
        <w:ind w:left="7993" w:hanging="212"/>
      </w:pPr>
      <w:rPr>
        <w:rFonts w:hint="default"/>
      </w:rPr>
    </w:lvl>
  </w:abstractNum>
  <w:abstractNum w:abstractNumId="13">
    <w:multiLevelType w:val="hybridMultilevel"/>
    <w:lvl w:ilvl="0">
      <w:start w:val="0"/>
      <w:numFmt w:val="bullet"/>
      <w:lvlText w:val=""/>
      <w:lvlJc w:val="left"/>
      <w:pPr>
        <w:ind w:left="1180" w:hanging="360"/>
      </w:pPr>
      <w:rPr>
        <w:rFonts w:hint="default" w:ascii="Symbol" w:hAnsi="Symbol" w:eastAsia="Symbol" w:cs="Symbol"/>
        <w:w w:val="100"/>
        <w:sz w:val="22"/>
        <w:szCs w:val="22"/>
      </w:rPr>
    </w:lvl>
    <w:lvl w:ilvl="1">
      <w:start w:val="0"/>
      <w:numFmt w:val="bullet"/>
      <w:lvlText w:val="•"/>
      <w:lvlJc w:val="left"/>
      <w:pPr>
        <w:ind w:left="2058" w:hanging="360"/>
      </w:pPr>
      <w:rPr>
        <w:rFonts w:hint="default"/>
      </w:rPr>
    </w:lvl>
    <w:lvl w:ilvl="2">
      <w:start w:val="0"/>
      <w:numFmt w:val="bullet"/>
      <w:lvlText w:val="•"/>
      <w:lvlJc w:val="left"/>
      <w:pPr>
        <w:ind w:left="2937" w:hanging="360"/>
      </w:pPr>
      <w:rPr>
        <w:rFonts w:hint="default"/>
      </w:rPr>
    </w:lvl>
    <w:lvl w:ilvl="3">
      <w:start w:val="0"/>
      <w:numFmt w:val="bullet"/>
      <w:lvlText w:val="•"/>
      <w:lvlJc w:val="left"/>
      <w:pPr>
        <w:ind w:left="3815" w:hanging="360"/>
      </w:pPr>
      <w:rPr>
        <w:rFonts w:hint="default"/>
      </w:rPr>
    </w:lvl>
    <w:lvl w:ilvl="4">
      <w:start w:val="0"/>
      <w:numFmt w:val="bullet"/>
      <w:lvlText w:val="•"/>
      <w:lvlJc w:val="left"/>
      <w:pPr>
        <w:ind w:left="4694" w:hanging="360"/>
      </w:pPr>
      <w:rPr>
        <w:rFonts w:hint="default"/>
      </w:rPr>
    </w:lvl>
    <w:lvl w:ilvl="5">
      <w:start w:val="0"/>
      <w:numFmt w:val="bullet"/>
      <w:lvlText w:val="•"/>
      <w:lvlJc w:val="left"/>
      <w:pPr>
        <w:ind w:left="5573" w:hanging="360"/>
      </w:pPr>
      <w:rPr>
        <w:rFonts w:hint="default"/>
      </w:rPr>
    </w:lvl>
    <w:lvl w:ilvl="6">
      <w:start w:val="0"/>
      <w:numFmt w:val="bullet"/>
      <w:lvlText w:val="•"/>
      <w:lvlJc w:val="left"/>
      <w:pPr>
        <w:ind w:left="6451" w:hanging="360"/>
      </w:pPr>
      <w:rPr>
        <w:rFonts w:hint="default"/>
      </w:rPr>
    </w:lvl>
    <w:lvl w:ilvl="7">
      <w:start w:val="0"/>
      <w:numFmt w:val="bullet"/>
      <w:lvlText w:val="•"/>
      <w:lvlJc w:val="left"/>
      <w:pPr>
        <w:ind w:left="7330" w:hanging="360"/>
      </w:pPr>
      <w:rPr>
        <w:rFonts w:hint="default"/>
      </w:rPr>
    </w:lvl>
    <w:lvl w:ilvl="8">
      <w:start w:val="0"/>
      <w:numFmt w:val="bullet"/>
      <w:lvlText w:val="•"/>
      <w:lvlJc w:val="left"/>
      <w:pPr>
        <w:ind w:left="8209" w:hanging="360"/>
      </w:pPr>
      <w:rPr>
        <w:rFonts w:hint="default"/>
      </w:rPr>
    </w:lvl>
  </w:abstractNum>
  <w:abstractNum w:abstractNumId="12">
    <w:multiLevelType w:val="hybridMultilevel"/>
    <w:lvl w:ilvl="0">
      <w:start w:val="0"/>
      <w:numFmt w:val="bullet"/>
      <w:lvlText w:val=""/>
      <w:lvlJc w:val="left"/>
      <w:pPr>
        <w:ind w:left="820" w:hanging="360"/>
      </w:pPr>
      <w:rPr>
        <w:rFonts w:hint="default" w:ascii="Symbol" w:hAnsi="Symbol" w:eastAsia="Symbol" w:cs="Symbol"/>
        <w:w w:val="100"/>
        <w:sz w:val="22"/>
        <w:szCs w:val="22"/>
      </w:rPr>
    </w:lvl>
    <w:lvl w:ilvl="1">
      <w:start w:val="0"/>
      <w:numFmt w:val="bullet"/>
      <w:lvlText w:val="•"/>
      <w:lvlJc w:val="left"/>
      <w:pPr>
        <w:ind w:left="1734" w:hanging="360"/>
      </w:pPr>
      <w:rPr>
        <w:rFonts w:hint="default"/>
      </w:rPr>
    </w:lvl>
    <w:lvl w:ilvl="2">
      <w:start w:val="0"/>
      <w:numFmt w:val="bullet"/>
      <w:lvlText w:val="•"/>
      <w:lvlJc w:val="left"/>
      <w:pPr>
        <w:ind w:left="2649" w:hanging="360"/>
      </w:pPr>
      <w:rPr>
        <w:rFonts w:hint="default"/>
      </w:rPr>
    </w:lvl>
    <w:lvl w:ilvl="3">
      <w:start w:val="0"/>
      <w:numFmt w:val="bullet"/>
      <w:lvlText w:val="•"/>
      <w:lvlJc w:val="left"/>
      <w:pPr>
        <w:ind w:left="3563" w:hanging="360"/>
      </w:pPr>
      <w:rPr>
        <w:rFonts w:hint="default"/>
      </w:rPr>
    </w:lvl>
    <w:lvl w:ilvl="4">
      <w:start w:val="0"/>
      <w:numFmt w:val="bullet"/>
      <w:lvlText w:val="•"/>
      <w:lvlJc w:val="left"/>
      <w:pPr>
        <w:ind w:left="4478"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7" w:hanging="360"/>
      </w:pPr>
      <w:rPr>
        <w:rFonts w:hint="default"/>
      </w:rPr>
    </w:lvl>
    <w:lvl w:ilvl="7">
      <w:start w:val="0"/>
      <w:numFmt w:val="bullet"/>
      <w:lvlText w:val="•"/>
      <w:lvlJc w:val="left"/>
      <w:pPr>
        <w:ind w:left="7222" w:hanging="360"/>
      </w:pPr>
      <w:rPr>
        <w:rFonts w:hint="default"/>
      </w:rPr>
    </w:lvl>
    <w:lvl w:ilvl="8">
      <w:start w:val="0"/>
      <w:numFmt w:val="bullet"/>
      <w:lvlText w:val="•"/>
      <w:lvlJc w:val="left"/>
      <w:pPr>
        <w:ind w:left="8137" w:hanging="360"/>
      </w:pPr>
      <w:rPr>
        <w:rFonts w:hint="default"/>
      </w:rPr>
    </w:lvl>
  </w:abstractNum>
  <w:abstractNum w:abstractNumId="11">
    <w:multiLevelType w:val="hybridMultilevel"/>
    <w:lvl w:ilvl="0">
      <w:start w:val="1"/>
      <w:numFmt w:val="upperRoman"/>
      <w:lvlText w:val="%1."/>
      <w:lvlJc w:val="left"/>
      <w:pPr>
        <w:ind w:left="952" w:hanging="473"/>
        <w:jc w:val="right"/>
      </w:pPr>
      <w:rPr>
        <w:rFonts w:hint="default" w:ascii="Calibri" w:hAnsi="Calibri" w:eastAsia="Calibri" w:cs="Calibri"/>
        <w:spacing w:val="-1"/>
        <w:w w:val="100"/>
        <w:sz w:val="22"/>
        <w:szCs w:val="22"/>
      </w:rPr>
    </w:lvl>
    <w:lvl w:ilvl="1">
      <w:start w:val="0"/>
      <w:numFmt w:val="bullet"/>
      <w:lvlText w:val="•"/>
      <w:lvlJc w:val="left"/>
      <w:pPr>
        <w:ind w:left="1860" w:hanging="473"/>
      </w:pPr>
      <w:rPr>
        <w:rFonts w:hint="default"/>
      </w:rPr>
    </w:lvl>
    <w:lvl w:ilvl="2">
      <w:start w:val="0"/>
      <w:numFmt w:val="bullet"/>
      <w:lvlText w:val="•"/>
      <w:lvlJc w:val="left"/>
      <w:pPr>
        <w:ind w:left="2761" w:hanging="473"/>
      </w:pPr>
      <w:rPr>
        <w:rFonts w:hint="default"/>
      </w:rPr>
    </w:lvl>
    <w:lvl w:ilvl="3">
      <w:start w:val="0"/>
      <w:numFmt w:val="bullet"/>
      <w:lvlText w:val="•"/>
      <w:lvlJc w:val="left"/>
      <w:pPr>
        <w:ind w:left="3661" w:hanging="473"/>
      </w:pPr>
      <w:rPr>
        <w:rFonts w:hint="default"/>
      </w:rPr>
    </w:lvl>
    <w:lvl w:ilvl="4">
      <w:start w:val="0"/>
      <w:numFmt w:val="bullet"/>
      <w:lvlText w:val="•"/>
      <w:lvlJc w:val="left"/>
      <w:pPr>
        <w:ind w:left="4562" w:hanging="473"/>
      </w:pPr>
      <w:rPr>
        <w:rFonts w:hint="default"/>
      </w:rPr>
    </w:lvl>
    <w:lvl w:ilvl="5">
      <w:start w:val="0"/>
      <w:numFmt w:val="bullet"/>
      <w:lvlText w:val="•"/>
      <w:lvlJc w:val="left"/>
      <w:pPr>
        <w:ind w:left="5463" w:hanging="473"/>
      </w:pPr>
      <w:rPr>
        <w:rFonts w:hint="default"/>
      </w:rPr>
    </w:lvl>
    <w:lvl w:ilvl="6">
      <w:start w:val="0"/>
      <w:numFmt w:val="bullet"/>
      <w:lvlText w:val="•"/>
      <w:lvlJc w:val="left"/>
      <w:pPr>
        <w:ind w:left="6363" w:hanging="473"/>
      </w:pPr>
      <w:rPr>
        <w:rFonts w:hint="default"/>
      </w:rPr>
    </w:lvl>
    <w:lvl w:ilvl="7">
      <w:start w:val="0"/>
      <w:numFmt w:val="bullet"/>
      <w:lvlText w:val="•"/>
      <w:lvlJc w:val="left"/>
      <w:pPr>
        <w:ind w:left="7264" w:hanging="473"/>
      </w:pPr>
      <w:rPr>
        <w:rFonts w:hint="default"/>
      </w:rPr>
    </w:lvl>
    <w:lvl w:ilvl="8">
      <w:start w:val="0"/>
      <w:numFmt w:val="bullet"/>
      <w:lvlText w:val="•"/>
      <w:lvlJc w:val="left"/>
      <w:pPr>
        <w:ind w:left="8165" w:hanging="473"/>
      </w:pPr>
      <w:rPr>
        <w:rFonts w:hint="default"/>
      </w:rPr>
    </w:lvl>
  </w:abstractNum>
  <w:abstractNum w:abstractNumId="10">
    <w:multiLevelType w:val="hybridMultilevel"/>
    <w:lvl w:ilvl="0">
      <w:start w:val="0"/>
      <w:numFmt w:val="bullet"/>
      <w:lvlText w:val=""/>
      <w:lvlJc w:val="left"/>
      <w:pPr>
        <w:ind w:left="952" w:hanging="360"/>
      </w:pPr>
      <w:rPr>
        <w:rFonts w:hint="default" w:ascii="Symbol" w:hAnsi="Symbol" w:eastAsia="Symbol" w:cs="Symbol"/>
        <w:w w:val="100"/>
        <w:sz w:val="22"/>
        <w:szCs w:val="22"/>
      </w:rPr>
    </w:lvl>
    <w:lvl w:ilvl="1">
      <w:start w:val="0"/>
      <w:numFmt w:val="bullet"/>
      <w:lvlText w:val="-"/>
      <w:lvlJc w:val="left"/>
      <w:pPr>
        <w:ind w:left="1070" w:hanging="118"/>
      </w:pPr>
      <w:rPr>
        <w:rFonts w:hint="default" w:ascii="Calibri" w:hAnsi="Calibri" w:eastAsia="Calibri" w:cs="Calibri"/>
        <w:w w:val="100"/>
        <w:sz w:val="22"/>
        <w:szCs w:val="22"/>
      </w:rPr>
    </w:lvl>
    <w:lvl w:ilvl="2">
      <w:start w:val="0"/>
      <w:numFmt w:val="bullet"/>
      <w:lvlText w:val="•"/>
      <w:lvlJc w:val="left"/>
      <w:pPr>
        <w:ind w:left="2067" w:hanging="118"/>
      </w:pPr>
      <w:rPr>
        <w:rFonts w:hint="default"/>
      </w:rPr>
    </w:lvl>
    <w:lvl w:ilvl="3">
      <w:start w:val="0"/>
      <w:numFmt w:val="bullet"/>
      <w:lvlText w:val="•"/>
      <w:lvlJc w:val="left"/>
      <w:pPr>
        <w:ind w:left="3054" w:hanging="118"/>
      </w:pPr>
      <w:rPr>
        <w:rFonts w:hint="default"/>
      </w:rPr>
    </w:lvl>
    <w:lvl w:ilvl="4">
      <w:start w:val="0"/>
      <w:numFmt w:val="bullet"/>
      <w:lvlText w:val="•"/>
      <w:lvlJc w:val="left"/>
      <w:pPr>
        <w:ind w:left="4042" w:hanging="118"/>
      </w:pPr>
      <w:rPr>
        <w:rFonts w:hint="default"/>
      </w:rPr>
    </w:lvl>
    <w:lvl w:ilvl="5">
      <w:start w:val="0"/>
      <w:numFmt w:val="bullet"/>
      <w:lvlText w:val="•"/>
      <w:lvlJc w:val="left"/>
      <w:pPr>
        <w:ind w:left="5029" w:hanging="118"/>
      </w:pPr>
      <w:rPr>
        <w:rFonts w:hint="default"/>
      </w:rPr>
    </w:lvl>
    <w:lvl w:ilvl="6">
      <w:start w:val="0"/>
      <w:numFmt w:val="bullet"/>
      <w:lvlText w:val="•"/>
      <w:lvlJc w:val="left"/>
      <w:pPr>
        <w:ind w:left="6016" w:hanging="118"/>
      </w:pPr>
      <w:rPr>
        <w:rFonts w:hint="default"/>
      </w:rPr>
    </w:lvl>
    <w:lvl w:ilvl="7">
      <w:start w:val="0"/>
      <w:numFmt w:val="bullet"/>
      <w:lvlText w:val="•"/>
      <w:lvlJc w:val="left"/>
      <w:pPr>
        <w:ind w:left="7004" w:hanging="118"/>
      </w:pPr>
      <w:rPr>
        <w:rFonts w:hint="default"/>
      </w:rPr>
    </w:lvl>
    <w:lvl w:ilvl="8">
      <w:start w:val="0"/>
      <w:numFmt w:val="bullet"/>
      <w:lvlText w:val="•"/>
      <w:lvlJc w:val="left"/>
      <w:pPr>
        <w:ind w:left="7991" w:hanging="118"/>
      </w:pPr>
      <w:rPr>
        <w:rFonts w:hint="default"/>
      </w:rPr>
    </w:lvl>
  </w:abstractNum>
  <w:abstractNum w:abstractNumId="9">
    <w:multiLevelType w:val="hybridMultilevel"/>
    <w:lvl w:ilvl="0">
      <w:start w:val="2"/>
      <w:numFmt w:val="decimal"/>
      <w:lvlText w:val="%1."/>
      <w:lvlJc w:val="left"/>
      <w:pPr>
        <w:ind w:left="666" w:hanging="567"/>
        <w:jc w:val="right"/>
      </w:pPr>
      <w:rPr>
        <w:rFonts w:hint="default" w:ascii="Calibri" w:hAnsi="Calibri" w:eastAsia="Calibri" w:cs="Calibri"/>
        <w:b/>
        <w:bCs/>
        <w:spacing w:val="-3"/>
        <w:w w:val="99"/>
        <w:sz w:val="24"/>
        <w:szCs w:val="24"/>
      </w:rPr>
    </w:lvl>
    <w:lvl w:ilvl="1">
      <w:start w:val="1"/>
      <w:numFmt w:val="decimal"/>
      <w:lvlText w:val="%1.%2"/>
      <w:lvlJc w:val="left"/>
      <w:pPr>
        <w:ind w:left="460" w:hanging="361"/>
        <w:jc w:val="right"/>
      </w:pPr>
      <w:rPr>
        <w:rFonts w:hint="default" w:ascii="Calibri" w:hAnsi="Calibri" w:eastAsia="Calibri" w:cs="Calibri"/>
        <w:b/>
        <w:bCs/>
        <w:spacing w:val="-2"/>
        <w:w w:val="100"/>
        <w:sz w:val="22"/>
        <w:szCs w:val="22"/>
      </w:rPr>
    </w:lvl>
    <w:lvl w:ilvl="2">
      <w:start w:val="0"/>
      <w:numFmt w:val="bullet"/>
      <w:lvlText w:val=""/>
      <w:lvlJc w:val="left"/>
      <w:pPr>
        <w:ind w:left="952" w:hanging="286"/>
      </w:pPr>
      <w:rPr>
        <w:rFonts w:hint="default" w:ascii="Wingdings" w:hAnsi="Wingdings" w:eastAsia="Wingdings" w:cs="Wingdings"/>
        <w:w w:val="100"/>
        <w:sz w:val="22"/>
        <w:szCs w:val="22"/>
      </w:rPr>
    </w:lvl>
    <w:lvl w:ilvl="3">
      <w:start w:val="0"/>
      <w:numFmt w:val="bullet"/>
      <w:lvlText w:val="•"/>
      <w:lvlJc w:val="left"/>
      <w:pPr>
        <w:ind w:left="2085" w:hanging="286"/>
      </w:pPr>
      <w:rPr>
        <w:rFonts w:hint="default"/>
      </w:rPr>
    </w:lvl>
    <w:lvl w:ilvl="4">
      <w:start w:val="0"/>
      <w:numFmt w:val="bullet"/>
      <w:lvlText w:val="•"/>
      <w:lvlJc w:val="left"/>
      <w:pPr>
        <w:ind w:left="3211" w:hanging="286"/>
      </w:pPr>
      <w:rPr>
        <w:rFonts w:hint="default"/>
      </w:rPr>
    </w:lvl>
    <w:lvl w:ilvl="5">
      <w:start w:val="0"/>
      <w:numFmt w:val="bullet"/>
      <w:lvlText w:val="•"/>
      <w:lvlJc w:val="left"/>
      <w:pPr>
        <w:ind w:left="4337" w:hanging="286"/>
      </w:pPr>
      <w:rPr>
        <w:rFonts w:hint="default"/>
      </w:rPr>
    </w:lvl>
    <w:lvl w:ilvl="6">
      <w:start w:val="0"/>
      <w:numFmt w:val="bullet"/>
      <w:lvlText w:val="•"/>
      <w:lvlJc w:val="left"/>
      <w:pPr>
        <w:ind w:left="5463" w:hanging="286"/>
      </w:pPr>
      <w:rPr>
        <w:rFonts w:hint="default"/>
      </w:rPr>
    </w:lvl>
    <w:lvl w:ilvl="7">
      <w:start w:val="0"/>
      <w:numFmt w:val="bullet"/>
      <w:lvlText w:val="•"/>
      <w:lvlJc w:val="left"/>
      <w:pPr>
        <w:ind w:left="6589" w:hanging="286"/>
      </w:pPr>
      <w:rPr>
        <w:rFonts w:hint="default"/>
      </w:rPr>
    </w:lvl>
    <w:lvl w:ilvl="8">
      <w:start w:val="0"/>
      <w:numFmt w:val="bullet"/>
      <w:lvlText w:val="•"/>
      <w:lvlJc w:val="left"/>
      <w:pPr>
        <w:ind w:left="7714" w:hanging="286"/>
      </w:pPr>
      <w:rPr>
        <w:rFonts w:hint="default"/>
      </w:rPr>
    </w:lvl>
  </w:abstractNum>
  <w:abstractNum w:abstractNumId="8">
    <w:multiLevelType w:val="hybridMultilevel"/>
    <w:lvl w:ilvl="0">
      <w:start w:val="1"/>
      <w:numFmt w:val="decimal"/>
      <w:lvlText w:val="%1."/>
      <w:lvlJc w:val="left"/>
      <w:pPr>
        <w:ind w:left="458" w:hanging="359"/>
        <w:jc w:val="left"/>
      </w:pPr>
      <w:rPr>
        <w:rFonts w:hint="default" w:ascii="Calibri" w:hAnsi="Calibri" w:eastAsia="Calibri" w:cs="Calibri"/>
        <w:w w:val="100"/>
        <w:sz w:val="22"/>
        <w:szCs w:val="22"/>
      </w:rPr>
    </w:lvl>
    <w:lvl w:ilvl="1">
      <w:start w:val="0"/>
      <w:numFmt w:val="bullet"/>
      <w:lvlText w:val=""/>
      <w:lvlJc w:val="left"/>
      <w:pPr>
        <w:ind w:left="887" w:hanging="360"/>
      </w:pPr>
      <w:rPr>
        <w:rFonts w:hint="default" w:ascii="Symbol" w:hAnsi="Symbol" w:eastAsia="Symbol" w:cs="Symbol"/>
        <w:w w:val="100"/>
        <w:sz w:val="22"/>
        <w:szCs w:val="22"/>
      </w:rPr>
    </w:lvl>
    <w:lvl w:ilvl="2">
      <w:start w:val="0"/>
      <w:numFmt w:val="bullet"/>
      <w:lvlText w:val="•"/>
      <w:lvlJc w:val="left"/>
      <w:pPr>
        <w:ind w:left="1889" w:hanging="360"/>
      </w:pPr>
      <w:rPr>
        <w:rFonts w:hint="default"/>
      </w:rPr>
    </w:lvl>
    <w:lvl w:ilvl="3">
      <w:start w:val="0"/>
      <w:numFmt w:val="bullet"/>
      <w:lvlText w:val="•"/>
      <w:lvlJc w:val="left"/>
      <w:pPr>
        <w:ind w:left="2899" w:hanging="360"/>
      </w:pPr>
      <w:rPr>
        <w:rFonts w:hint="default"/>
      </w:rPr>
    </w:lvl>
    <w:lvl w:ilvl="4">
      <w:start w:val="0"/>
      <w:numFmt w:val="bullet"/>
      <w:lvlText w:val="•"/>
      <w:lvlJc w:val="left"/>
      <w:pPr>
        <w:ind w:left="3908" w:hanging="360"/>
      </w:pPr>
      <w:rPr>
        <w:rFonts w:hint="default"/>
      </w:rPr>
    </w:lvl>
    <w:lvl w:ilvl="5">
      <w:start w:val="0"/>
      <w:numFmt w:val="bullet"/>
      <w:lvlText w:val="•"/>
      <w:lvlJc w:val="left"/>
      <w:pPr>
        <w:ind w:left="4918" w:hanging="360"/>
      </w:pPr>
      <w:rPr>
        <w:rFonts w:hint="default"/>
      </w:rPr>
    </w:lvl>
    <w:lvl w:ilvl="6">
      <w:start w:val="0"/>
      <w:numFmt w:val="bullet"/>
      <w:lvlText w:val="•"/>
      <w:lvlJc w:val="left"/>
      <w:pPr>
        <w:ind w:left="5928" w:hanging="360"/>
      </w:pPr>
      <w:rPr>
        <w:rFonts w:hint="default"/>
      </w:rPr>
    </w:lvl>
    <w:lvl w:ilvl="7">
      <w:start w:val="0"/>
      <w:numFmt w:val="bullet"/>
      <w:lvlText w:val="•"/>
      <w:lvlJc w:val="left"/>
      <w:pPr>
        <w:ind w:left="6937" w:hanging="360"/>
      </w:pPr>
      <w:rPr>
        <w:rFonts w:hint="default"/>
      </w:rPr>
    </w:lvl>
    <w:lvl w:ilvl="8">
      <w:start w:val="0"/>
      <w:numFmt w:val="bullet"/>
      <w:lvlText w:val="•"/>
      <w:lvlJc w:val="left"/>
      <w:pPr>
        <w:ind w:left="7947" w:hanging="360"/>
      </w:pPr>
      <w:rPr>
        <w:rFonts w:hint="default"/>
      </w:rPr>
    </w:lvl>
  </w:abstractNum>
  <w:abstractNum w:abstractNumId="7">
    <w:multiLevelType w:val="hybridMultilevel"/>
    <w:lvl w:ilvl="0">
      <w:start w:val="22"/>
      <w:numFmt w:val="decimal"/>
      <w:lvlText w:val="%1)"/>
      <w:lvlJc w:val="left"/>
      <w:pPr>
        <w:ind w:left="463" w:hanging="361"/>
        <w:jc w:val="left"/>
      </w:pPr>
      <w:rPr>
        <w:rFonts w:hint="default" w:ascii="Calibri" w:hAnsi="Calibri" w:eastAsia="Calibri" w:cs="Calibri"/>
        <w:w w:val="100"/>
        <w:sz w:val="22"/>
        <w:szCs w:val="22"/>
      </w:rPr>
    </w:lvl>
    <w:lvl w:ilvl="1">
      <w:start w:val="0"/>
      <w:numFmt w:val="bullet"/>
      <w:lvlText w:val="•"/>
      <w:lvlJc w:val="left"/>
      <w:pPr>
        <w:ind w:left="1418" w:hanging="361"/>
      </w:pPr>
      <w:rPr>
        <w:rFonts w:hint="default"/>
      </w:rPr>
    </w:lvl>
    <w:lvl w:ilvl="2">
      <w:start w:val="0"/>
      <w:numFmt w:val="bullet"/>
      <w:lvlText w:val="•"/>
      <w:lvlJc w:val="left"/>
      <w:pPr>
        <w:ind w:left="2377" w:hanging="361"/>
      </w:pPr>
      <w:rPr>
        <w:rFonts w:hint="default"/>
      </w:rPr>
    </w:lvl>
    <w:lvl w:ilvl="3">
      <w:start w:val="0"/>
      <w:numFmt w:val="bullet"/>
      <w:lvlText w:val="•"/>
      <w:lvlJc w:val="left"/>
      <w:pPr>
        <w:ind w:left="3335" w:hanging="361"/>
      </w:pPr>
      <w:rPr>
        <w:rFonts w:hint="default"/>
      </w:rPr>
    </w:lvl>
    <w:lvl w:ilvl="4">
      <w:start w:val="0"/>
      <w:numFmt w:val="bullet"/>
      <w:lvlText w:val="•"/>
      <w:lvlJc w:val="left"/>
      <w:pPr>
        <w:ind w:left="4294" w:hanging="361"/>
      </w:pPr>
      <w:rPr>
        <w:rFonts w:hint="default"/>
      </w:rPr>
    </w:lvl>
    <w:lvl w:ilvl="5">
      <w:start w:val="0"/>
      <w:numFmt w:val="bullet"/>
      <w:lvlText w:val="•"/>
      <w:lvlJc w:val="left"/>
      <w:pPr>
        <w:ind w:left="5253" w:hanging="361"/>
      </w:pPr>
      <w:rPr>
        <w:rFonts w:hint="default"/>
      </w:rPr>
    </w:lvl>
    <w:lvl w:ilvl="6">
      <w:start w:val="0"/>
      <w:numFmt w:val="bullet"/>
      <w:lvlText w:val="•"/>
      <w:lvlJc w:val="left"/>
      <w:pPr>
        <w:ind w:left="6211" w:hanging="361"/>
      </w:pPr>
      <w:rPr>
        <w:rFonts w:hint="default"/>
      </w:rPr>
    </w:lvl>
    <w:lvl w:ilvl="7">
      <w:start w:val="0"/>
      <w:numFmt w:val="bullet"/>
      <w:lvlText w:val="•"/>
      <w:lvlJc w:val="left"/>
      <w:pPr>
        <w:ind w:left="7170" w:hanging="361"/>
      </w:pPr>
      <w:rPr>
        <w:rFonts w:hint="default"/>
      </w:rPr>
    </w:lvl>
    <w:lvl w:ilvl="8">
      <w:start w:val="0"/>
      <w:numFmt w:val="bullet"/>
      <w:lvlText w:val="•"/>
      <w:lvlJc w:val="left"/>
      <w:pPr>
        <w:ind w:left="8129" w:hanging="361"/>
      </w:pPr>
      <w:rPr>
        <w:rFonts w:hint="default"/>
      </w:rPr>
    </w:lvl>
  </w:abstractNum>
  <w:abstractNum w:abstractNumId="6">
    <w:multiLevelType w:val="hybridMultilevel"/>
    <w:lvl w:ilvl="0">
      <w:start w:val="1"/>
      <w:numFmt w:val="decimal"/>
      <w:lvlText w:val="%1)"/>
      <w:lvlJc w:val="left"/>
      <w:pPr>
        <w:ind w:left="463" w:hanging="361"/>
        <w:jc w:val="left"/>
      </w:pPr>
      <w:rPr>
        <w:rFonts w:hint="default" w:ascii="Calibri" w:hAnsi="Calibri" w:eastAsia="Calibri" w:cs="Calibri"/>
        <w:w w:val="100"/>
        <w:sz w:val="22"/>
        <w:szCs w:val="22"/>
      </w:rPr>
    </w:lvl>
    <w:lvl w:ilvl="1">
      <w:start w:val="0"/>
      <w:numFmt w:val="bullet"/>
      <w:lvlText w:val="•"/>
      <w:lvlJc w:val="left"/>
      <w:pPr>
        <w:ind w:left="1418" w:hanging="361"/>
      </w:pPr>
      <w:rPr>
        <w:rFonts w:hint="default"/>
      </w:rPr>
    </w:lvl>
    <w:lvl w:ilvl="2">
      <w:start w:val="0"/>
      <w:numFmt w:val="bullet"/>
      <w:lvlText w:val="•"/>
      <w:lvlJc w:val="left"/>
      <w:pPr>
        <w:ind w:left="2377" w:hanging="361"/>
      </w:pPr>
      <w:rPr>
        <w:rFonts w:hint="default"/>
      </w:rPr>
    </w:lvl>
    <w:lvl w:ilvl="3">
      <w:start w:val="0"/>
      <w:numFmt w:val="bullet"/>
      <w:lvlText w:val="•"/>
      <w:lvlJc w:val="left"/>
      <w:pPr>
        <w:ind w:left="3335" w:hanging="361"/>
      </w:pPr>
      <w:rPr>
        <w:rFonts w:hint="default"/>
      </w:rPr>
    </w:lvl>
    <w:lvl w:ilvl="4">
      <w:start w:val="0"/>
      <w:numFmt w:val="bullet"/>
      <w:lvlText w:val="•"/>
      <w:lvlJc w:val="left"/>
      <w:pPr>
        <w:ind w:left="4294" w:hanging="361"/>
      </w:pPr>
      <w:rPr>
        <w:rFonts w:hint="default"/>
      </w:rPr>
    </w:lvl>
    <w:lvl w:ilvl="5">
      <w:start w:val="0"/>
      <w:numFmt w:val="bullet"/>
      <w:lvlText w:val="•"/>
      <w:lvlJc w:val="left"/>
      <w:pPr>
        <w:ind w:left="5253" w:hanging="361"/>
      </w:pPr>
      <w:rPr>
        <w:rFonts w:hint="default"/>
      </w:rPr>
    </w:lvl>
    <w:lvl w:ilvl="6">
      <w:start w:val="0"/>
      <w:numFmt w:val="bullet"/>
      <w:lvlText w:val="•"/>
      <w:lvlJc w:val="left"/>
      <w:pPr>
        <w:ind w:left="6211" w:hanging="361"/>
      </w:pPr>
      <w:rPr>
        <w:rFonts w:hint="default"/>
      </w:rPr>
    </w:lvl>
    <w:lvl w:ilvl="7">
      <w:start w:val="0"/>
      <w:numFmt w:val="bullet"/>
      <w:lvlText w:val="•"/>
      <w:lvlJc w:val="left"/>
      <w:pPr>
        <w:ind w:left="7170" w:hanging="361"/>
      </w:pPr>
      <w:rPr>
        <w:rFonts w:hint="default"/>
      </w:rPr>
    </w:lvl>
    <w:lvl w:ilvl="8">
      <w:start w:val="0"/>
      <w:numFmt w:val="bullet"/>
      <w:lvlText w:val="•"/>
      <w:lvlJc w:val="left"/>
      <w:pPr>
        <w:ind w:left="8129" w:hanging="361"/>
      </w:pPr>
      <w:rPr>
        <w:rFonts w:hint="default"/>
      </w:rPr>
    </w:lvl>
  </w:abstractNum>
  <w:abstractNum w:abstractNumId="5">
    <w:multiLevelType w:val="hybridMultilevel"/>
    <w:lvl w:ilvl="0">
      <w:start w:val="1"/>
      <w:numFmt w:val="decimal"/>
      <w:lvlText w:val="%1."/>
      <w:lvlJc w:val="left"/>
      <w:pPr>
        <w:ind w:left="820" w:hanging="721"/>
        <w:jc w:val="left"/>
      </w:pPr>
      <w:rPr>
        <w:rFonts w:hint="default" w:ascii="Calibri" w:hAnsi="Calibri" w:eastAsia="Calibri" w:cs="Calibri"/>
        <w:w w:val="100"/>
        <w:sz w:val="22"/>
        <w:szCs w:val="22"/>
      </w:rPr>
    </w:lvl>
    <w:lvl w:ilvl="1">
      <w:start w:val="1"/>
      <w:numFmt w:val="decimal"/>
      <w:lvlText w:val="%1.%2."/>
      <w:lvlJc w:val="left"/>
      <w:pPr>
        <w:ind w:left="321" w:hanging="740"/>
        <w:jc w:val="left"/>
      </w:pPr>
      <w:rPr>
        <w:rFonts w:hint="default" w:ascii="Calibri" w:hAnsi="Calibri" w:eastAsia="Calibri" w:cs="Calibri"/>
        <w:spacing w:val="-1"/>
        <w:w w:val="100"/>
        <w:sz w:val="22"/>
        <w:szCs w:val="22"/>
      </w:rPr>
    </w:lvl>
    <w:lvl w:ilvl="2">
      <w:start w:val="1"/>
      <w:numFmt w:val="decimal"/>
      <w:lvlText w:val="%1.%2.%3."/>
      <w:lvlJc w:val="left"/>
      <w:pPr>
        <w:ind w:left="1300" w:hanging="761"/>
        <w:jc w:val="left"/>
      </w:pPr>
      <w:rPr>
        <w:rFonts w:hint="default" w:ascii="Calibri" w:hAnsi="Calibri" w:eastAsia="Calibri" w:cs="Calibri"/>
        <w:spacing w:val="-1"/>
        <w:w w:val="100"/>
        <w:sz w:val="22"/>
        <w:szCs w:val="22"/>
      </w:rPr>
    </w:lvl>
    <w:lvl w:ilvl="3">
      <w:start w:val="0"/>
      <w:numFmt w:val="bullet"/>
      <w:lvlText w:val="•"/>
      <w:lvlJc w:val="left"/>
      <w:pPr>
        <w:ind w:left="1300" w:hanging="761"/>
      </w:pPr>
      <w:rPr>
        <w:rFonts w:hint="default"/>
      </w:rPr>
    </w:lvl>
    <w:lvl w:ilvl="4">
      <w:start w:val="0"/>
      <w:numFmt w:val="bullet"/>
      <w:lvlText w:val="•"/>
      <w:lvlJc w:val="left"/>
      <w:pPr>
        <w:ind w:left="1540" w:hanging="761"/>
      </w:pPr>
      <w:rPr>
        <w:rFonts w:hint="default"/>
      </w:rPr>
    </w:lvl>
    <w:lvl w:ilvl="5">
      <w:start w:val="0"/>
      <w:numFmt w:val="bullet"/>
      <w:lvlText w:val="•"/>
      <w:lvlJc w:val="left"/>
      <w:pPr>
        <w:ind w:left="2941" w:hanging="761"/>
      </w:pPr>
      <w:rPr>
        <w:rFonts w:hint="default"/>
      </w:rPr>
    </w:lvl>
    <w:lvl w:ilvl="6">
      <w:start w:val="0"/>
      <w:numFmt w:val="bullet"/>
      <w:lvlText w:val="•"/>
      <w:lvlJc w:val="left"/>
      <w:pPr>
        <w:ind w:left="4342" w:hanging="761"/>
      </w:pPr>
      <w:rPr>
        <w:rFonts w:hint="default"/>
      </w:rPr>
    </w:lvl>
    <w:lvl w:ilvl="7">
      <w:start w:val="0"/>
      <w:numFmt w:val="bullet"/>
      <w:lvlText w:val="•"/>
      <w:lvlJc w:val="left"/>
      <w:pPr>
        <w:ind w:left="5743" w:hanging="761"/>
      </w:pPr>
      <w:rPr>
        <w:rFonts w:hint="default"/>
      </w:rPr>
    </w:lvl>
    <w:lvl w:ilvl="8">
      <w:start w:val="0"/>
      <w:numFmt w:val="bullet"/>
      <w:lvlText w:val="•"/>
      <w:lvlJc w:val="left"/>
      <w:pPr>
        <w:ind w:left="7144" w:hanging="761"/>
      </w:pPr>
      <w:rPr>
        <w:rFonts w:hint="default"/>
      </w:rPr>
    </w:lvl>
  </w:abstractNum>
  <w:abstractNum w:abstractNumId="4">
    <w:multiLevelType w:val="hybridMultilevel"/>
    <w:lvl w:ilvl="0">
      <w:start w:val="0"/>
      <w:numFmt w:val="bullet"/>
      <w:lvlText w:val=""/>
      <w:lvlJc w:val="left"/>
      <w:pPr>
        <w:ind w:left="288" w:hanging="360"/>
      </w:pPr>
      <w:rPr>
        <w:rFonts w:hint="default" w:ascii="Symbol" w:hAnsi="Symbol" w:eastAsia="Symbol" w:cs="Symbol"/>
        <w:w w:val="100"/>
        <w:sz w:val="18"/>
        <w:szCs w:val="18"/>
      </w:rPr>
    </w:lvl>
    <w:lvl w:ilvl="1">
      <w:start w:val="0"/>
      <w:numFmt w:val="bullet"/>
      <w:lvlText w:val="•"/>
      <w:lvlJc w:val="left"/>
      <w:pPr>
        <w:ind w:left="1206" w:hanging="360"/>
      </w:pPr>
      <w:rPr>
        <w:rFonts w:hint="default"/>
      </w:rPr>
    </w:lvl>
    <w:lvl w:ilvl="2">
      <w:start w:val="0"/>
      <w:numFmt w:val="bullet"/>
      <w:lvlText w:val="•"/>
      <w:lvlJc w:val="left"/>
      <w:pPr>
        <w:ind w:left="2133" w:hanging="360"/>
      </w:pPr>
      <w:rPr>
        <w:rFonts w:hint="default"/>
      </w:rPr>
    </w:lvl>
    <w:lvl w:ilvl="3">
      <w:start w:val="0"/>
      <w:numFmt w:val="bullet"/>
      <w:lvlText w:val="•"/>
      <w:lvlJc w:val="left"/>
      <w:pPr>
        <w:ind w:left="3059" w:hanging="360"/>
      </w:pPr>
      <w:rPr>
        <w:rFonts w:hint="default"/>
      </w:rPr>
    </w:lvl>
    <w:lvl w:ilvl="4">
      <w:start w:val="0"/>
      <w:numFmt w:val="bullet"/>
      <w:lvlText w:val="•"/>
      <w:lvlJc w:val="left"/>
      <w:pPr>
        <w:ind w:left="3986" w:hanging="360"/>
      </w:pPr>
      <w:rPr>
        <w:rFonts w:hint="default"/>
      </w:rPr>
    </w:lvl>
    <w:lvl w:ilvl="5">
      <w:start w:val="0"/>
      <w:numFmt w:val="bullet"/>
      <w:lvlText w:val="•"/>
      <w:lvlJc w:val="left"/>
      <w:pPr>
        <w:ind w:left="4913" w:hanging="360"/>
      </w:pPr>
      <w:rPr>
        <w:rFonts w:hint="default"/>
      </w:rPr>
    </w:lvl>
    <w:lvl w:ilvl="6">
      <w:start w:val="0"/>
      <w:numFmt w:val="bullet"/>
      <w:lvlText w:val="•"/>
      <w:lvlJc w:val="left"/>
      <w:pPr>
        <w:ind w:left="583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93" w:hanging="360"/>
      </w:pPr>
      <w:rPr>
        <w:rFonts w:hint="default"/>
      </w:rPr>
    </w:lvl>
  </w:abstractNum>
  <w:abstractNum w:abstractNumId="3">
    <w:multiLevelType w:val="hybridMultilevel"/>
    <w:lvl w:ilvl="0">
      <w:start w:val="1"/>
      <w:numFmt w:val="decimal"/>
      <w:lvlText w:val="%1."/>
      <w:lvlJc w:val="left"/>
      <w:pPr>
        <w:ind w:left="648" w:hanging="360"/>
        <w:jc w:val="left"/>
      </w:pPr>
      <w:rPr>
        <w:rFonts w:hint="default" w:ascii="Tahoma" w:hAnsi="Tahoma" w:eastAsia="Tahoma" w:cs="Tahoma"/>
        <w:spacing w:val="-1"/>
        <w:w w:val="99"/>
        <w:sz w:val="20"/>
        <w:szCs w:val="20"/>
      </w:rPr>
    </w:lvl>
    <w:lvl w:ilvl="1">
      <w:start w:val="0"/>
      <w:numFmt w:val="bullet"/>
      <w:lvlText w:val="•"/>
      <w:lvlJc w:val="left"/>
      <w:pPr>
        <w:ind w:left="1530" w:hanging="360"/>
      </w:pPr>
      <w:rPr>
        <w:rFonts w:hint="default"/>
      </w:rPr>
    </w:lvl>
    <w:lvl w:ilvl="2">
      <w:start w:val="0"/>
      <w:numFmt w:val="bullet"/>
      <w:lvlText w:val="•"/>
      <w:lvlJc w:val="left"/>
      <w:pPr>
        <w:ind w:left="2421" w:hanging="360"/>
      </w:pPr>
      <w:rPr>
        <w:rFonts w:hint="default"/>
      </w:rPr>
    </w:lvl>
    <w:lvl w:ilvl="3">
      <w:start w:val="0"/>
      <w:numFmt w:val="bullet"/>
      <w:lvlText w:val="•"/>
      <w:lvlJc w:val="left"/>
      <w:pPr>
        <w:ind w:left="3311" w:hanging="360"/>
      </w:pPr>
      <w:rPr>
        <w:rFonts w:hint="default"/>
      </w:rPr>
    </w:lvl>
    <w:lvl w:ilvl="4">
      <w:start w:val="0"/>
      <w:numFmt w:val="bullet"/>
      <w:lvlText w:val="•"/>
      <w:lvlJc w:val="left"/>
      <w:pPr>
        <w:ind w:left="4202" w:hanging="360"/>
      </w:pPr>
      <w:rPr>
        <w:rFonts w:hint="default"/>
      </w:rPr>
    </w:lvl>
    <w:lvl w:ilvl="5">
      <w:start w:val="0"/>
      <w:numFmt w:val="bullet"/>
      <w:lvlText w:val="•"/>
      <w:lvlJc w:val="left"/>
      <w:pPr>
        <w:ind w:left="5093" w:hanging="360"/>
      </w:pPr>
      <w:rPr>
        <w:rFonts w:hint="default"/>
      </w:rPr>
    </w:lvl>
    <w:lvl w:ilvl="6">
      <w:start w:val="0"/>
      <w:numFmt w:val="bullet"/>
      <w:lvlText w:val="•"/>
      <w:lvlJc w:val="left"/>
      <w:pPr>
        <w:ind w:left="5983" w:hanging="360"/>
      </w:pPr>
      <w:rPr>
        <w:rFonts w:hint="default"/>
      </w:rPr>
    </w:lvl>
    <w:lvl w:ilvl="7">
      <w:start w:val="0"/>
      <w:numFmt w:val="bullet"/>
      <w:lvlText w:val="•"/>
      <w:lvlJc w:val="left"/>
      <w:pPr>
        <w:ind w:left="6874" w:hanging="360"/>
      </w:pPr>
      <w:rPr>
        <w:rFonts w:hint="default"/>
      </w:rPr>
    </w:lvl>
    <w:lvl w:ilvl="8">
      <w:start w:val="0"/>
      <w:numFmt w:val="bullet"/>
      <w:lvlText w:val="•"/>
      <w:lvlJc w:val="left"/>
      <w:pPr>
        <w:ind w:left="7765" w:hanging="360"/>
      </w:pPr>
      <w:rPr>
        <w:rFonts w:hint="default"/>
      </w:rPr>
    </w:lvl>
  </w:abstractNum>
  <w:abstractNum w:abstractNumId="2">
    <w:multiLevelType w:val="hybridMultilevel"/>
    <w:lvl w:ilvl="0">
      <w:start w:val="14"/>
      <w:numFmt w:val="decimal"/>
      <w:lvlText w:val="%1."/>
      <w:lvlJc w:val="left"/>
      <w:pPr>
        <w:ind w:left="646" w:hanging="360"/>
        <w:jc w:val="left"/>
      </w:pPr>
      <w:rPr>
        <w:rFonts w:hint="default" w:ascii="Tahoma" w:hAnsi="Tahoma" w:eastAsia="Tahoma" w:cs="Tahoma"/>
        <w:spacing w:val="-1"/>
        <w:w w:val="99"/>
        <w:sz w:val="20"/>
        <w:szCs w:val="20"/>
      </w:rPr>
    </w:lvl>
    <w:lvl w:ilvl="1">
      <w:start w:val="0"/>
      <w:numFmt w:val="bullet"/>
      <w:lvlText w:val="•"/>
      <w:lvlJc w:val="left"/>
      <w:pPr>
        <w:ind w:left="1530" w:hanging="360"/>
      </w:pPr>
      <w:rPr>
        <w:rFonts w:hint="default"/>
      </w:rPr>
    </w:lvl>
    <w:lvl w:ilvl="2">
      <w:start w:val="0"/>
      <w:numFmt w:val="bullet"/>
      <w:lvlText w:val="•"/>
      <w:lvlJc w:val="left"/>
      <w:pPr>
        <w:ind w:left="2421" w:hanging="360"/>
      </w:pPr>
      <w:rPr>
        <w:rFonts w:hint="default"/>
      </w:rPr>
    </w:lvl>
    <w:lvl w:ilvl="3">
      <w:start w:val="0"/>
      <w:numFmt w:val="bullet"/>
      <w:lvlText w:val="•"/>
      <w:lvlJc w:val="left"/>
      <w:pPr>
        <w:ind w:left="3311" w:hanging="360"/>
      </w:pPr>
      <w:rPr>
        <w:rFonts w:hint="default"/>
      </w:rPr>
    </w:lvl>
    <w:lvl w:ilvl="4">
      <w:start w:val="0"/>
      <w:numFmt w:val="bullet"/>
      <w:lvlText w:val="•"/>
      <w:lvlJc w:val="left"/>
      <w:pPr>
        <w:ind w:left="4202" w:hanging="360"/>
      </w:pPr>
      <w:rPr>
        <w:rFonts w:hint="default"/>
      </w:rPr>
    </w:lvl>
    <w:lvl w:ilvl="5">
      <w:start w:val="0"/>
      <w:numFmt w:val="bullet"/>
      <w:lvlText w:val="•"/>
      <w:lvlJc w:val="left"/>
      <w:pPr>
        <w:ind w:left="5093" w:hanging="360"/>
      </w:pPr>
      <w:rPr>
        <w:rFonts w:hint="default"/>
      </w:rPr>
    </w:lvl>
    <w:lvl w:ilvl="6">
      <w:start w:val="0"/>
      <w:numFmt w:val="bullet"/>
      <w:lvlText w:val="•"/>
      <w:lvlJc w:val="left"/>
      <w:pPr>
        <w:ind w:left="5983" w:hanging="360"/>
      </w:pPr>
      <w:rPr>
        <w:rFonts w:hint="default"/>
      </w:rPr>
    </w:lvl>
    <w:lvl w:ilvl="7">
      <w:start w:val="0"/>
      <w:numFmt w:val="bullet"/>
      <w:lvlText w:val="•"/>
      <w:lvlJc w:val="left"/>
      <w:pPr>
        <w:ind w:left="6874" w:hanging="360"/>
      </w:pPr>
      <w:rPr>
        <w:rFonts w:hint="default"/>
      </w:rPr>
    </w:lvl>
    <w:lvl w:ilvl="8">
      <w:start w:val="0"/>
      <w:numFmt w:val="bullet"/>
      <w:lvlText w:val="•"/>
      <w:lvlJc w:val="left"/>
      <w:pPr>
        <w:ind w:left="7765" w:hanging="360"/>
      </w:pPr>
      <w:rPr>
        <w:rFonts w:hint="default"/>
      </w:rPr>
    </w:lvl>
  </w:abstractNum>
  <w:abstractNum w:abstractNumId="1">
    <w:multiLevelType w:val="hybridMultilevel"/>
    <w:lvl w:ilvl="0">
      <w:start w:val="6"/>
      <w:numFmt w:val="decimal"/>
      <w:lvlText w:val="%1."/>
      <w:lvlJc w:val="left"/>
      <w:pPr>
        <w:ind w:left="646" w:hanging="360"/>
        <w:jc w:val="left"/>
      </w:pPr>
      <w:rPr>
        <w:rFonts w:hint="default" w:ascii="Tahoma" w:hAnsi="Tahoma" w:eastAsia="Tahoma" w:cs="Tahoma"/>
        <w:spacing w:val="-1"/>
        <w:w w:val="99"/>
        <w:sz w:val="20"/>
        <w:szCs w:val="20"/>
      </w:rPr>
    </w:lvl>
    <w:lvl w:ilvl="1">
      <w:start w:val="0"/>
      <w:numFmt w:val="bullet"/>
      <w:lvlText w:val="•"/>
      <w:lvlJc w:val="left"/>
      <w:pPr>
        <w:ind w:left="1530" w:hanging="360"/>
      </w:pPr>
      <w:rPr>
        <w:rFonts w:hint="default"/>
      </w:rPr>
    </w:lvl>
    <w:lvl w:ilvl="2">
      <w:start w:val="0"/>
      <w:numFmt w:val="bullet"/>
      <w:lvlText w:val="•"/>
      <w:lvlJc w:val="left"/>
      <w:pPr>
        <w:ind w:left="2421" w:hanging="360"/>
      </w:pPr>
      <w:rPr>
        <w:rFonts w:hint="default"/>
      </w:rPr>
    </w:lvl>
    <w:lvl w:ilvl="3">
      <w:start w:val="0"/>
      <w:numFmt w:val="bullet"/>
      <w:lvlText w:val="•"/>
      <w:lvlJc w:val="left"/>
      <w:pPr>
        <w:ind w:left="3311" w:hanging="360"/>
      </w:pPr>
      <w:rPr>
        <w:rFonts w:hint="default"/>
      </w:rPr>
    </w:lvl>
    <w:lvl w:ilvl="4">
      <w:start w:val="0"/>
      <w:numFmt w:val="bullet"/>
      <w:lvlText w:val="•"/>
      <w:lvlJc w:val="left"/>
      <w:pPr>
        <w:ind w:left="4202" w:hanging="360"/>
      </w:pPr>
      <w:rPr>
        <w:rFonts w:hint="default"/>
      </w:rPr>
    </w:lvl>
    <w:lvl w:ilvl="5">
      <w:start w:val="0"/>
      <w:numFmt w:val="bullet"/>
      <w:lvlText w:val="•"/>
      <w:lvlJc w:val="left"/>
      <w:pPr>
        <w:ind w:left="5093" w:hanging="360"/>
      </w:pPr>
      <w:rPr>
        <w:rFonts w:hint="default"/>
      </w:rPr>
    </w:lvl>
    <w:lvl w:ilvl="6">
      <w:start w:val="0"/>
      <w:numFmt w:val="bullet"/>
      <w:lvlText w:val="•"/>
      <w:lvlJc w:val="left"/>
      <w:pPr>
        <w:ind w:left="5983" w:hanging="360"/>
      </w:pPr>
      <w:rPr>
        <w:rFonts w:hint="default"/>
      </w:rPr>
    </w:lvl>
    <w:lvl w:ilvl="7">
      <w:start w:val="0"/>
      <w:numFmt w:val="bullet"/>
      <w:lvlText w:val="•"/>
      <w:lvlJc w:val="left"/>
      <w:pPr>
        <w:ind w:left="6874" w:hanging="360"/>
      </w:pPr>
      <w:rPr>
        <w:rFonts w:hint="default"/>
      </w:rPr>
    </w:lvl>
    <w:lvl w:ilvl="8">
      <w:start w:val="0"/>
      <w:numFmt w:val="bullet"/>
      <w:lvlText w:val="•"/>
      <w:lvlJc w:val="left"/>
      <w:pPr>
        <w:ind w:left="7765" w:hanging="360"/>
      </w:pPr>
      <w:rPr>
        <w:rFonts w:hint="default"/>
      </w:rPr>
    </w:lvl>
  </w:abstractNum>
  <w:abstractNum w:abstractNumId="0">
    <w:multiLevelType w:val="hybridMultilevel"/>
    <w:lvl w:ilvl="0">
      <w:start w:val="1"/>
      <w:numFmt w:val="decimal"/>
      <w:lvlText w:val="%1."/>
      <w:lvlJc w:val="left"/>
      <w:pPr>
        <w:ind w:left="646" w:hanging="360"/>
        <w:jc w:val="left"/>
      </w:pPr>
      <w:rPr>
        <w:rFonts w:hint="default" w:ascii="Tahoma" w:hAnsi="Tahoma" w:eastAsia="Tahoma" w:cs="Tahoma"/>
        <w:spacing w:val="-1"/>
        <w:w w:val="99"/>
        <w:sz w:val="20"/>
        <w:szCs w:val="20"/>
      </w:rPr>
    </w:lvl>
    <w:lvl w:ilvl="1">
      <w:start w:val="0"/>
      <w:numFmt w:val="bullet"/>
      <w:lvlText w:val="•"/>
      <w:lvlJc w:val="left"/>
      <w:pPr>
        <w:ind w:left="1530" w:hanging="360"/>
      </w:pPr>
      <w:rPr>
        <w:rFonts w:hint="default"/>
      </w:rPr>
    </w:lvl>
    <w:lvl w:ilvl="2">
      <w:start w:val="0"/>
      <w:numFmt w:val="bullet"/>
      <w:lvlText w:val="•"/>
      <w:lvlJc w:val="left"/>
      <w:pPr>
        <w:ind w:left="2421" w:hanging="360"/>
      </w:pPr>
      <w:rPr>
        <w:rFonts w:hint="default"/>
      </w:rPr>
    </w:lvl>
    <w:lvl w:ilvl="3">
      <w:start w:val="0"/>
      <w:numFmt w:val="bullet"/>
      <w:lvlText w:val="•"/>
      <w:lvlJc w:val="left"/>
      <w:pPr>
        <w:ind w:left="3311" w:hanging="360"/>
      </w:pPr>
      <w:rPr>
        <w:rFonts w:hint="default"/>
      </w:rPr>
    </w:lvl>
    <w:lvl w:ilvl="4">
      <w:start w:val="0"/>
      <w:numFmt w:val="bullet"/>
      <w:lvlText w:val="•"/>
      <w:lvlJc w:val="left"/>
      <w:pPr>
        <w:ind w:left="4202" w:hanging="360"/>
      </w:pPr>
      <w:rPr>
        <w:rFonts w:hint="default"/>
      </w:rPr>
    </w:lvl>
    <w:lvl w:ilvl="5">
      <w:start w:val="0"/>
      <w:numFmt w:val="bullet"/>
      <w:lvlText w:val="•"/>
      <w:lvlJc w:val="left"/>
      <w:pPr>
        <w:ind w:left="5093" w:hanging="360"/>
      </w:pPr>
      <w:rPr>
        <w:rFonts w:hint="default"/>
      </w:rPr>
    </w:lvl>
    <w:lvl w:ilvl="6">
      <w:start w:val="0"/>
      <w:numFmt w:val="bullet"/>
      <w:lvlText w:val="•"/>
      <w:lvlJc w:val="left"/>
      <w:pPr>
        <w:ind w:left="5983" w:hanging="360"/>
      </w:pPr>
      <w:rPr>
        <w:rFonts w:hint="default"/>
      </w:rPr>
    </w:lvl>
    <w:lvl w:ilvl="7">
      <w:start w:val="0"/>
      <w:numFmt w:val="bullet"/>
      <w:lvlText w:val="•"/>
      <w:lvlJc w:val="left"/>
      <w:pPr>
        <w:ind w:left="6874" w:hanging="360"/>
      </w:pPr>
      <w:rPr>
        <w:rFonts w:hint="default"/>
      </w:rPr>
    </w:lvl>
    <w:lvl w:ilvl="8">
      <w:start w:val="0"/>
      <w:numFmt w:val="bullet"/>
      <w:lvlText w:val="•"/>
      <w:lvlJc w:val="left"/>
      <w:pPr>
        <w:ind w:left="7765" w:hanging="360"/>
      </w:pPr>
      <w:rPr>
        <w:rFonts w:hint="default"/>
      </w:rPr>
    </w:lvl>
  </w:abstract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41"/>
      <w:ind w:left="820" w:hanging="720"/>
    </w:pPr>
    <w:rPr>
      <w:rFonts w:ascii="Calibri" w:hAnsi="Calibri" w:eastAsia="Calibri" w:cs="Calibri"/>
      <w:sz w:val="22"/>
      <w:szCs w:val="22"/>
    </w:rPr>
  </w:style>
  <w:style w:styleId="TOC2" w:type="paragraph">
    <w:name w:val="TOC 2"/>
    <w:basedOn w:val="Normal"/>
    <w:uiPriority w:val="1"/>
    <w:qFormat/>
    <w:pPr>
      <w:spacing w:before="41"/>
      <w:ind w:left="1060" w:hanging="739"/>
    </w:pPr>
    <w:rPr>
      <w:rFonts w:ascii="Calibri" w:hAnsi="Calibri" w:eastAsia="Calibri" w:cs="Calibri"/>
      <w:sz w:val="22"/>
      <w:szCs w:val="22"/>
    </w:rPr>
  </w:style>
  <w:style w:styleId="TOC3" w:type="paragraph">
    <w:name w:val="TOC 3"/>
    <w:basedOn w:val="Normal"/>
    <w:uiPriority w:val="1"/>
    <w:qFormat/>
    <w:pPr>
      <w:spacing w:before="41"/>
      <w:ind w:left="1540" w:hanging="1001"/>
    </w:pPr>
    <w:rPr>
      <w:rFonts w:ascii="Calibri" w:hAnsi="Calibri" w:eastAsia="Calibri" w:cs="Calibri"/>
      <w:sz w:val="22"/>
      <w:szCs w:val="22"/>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spacing w:before="119"/>
      <w:ind w:left="2308" w:right="1618"/>
      <w:jc w:val="center"/>
      <w:outlineLvl w:val="1"/>
    </w:pPr>
    <w:rPr>
      <w:rFonts w:ascii="Calibri" w:hAnsi="Calibri" w:eastAsia="Calibri" w:cs="Calibri"/>
      <w:b/>
      <w:bCs/>
      <w:sz w:val="28"/>
      <w:szCs w:val="28"/>
    </w:rPr>
  </w:style>
  <w:style w:styleId="Heading2" w:type="paragraph">
    <w:name w:val="Heading 2"/>
    <w:basedOn w:val="Normal"/>
    <w:uiPriority w:val="1"/>
    <w:qFormat/>
    <w:pPr>
      <w:spacing w:before="52"/>
      <w:ind w:left="666" w:hanging="566"/>
      <w:jc w:val="both"/>
      <w:outlineLvl w:val="2"/>
    </w:pPr>
    <w:rPr>
      <w:rFonts w:ascii="Calibri" w:hAnsi="Calibri" w:eastAsia="Calibri" w:cs="Calibri"/>
      <w:b/>
      <w:bCs/>
      <w:sz w:val="24"/>
      <w:szCs w:val="24"/>
    </w:rPr>
  </w:style>
  <w:style w:styleId="Heading3" w:type="paragraph">
    <w:name w:val="Heading 3"/>
    <w:basedOn w:val="Normal"/>
    <w:uiPriority w:val="1"/>
    <w:qFormat/>
    <w:pPr>
      <w:spacing w:before="1"/>
      <w:ind w:left="220"/>
      <w:outlineLvl w:val="3"/>
    </w:pPr>
    <w:rPr>
      <w:rFonts w:ascii="Calibri" w:hAnsi="Calibri" w:eastAsia="Calibri" w:cs="Calibri"/>
      <w:sz w:val="24"/>
      <w:szCs w:val="24"/>
    </w:rPr>
  </w:style>
  <w:style w:styleId="Heading4" w:type="paragraph">
    <w:name w:val="Heading 4"/>
    <w:basedOn w:val="Normal"/>
    <w:uiPriority w:val="1"/>
    <w:qFormat/>
    <w:pPr>
      <w:ind w:left="100"/>
      <w:jc w:val="both"/>
      <w:outlineLvl w:val="4"/>
    </w:pPr>
    <w:rPr>
      <w:rFonts w:ascii="Calibri" w:hAnsi="Calibri" w:eastAsia="Calibri" w:cs="Calibri"/>
      <w:b/>
      <w:bCs/>
      <w:sz w:val="22"/>
      <w:szCs w:val="22"/>
    </w:rPr>
  </w:style>
  <w:style w:styleId="Heading5" w:type="paragraph">
    <w:name w:val="Heading 5"/>
    <w:basedOn w:val="Normal"/>
    <w:uiPriority w:val="1"/>
    <w:qFormat/>
    <w:pPr>
      <w:ind w:left="100"/>
      <w:jc w:val="both"/>
      <w:outlineLvl w:val="5"/>
    </w:pPr>
    <w:rPr>
      <w:rFonts w:ascii="Calibri" w:hAnsi="Calibri" w:eastAsia="Calibri" w:cs="Calibri"/>
      <w:b/>
      <w:bCs/>
      <w:i/>
      <w:sz w:val="22"/>
      <w:szCs w:val="22"/>
    </w:rPr>
  </w:style>
  <w:style w:styleId="ListParagraph" w:type="paragraph">
    <w:name w:val="List Paragraph"/>
    <w:basedOn w:val="Normal"/>
    <w:uiPriority w:val="1"/>
    <w:qFormat/>
    <w:pPr>
      <w:ind w:left="820" w:hanging="360"/>
      <w:jc w:val="both"/>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www.ependyseis.gr/mis)" TargetMode="External"/><Relationship Id="rId9" Type="http://schemas.openxmlformats.org/officeDocument/2006/relationships/hyperlink" Target="http://www.thessaly.gov.gr/" TargetMode="External"/><Relationship Id="rId10" Type="http://schemas.openxmlformats.org/officeDocument/2006/relationships/hyperlink" Target="http://www.thessalia-espa.gr/" TargetMode="External"/><Relationship Id="rId11" Type="http://schemas.openxmlformats.org/officeDocument/2006/relationships/hyperlink" Target="http://www.espa.gr/" TargetMode="External"/><Relationship Id="rId12" Type="http://schemas.openxmlformats.org/officeDocument/2006/relationships/hyperlink" Target="mailto:diapefd@thessaly.gov.gr" TargetMode="External"/><Relationship Id="rId13" Type="http://schemas.openxmlformats.org/officeDocument/2006/relationships/hyperlink" Target="mailto:support@mou.gr" TargetMode="External"/><Relationship Id="rId14" Type="http://schemas.openxmlformats.org/officeDocument/2006/relationships/footer" Target="footer2.xml"/><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header" Target="header1.xml"/><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hyperlink" Target="http://www.ependyseis.gr/mis" TargetMode="Externa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footer" Target="footer9.xml"/><Relationship Id="rId27" Type="http://schemas.openxmlformats.org/officeDocument/2006/relationships/footer" Target="footer10.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footer" Target="footer13.xml"/><Relationship Id="rId31" Type="http://schemas.openxmlformats.org/officeDocument/2006/relationships/footer" Target="footer14.xml"/><Relationship Id="rId32" Type="http://schemas.openxmlformats.org/officeDocument/2006/relationships/footer" Target="footer15.xml"/><Relationship Id="rId33" Type="http://schemas.openxmlformats.org/officeDocument/2006/relationships/footer" Target="footer16.xml"/><Relationship Id="rId34" Type="http://schemas.openxmlformats.org/officeDocument/2006/relationships/hyperlink" Target="https://www.espa.gr/el/Pages/staticAntiFraudPolicy.aspx" TargetMode="External"/><Relationship Id="rId35" Type="http://schemas.openxmlformats.org/officeDocument/2006/relationships/footer" Target="footer17.xml"/><Relationship Id="rId36" Type="http://schemas.openxmlformats.org/officeDocument/2006/relationships/header" Target="header2.xml"/><Relationship Id="rId37" Type="http://schemas.openxmlformats.org/officeDocument/2006/relationships/footer" Target="footer18.xml"/><Relationship Id="rId38" Type="http://schemas.openxmlformats.org/officeDocument/2006/relationships/image" Target="media/image7.jpeg"/><Relationship Id="rId39" Type="http://schemas.openxmlformats.org/officeDocument/2006/relationships/header" Target="header3.xml"/><Relationship Id="rId40" Type="http://schemas.openxmlformats.org/officeDocument/2006/relationships/header" Target="header4.xml"/><Relationship Id="rId41" Type="http://schemas.openxmlformats.org/officeDocument/2006/relationships/footer" Target="footer19.xml"/><Relationship Id="rId42" Type="http://schemas.openxmlformats.org/officeDocument/2006/relationships/header" Target="header5.xml"/><Relationship Id="rId43" Type="http://schemas.openxmlformats.org/officeDocument/2006/relationships/footer" Target="footer20.xml"/><Relationship Id="rId44" Type="http://schemas.openxmlformats.org/officeDocument/2006/relationships/header" Target="header6.xml"/><Relationship Id="rId45" Type="http://schemas.openxmlformats.org/officeDocument/2006/relationships/footer" Target="footer21.xml"/><Relationship Id="rId46" Type="http://schemas.openxmlformats.org/officeDocument/2006/relationships/image" Target="media/image8.jpeg"/><Relationship Id="rId47" Type="http://schemas.openxmlformats.org/officeDocument/2006/relationships/image" Target="media/image9.jpeg"/><Relationship Id="rId48" Type="http://schemas.openxmlformats.org/officeDocument/2006/relationships/header" Target="header7.xml"/><Relationship Id="rId49" Type="http://schemas.openxmlformats.org/officeDocument/2006/relationships/footer" Target="footer22.xml"/><Relationship Id="rId50" Type="http://schemas.openxmlformats.org/officeDocument/2006/relationships/header" Target="header8.xml"/><Relationship Id="rId51" Type="http://schemas.openxmlformats.org/officeDocument/2006/relationships/footer" Target="footer23.xml"/><Relationship Id="rId52" Type="http://schemas.openxmlformats.org/officeDocument/2006/relationships/header" Target="header9.xml"/><Relationship Id="rId53" Type="http://schemas.openxmlformats.org/officeDocument/2006/relationships/footer" Target="footer24.xml"/><Relationship Id="rId54" Type="http://schemas.openxmlformats.org/officeDocument/2006/relationships/header" Target="header10.xml"/><Relationship Id="rId55" Type="http://schemas.openxmlformats.org/officeDocument/2006/relationships/footer" Target="footer25.xml"/><Relationship Id="rId56" Type="http://schemas.openxmlformats.org/officeDocument/2006/relationships/header" Target="header11.xml"/><Relationship Id="rId57" Type="http://schemas.openxmlformats.org/officeDocument/2006/relationships/footer" Target="footer26.xml"/><Relationship Id="rId58" Type="http://schemas.openxmlformats.org/officeDocument/2006/relationships/header" Target="header12.xml"/><Relationship Id="rId59" Type="http://schemas.openxmlformats.org/officeDocument/2006/relationships/footer" Target="footer27.xml"/><Relationship Id="rId60" Type="http://schemas.openxmlformats.org/officeDocument/2006/relationships/header" Target="header13.xml"/><Relationship Id="rId61" Type="http://schemas.openxmlformats.org/officeDocument/2006/relationships/footer" Target="footer28.xml"/><Relationship Id="rId62" Type="http://schemas.openxmlformats.org/officeDocument/2006/relationships/header" Target="header14.xml"/><Relationship Id="rId63" Type="http://schemas.openxmlformats.org/officeDocument/2006/relationships/header" Target="header15.xml"/><Relationship Id="rId64" Type="http://schemas.openxmlformats.org/officeDocument/2006/relationships/footer" Target="footer29.xml"/><Relationship Id="rId65" Type="http://schemas.openxmlformats.org/officeDocument/2006/relationships/header" Target="header16.xml"/><Relationship Id="rId66" Type="http://schemas.openxmlformats.org/officeDocument/2006/relationships/footer" Target="footer30.xml"/><Relationship Id="rId67" Type="http://schemas.openxmlformats.org/officeDocument/2006/relationships/header" Target="header17.xml"/><Relationship Id="rId68" Type="http://schemas.openxmlformats.org/officeDocument/2006/relationships/header" Target="header18.xml"/><Relationship Id="rId69" Type="http://schemas.openxmlformats.org/officeDocument/2006/relationships/header" Target="header19.xml"/><Relationship Id="rId70" Type="http://schemas.openxmlformats.org/officeDocument/2006/relationships/header" Target="header20.xml"/><Relationship Id="rId71" Type="http://schemas.openxmlformats.org/officeDocument/2006/relationships/footer" Target="footer31.xml"/><Relationship Id="rId72" Type="http://schemas.openxmlformats.org/officeDocument/2006/relationships/header" Target="header21.xml"/><Relationship Id="rId73" Type="http://schemas.openxmlformats.org/officeDocument/2006/relationships/footer" Target="footer32.xml"/><Relationship Id="rId74" Type="http://schemas.openxmlformats.org/officeDocument/2006/relationships/image" Target="media/image10.png"/><Relationship Id="rId75" Type="http://schemas.openxmlformats.org/officeDocument/2006/relationships/image" Target="media/image11.jpeg"/><Relationship Id="rId76" Type="http://schemas.openxmlformats.org/officeDocument/2006/relationships/image" Target="media/image12.jpeg"/><Relationship Id="rId77" Type="http://schemas.openxmlformats.org/officeDocument/2006/relationships/image" Target="media/image13.jpeg"/><Relationship Id="rId78" Type="http://schemas.openxmlformats.org/officeDocument/2006/relationships/image" Target="media/image14.jpeg"/><Relationship Id="rId79" Type="http://schemas.openxmlformats.org/officeDocument/2006/relationships/image" Target="media/image15.jpeg"/><Relationship Id="rId80" Type="http://schemas.openxmlformats.org/officeDocument/2006/relationships/footer" Target="footer33.xml"/><Relationship Id="rId81" Type="http://schemas.openxmlformats.org/officeDocument/2006/relationships/footer" Target="footer34.xml"/><Relationship Id="rId82" Type="http://schemas.openxmlformats.org/officeDocument/2006/relationships/footer" Target="footer35.xml"/><Relationship Id="rId83" Type="http://schemas.openxmlformats.org/officeDocument/2006/relationships/footer" Target="footer36.xml"/><Relationship Id="rId84" Type="http://schemas.openxmlformats.org/officeDocument/2006/relationships/footer" Target="footer37.xml"/><Relationship Id="rId85" Type="http://schemas.openxmlformats.org/officeDocument/2006/relationships/image" Target="media/image16.jpeg"/><Relationship Id="rId86" Type="http://schemas.openxmlformats.org/officeDocument/2006/relationships/image" Target="media/image17.jpeg"/><Relationship Id="rId87" Type="http://schemas.openxmlformats.org/officeDocument/2006/relationships/image" Target="media/image18.jpeg"/><Relationship Id="rId88" Type="http://schemas.openxmlformats.org/officeDocument/2006/relationships/image" Target="media/image19.jpeg"/><Relationship Id="rId89" Type="http://schemas.openxmlformats.org/officeDocument/2006/relationships/header" Target="header22.xml"/><Relationship Id="rId90" Type="http://schemas.openxmlformats.org/officeDocument/2006/relationships/footer" Target="footer38.xml"/><Relationship Id="rId91" Type="http://schemas.openxmlformats.org/officeDocument/2006/relationships/header" Target="header23.xml"/><Relationship Id="rId92" Type="http://schemas.openxmlformats.org/officeDocument/2006/relationships/footer" Target="footer39.xml"/><Relationship Id="rId93" Type="http://schemas.openxmlformats.org/officeDocument/2006/relationships/hyperlink" Target="http://www.gsis.gr/" TargetMode="External"/><Relationship Id="rId94" Type="http://schemas.openxmlformats.org/officeDocument/2006/relationships/header" Target="header24.xml"/><Relationship Id="rId95" Type="http://schemas.openxmlformats.org/officeDocument/2006/relationships/footer" Target="footer40.xml"/><Relationship Id="rId96" Type="http://schemas.openxmlformats.org/officeDocument/2006/relationships/image" Target="media/image20.png"/><Relationship Id="rId97" Type="http://schemas.openxmlformats.org/officeDocument/2006/relationships/header" Target="header25.xml"/><Relationship Id="rId98" Type="http://schemas.openxmlformats.org/officeDocument/2006/relationships/footer" Target="footer41.xml"/><Relationship Id="rId99" Type="http://schemas.openxmlformats.org/officeDocument/2006/relationships/header" Target="header26.xml"/><Relationship Id="rId100" Type="http://schemas.openxmlformats.org/officeDocument/2006/relationships/footer" Target="footer42.xml"/><Relationship Id="rId101" Type="http://schemas.openxmlformats.org/officeDocument/2006/relationships/header" Target="header27.xml"/><Relationship Id="rId102" Type="http://schemas.openxmlformats.org/officeDocument/2006/relationships/footer" Target="footer43.xml"/><Relationship Id="rId103" Type="http://schemas.openxmlformats.org/officeDocument/2006/relationships/footer" Target="footer44.xml"/><Relationship Id="rId104" Type="http://schemas.openxmlformats.org/officeDocument/2006/relationships/hyperlink" Target="http://www.w3c.gr/wai/translations/wcag20.html" TargetMode="External"/><Relationship Id="rId105" Type="http://schemas.openxmlformats.org/officeDocument/2006/relationships/hyperlink" Target="http://www.w3.org/TR/mobile-bp/" TargetMode="External"/><Relationship Id="rId106" Type="http://schemas.openxmlformats.org/officeDocument/2006/relationships/hyperlink" Target="http://www.w3.org/TR/UAAG20/" TargetMode="External"/><Relationship Id="rId107" Type="http://schemas.openxmlformats.org/officeDocument/2006/relationships/hyperlink" Target="http://www.w3.org/TR/ATAG20/" TargetMode="External"/><Relationship Id="rId108" Type="http://schemas.openxmlformats.org/officeDocument/2006/relationships/footer" Target="footer45.xml"/><Relationship Id="rId10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9.jpeg"/></Relationships>

</file>

<file path=word/_rels/footer23.xml.rels><?xml version="1.0" encoding="UTF-8" standalone="yes"?>
<Relationships xmlns="http://schemas.openxmlformats.org/package/2006/relationships"><Relationship Id="rId1" Type="http://schemas.openxmlformats.org/officeDocument/2006/relationships/image" Target="media/image9.jpeg"/></Relationships>

</file>

<file path=word/_rels/footer24.xml.rels><?xml version="1.0" encoding="UTF-8" standalone="yes"?>
<Relationships xmlns="http://schemas.openxmlformats.org/package/2006/relationships"><Relationship Id="rId1" Type="http://schemas.openxmlformats.org/officeDocument/2006/relationships/image" Target="media/image9.jpeg"/></Relationships>

</file>

<file path=word/_rels/footer25.xml.rels><?xml version="1.0" encoding="UTF-8" standalone="yes"?>
<Relationships xmlns="http://schemas.openxmlformats.org/package/2006/relationships"><Relationship Id="rId1" Type="http://schemas.openxmlformats.org/officeDocument/2006/relationships/image" Target="media/image9.jpeg"/></Relationships>

</file>

<file path=word/_rels/footer26.xml.rels><?xml version="1.0" encoding="UTF-8" standalone="yes"?>
<Relationships xmlns="http://schemas.openxmlformats.org/package/2006/relationships"><Relationship Id="rId1" Type="http://schemas.openxmlformats.org/officeDocument/2006/relationships/image" Target="media/image9.jpeg"/></Relationships>

</file>

<file path=word/_rels/footer28.xml.rels><?xml version="1.0" encoding="UTF-8" standalone="yes"?>
<Relationships xmlns="http://schemas.openxmlformats.org/package/2006/relationships"><Relationship Id="rId1" Type="http://schemas.openxmlformats.org/officeDocument/2006/relationships/image" Target="media/image9.jpeg"/></Relationships>

</file>

<file path=word/_rels/footer29.xml.rels><?xml version="1.0" encoding="UTF-8" standalone="yes"?>
<Relationships xmlns="http://schemas.openxmlformats.org/package/2006/relationships"><Relationship Id="rId1" Type="http://schemas.openxmlformats.org/officeDocument/2006/relationships/image" Target="media/image9.jpeg"/></Relationships>

</file>

<file path=word/_rels/footer30.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2019-05-17T12:37:00Z</dcterms:created>
  <dcterms:modified xsi:type="dcterms:W3CDTF">2019-05-17T12:37:00Z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2019-05-16T00:00:00Z</vt:filetime>
  </property>
  <property fmtid="{D5CDD505-2E9C-101B-9397-08002B2CF9AE}" pid="3" name="LastSaved">
    <vt:filetime>2019-05-17T00:00:00Z</vt:filetime>
  </property>
</Properties>
</file>